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收发器软件质量保证计划（SQAP）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UART-DOC-014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收发器软件质量保证计划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SQAP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组织和职责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标准、条例和约定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活动审核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工作产品审核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不符合问题解决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工具、技术和方法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对供货单位的控制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记录的收集、维护和保存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本文档适用于 GOLDEN-UART 候选项目。目标平台已固定为 AMD/Xilinx VC709 Rev 1.0 候选板、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板级包装、200 MHz 差分板钟经 MMCM生成 100 MHz 核时钟，以及板载 CP2103 USB-UART。真实 Connector/Vivado 2021.1 已返回精确 part，9600 与 115200 两组 XSim、综合和停在码流前的实现均已通过 Mac→66 直连形成修订后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exploratory/candidate 证据。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组织和职责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采用全角色模型：项目负责人、系统/安全、需求、PLDS 设计、验证、独立 V&amp;V、质量保证、配置管理、标准/文档控制、硬件/板卡责任人和发布/G4 批准人。人选、独立性、权限和签署待项目负责人审定；Synthia 只能拟制候选和整理证据，不能充当受权人类批准人。</w:t>
      </w:r>
    </w:p>
    <w:p>
      <w:pPr>
        <w:pStyle w:val="Heading1"/>
      </w:pPr>
      <w:r>
        <w:t>4 标准、条例和约定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优先按 GJB 9432/9433/9764 和 GJB 438B/5235 的项目适用条款执行；GB/T 8566-2022 未同步入库前，不做依赖其全文的符合性结论。</w:t>
      </w:r>
    </w:p>
    <w:p>
      <w:pPr>
        <w:pStyle w:val="Heading1"/>
      </w:pPr>
      <w:r>
        <w:t>5 活动审核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活动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审核要点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独立角色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需求/设计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唯一标识、可验证性、追踪、板级未知项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需求+独立 V&amp;V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RTL/CDC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两级同步、FSM 恢复、参数边界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 设计+独立 V&amp;V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测试/覆盖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9600/115200、错帧、容差、分母/排除规则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验证+质量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工具证据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精确 part/profile/hash、DRC/STA/资源、原始证据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验证+配置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门审/发布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快照、问题、独立结论、人类批准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质量+发布批准人</w:t>
            </w:r>
          </w:p>
        </w:tc>
      </w:tr>
    </w:tbl>
    <w:p>
      <w:pPr>
        <w:spacing w:after="40"/>
      </w:pPr>
    </w:p>
    <w:p>
      <w:pPr>
        <w:pStyle w:val="Heading1"/>
      </w:pPr>
      <w:r>
        <w:t>6 工作产品审核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审核对象包含 22 类标准文档的适用/裁剪记录、RTL/TB/XDC、ToolRun/Evidence、追踪矩阵和发布清单。</w:t>
      </w:r>
    </w:p>
    <w:p>
      <w:pPr>
        <w:pStyle w:val="Heading1"/>
      </w:pPr>
      <w:r>
        <w:t>7 不符合问题解决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每个问题记录来源、影响、根因、责任人、处置、回归、独立复核和关闭决定；Agent 不能自行关闭需人类裁决的问题。</w:t>
      </w:r>
    </w:p>
    <w:p>
      <w:pPr>
        <w:pStyle w:val="Heading1"/>
      </w:pPr>
      <w:r>
        <w:t>8 工具、技术和方法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使用确定性文档检查、单元/回归测试、Vivado Connector、哈希清单和不可变批准记录。</w:t>
      </w:r>
    </w:p>
    <w:p>
      <w:pPr>
        <w:pStyle w:val="Heading1"/>
      </w:pPr>
      <w:r>
        <w:t>9 对供货单位的控制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当前无已识别供货单位，因此本节无实施记录；后续引入时按 SCMP/SQAP 统一管理。</w:t>
      </w:r>
    </w:p>
    <w:p>
      <w:pPr>
        <w:pStyle w:val="Heading1"/>
      </w:pPr>
      <w:r>
        <w:t>10 记录的收集、维护和保存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原始日志、波形、覆盖、报告、评审意见和批准对象以内容哈希、时间和身份关联；保存期限待合同/档案制度确定。</w:t>
      </w:r>
    </w:p>
    <w:p>
      <w:pPr>
        <w:pStyle w:val="Heading1"/>
      </w:pPr>
      <w:r>
        <w:t>11 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项目暂定义为非安全关键/低关键性，但采用中等保证严谨度。必须执行 RX 两级同步与 CDC 评审、双向追踪、覆盖模型和分母审定、独立验证、已确认目标 part 上的综合/实现/DRC/STA，以及硬件事实完整后的板级回归。该定义待系统/安全角色依危害分析复核。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收发器软件质量保证计划（SQAP）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