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收发器可编程逻辑器件软件研制任务书（PLDSDTD）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UART-DOC-001 / v2.3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2026-08-27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 收发器可编程逻辑器件软件研制任务书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编写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辅助拟制，待授权角色署名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审核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待系统、验证、质量角色审核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未批准；待项目负责人决定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v2.3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2026-08-27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固化 690T 器件、通用核+板级包装拓扑、9600/115200 测试组合、项目低关键性+中等保证严谨度和全角色模型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v2.2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纳入术语、通用开发、配置管理和 PLDS 测试标准参考，纠正已取得/缺失标准状态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v2.1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纳入 GJB 438B-2009 通用文档标准，澄清与 GJB 9764-2020 的适用关系和剩余标准缺口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v2.0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依据 GJB 9764-2020 附录 B 将开发技术要求重构为 PLDSDTD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范围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引用文档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运行环境要求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任务要求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接口关系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关键性要求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设计约束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管理要求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质量保证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验收与交付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维护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pStyle w:val="Heading2"/>
      </w:pPr>
      <w:r>
        <w:t>1.1 标识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项目标识为 GOLDEN-UART；PLDS 名称为 UART 收发器，通用核顶层标识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uart_top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，预留板级包装顶层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uart_board_top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；目标器件为 AMD Xilinx Virtex-7 XC7VX690T，选定候选 Vivado part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xc7vx690tffg1761-2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；文档版本为 v2.3 candidate，无发布号、批准基线或产品基线。该 part 须先由目标 Connector 执行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get_parts -quiet xc7vx690t*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返回精确匹配；已知 worker-66 的 Vivado 2021.1 不包含它。</w:t>
      </w:r>
    </w:p>
    <w:p>
      <w:pPr>
        <w:pStyle w:val="Heading2"/>
      </w:pPr>
      <w:r>
        <w:t>1.2 系统概述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本候选为 Synthia FPGA 工程流程参考项目，以 9600 bit/s、8N1、全双工 UART 为基线，并将 115200 bit/s 列为扩展回归组合。外部同步逻辑按字节提交发送数据并捕获接收结果，PLDS 在一对异步串行线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txd/rxd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上转换帧格式。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uart_top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保持与板卡无关，后续由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uart_board_top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对接板载 USB-UART。项目已选用“项目定义的非安全关键/低关键性 + 中等保证严谨度”，该描述不冒充 GJB 9432 的通用等级。</w:t>
      </w:r>
    </w:p>
    <w:p>
      <w:pPr>
        <w:pStyle w:val="Heading2"/>
      </w:pPr>
      <w:r>
        <w:t>1.3 文档概述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本文规定开发目的、任务、指标、接口、约束、质量和交付要求，是 UART-DOC-002 PLDSRS 的候选上游。任务要求使用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UART-DRQ-*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唯一标识，完整追踪见 UART-DOC-007。</w:t>
      </w:r>
    </w:p>
    <w:p>
      <w:pPr>
        <w:pStyle w:val="Heading1"/>
      </w:pPr>
      <w:r>
        <w:t>2 引用文档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文档标识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标题/版本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作者/单位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日期/状态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GB/T 11457-2006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信息技术 软件工程术语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国家质检总局、国家标准化管理委员会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官方全文系统原始 PDF；项目采用待确认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2786A-2009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军用软件开发通用要求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中国人民解放军总装备部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公开预览连续页重建件；受控副本待确认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438B-2009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军用软件开发文档通用要求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中国人民解放军总装备部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用户提供完整扫描件；受控状态待确认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5235-2004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军用软件配置管理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中国人民解放军总装备部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公开预览连续页重建件；受控副本待确认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9432-2018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军用可编程逻辑器件软件开发通用要求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中央军委装备发展部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用户提供 11 页完整副本已入库；受控性与项目适用性待审核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9433-2018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军用可编程逻辑器件软件测试要求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中央军委装备发展部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公开预览连续页重建件；受控副本待确认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9764-2020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军用可编程逻辑器件软件文档编制规范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中央军委装备发展部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用户提供完整扫描件；受控状态待确认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GB/T 8566-2022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系统与软件工程 软件生存周期过程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国家市场监督管理总局、国家标准化管理委员会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用户已在 Windows 主机定位完整 PDF；仓库尚未同步、哈希和版本复核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UART-DOC-000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项目保证与裁剪说明 v2.3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Synthia Golden 候选项目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2026-08-27；candidate</w:t>
            </w:r>
          </w:p>
        </w:tc>
      </w:tr>
    </w:tbl>
    <w:p>
      <w:pPr>
        <w:spacing w:after="40"/>
      </w:pPr>
    </w:p>
    <w:p>
      <w:pPr>
        <w:pStyle w:val="Heading1"/>
      </w:pPr>
      <w:r>
        <w:t>3 运行环境要求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编号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要求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UART-DRQ-DEV-001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目标器件为 XC7VX690T；候选 part 为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xc7vx690tffg1761-2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。只有在 Connector/Vivado 查询返回精确 part 后才能对它执行综合/实现并形成器件级证据。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关键；当前阻塞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UART-DRQ-ENV-001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开发、综合与实现工具为包含所选 XC7VX690T part 的受控 Vivado/Connector profile，仿真为 XSim；Icarus 只作交叉检查。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关键；当前阻塞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UART-DRQ-ENV-003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正式约束须包含有依据的时钟、引脚、I/O 电平及适用 I/O 时序；事实缺失时实现 fail-closed。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关键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温度、电压、功耗、器件等级、抗辐照和板级环境未提供，当前本节相应内容无可批准数据；缺口阻断确认测试、正式实现和交付，不能由 Agent 填入典型值。</w:t>
      </w:r>
    </w:p>
    <w:p>
      <w:pPr>
        <w:pStyle w:val="Heading1"/>
      </w:pPr>
      <w:r>
        <w:t>4 任务要求</w:t>
      </w:r>
    </w:p>
    <w:p>
      <w:pPr>
        <w:pStyle w:val="Heading2"/>
      </w:pPr>
      <w:r>
        <w:t>4.1 功能要求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编号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要求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关键度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UART-DRQ-FUN-001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实现相互独立、可同时工作的全双工 UART 收发通道。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关键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UART-DRQ-FUN-002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发送 1 位低起始、8 位 LSB 先发数据、1 位高停止、无校验的 8N1 帧。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关键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UART-DRQ-FUN-003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接收通道以中点采样恢复 8N1 帧并输出有效字节完成指示。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关键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UART-DRQ-FUN-004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停止位为低时报告帧错、丢弃错误字节并能在线路恢复后接收后续帧。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关键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UART-DRQ-FUN-005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线路空闲和复位后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txd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为高电平。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重要</w:t>
            </w:r>
          </w:p>
        </w:tc>
      </w:tr>
    </w:tbl>
    <w:p>
      <w:pPr>
        <w:spacing w:after="40"/>
      </w:pPr>
    </w:p>
    <w:p>
      <w:pPr>
        <w:pStyle w:val="Heading2"/>
      </w:pPr>
      <w:r>
        <w:t>4.2 性能要求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编号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要求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关键度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UART-DRQ-PERF-001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标称 9600 bit/s；本机误差不大于 ±0.5%，对端偏差 ±2% 时正确接收。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关键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UART-DRQ-PERF-002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系统时钟按 100 MHz 设计，时钟与波特率应参数化。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重要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UART-DRQ-PERF-003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连续吞吐率不低于 960 byte/s（10 bit/帧）。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重要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UART-DRQ-PERF-004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在不改变帧语义的情况下，以 115200 bit/s、8N1 执行扩展参数回归，重新计算分频误差、采样余量和吞吐。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重要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建立/保持时间、外部 I/O 时序和板级余量未提供，列入 UART-OQ-001。</w:t>
      </w:r>
    </w:p>
    <w:p>
      <w:pPr>
        <w:pStyle w:val="Heading2"/>
      </w:pPr>
      <w:r>
        <w:t>4.3 算法要求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接收应从同步后的起始下降沿计时，在半位处确认起始位，其后每隔一个整位时间采样数据与停止位；发送分频取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CLK_FREQ / BAUD_RATE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的整数向下取整值。算法细化及误差预算见 UART-DOC-003。</w:t>
      </w:r>
    </w:p>
    <w:p>
      <w:pPr>
        <w:pStyle w:val="Heading1"/>
      </w:pPr>
      <w:r>
        <w:t>5 接口关系</w:t>
      </w:r>
    </w:p>
    <w:p>
      <w:pPr>
        <w:spacing w:after="120"/>
        <w:ind w:left="283"/>
      </w:pPr>
      <w:r>
        <w:rPr>
          <w:rFonts w:ascii="FangSong_GB2312" w:hAnsi="FangSong_GB2312" w:eastAsia="FangSong_GB2312" w:cs="FangSong_GB2312"/>
          <w:color w:val="1F3A5F"/>
          <w:sz w:val="17"/>
        </w:rPr>
        <w:t>flowchart LR</w:t>
        <w:br/>
        <w:t xml:space="preserve">  HOST[同步外部逻辑] &lt;--&gt;|tx_data/tx_start/tx_busy/tx_done&lt;br/&gt;rx_data/rx_done/frame_err| DUT[uart_top]</w:t>
        <w:br/>
        <w:t xml:space="preserve">  DUT --&gt;|txd 9600 8N1| LINE[异步串行线路]</w:t>
        <w:br/>
        <w:t xml:space="preserve">  LINE --&gt;|rxd 9600 8N1| DUT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编号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接口要求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UART-DRQ-IF-001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发送接口含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tx_data[7:0]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、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tx_start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、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tx_busy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、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tx_done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；忙时忽略新请求。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UART-DRQ-IF-002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接收接口含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rx_data[7:0]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、单拍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rx_done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和单拍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frame_err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。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UART-DRQ-IF-003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串行接口为一位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txd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输出和一位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rxd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输入；LOC/IOSTANDARD 待板级事实。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UART-DRQ-IF-004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使用单一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clk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和同步高有效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rst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。</w:t>
            </w:r>
          </w:p>
        </w:tc>
      </w:tr>
    </w:tbl>
    <w:p>
      <w:pPr>
        <w:spacing w:after="40"/>
      </w:pPr>
    </w:p>
    <w:p>
      <w:pPr>
        <w:pStyle w:val="Heading1"/>
      </w:pPr>
      <w:r>
        <w:t>6 关键性要求</w:t>
      </w:r>
    </w:p>
    <w:p>
      <w:pPr>
        <w:pStyle w:val="Heading2"/>
      </w:pPr>
      <w:r>
        <w:t>6.1 可靠性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编号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要求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UART-DRQ-REL-001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异步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rxd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进入功能逻辑前经过至少两级带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ASYNC_REG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的同步寄存器。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UART-DRQ-REL-002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复位后状态确定；非法 FSM 状态下一拍恢复空闲。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UART-DRQ-REL-003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帧错、毛刺和持续低电平不得导致死锁或伪造有效字节。</w:t>
            </w:r>
          </w:p>
        </w:tc>
      </w:tr>
    </w:tbl>
    <w:p>
      <w:pPr>
        <w:spacing w:after="40"/>
      </w:pPr>
    </w:p>
    <w:p>
      <w:pPr>
        <w:pStyle w:val="Heading2"/>
      </w:pPr>
      <w:r>
        <w:t>6.2 安全性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本项目暂定义为非安全关键/低关键性，但采用中等保证严谨度：必须保留 RX 两级同步与 CDC 独立评审、需求—设计—代码—测试双向追踪、覆盖分母/目标审定、独立验证、目标 part 上的综合/实现/DRC/STA，以及板级资料完整后的实物回归。真实系统危害分析仍待系统/安全责任人审查；若危害结论与暂定义冲突，必须升级保证策略。</w:t>
      </w:r>
    </w:p>
    <w:p>
      <w:pPr>
        <w:pStyle w:val="Heading2"/>
      </w:pPr>
      <w:r>
        <w:t>6.3 软件可编程要求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外部逻辑在发送空闲时以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tx_start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提交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tx_data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，并在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tx_done</w:t>
      </w:r>
      <w:r>
        <w:rPr>
          <w:rFonts w:ascii="FangSong_GB2312" w:hAnsi="FangSong_GB2312" w:eastAsia="FangSong_GB2312" w:cs="FangSong_GB2312"/>
          <w:b w:val="0"/>
          <w:sz w:val="22"/>
        </w:rPr>
        <w:t>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rx_done</w:t>
      </w:r>
      <w:r>
        <w:rPr>
          <w:rFonts w:ascii="FangSong_GB2312" w:hAnsi="FangSong_GB2312" w:eastAsia="FangSong_GB2312" w:cs="FangSong_GB2312"/>
          <w:b w:val="0"/>
          <w:sz w:val="22"/>
        </w:rPr>
        <w:t>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frame_err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单拍有效时捕获结果；无地址映射寄存器或处理器总线接口。</w:t>
      </w:r>
    </w:p>
    <w:p>
      <w:pPr>
        <w:pStyle w:val="Heading2"/>
      </w:pPr>
      <w:r>
        <w:t>6.4 保密性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本节无内容。项目未提供运行保密环境、类型或等级；该空缺不是“不适用”批准，数据分类须由授权角色决定。</w:t>
      </w:r>
    </w:p>
    <w:p>
      <w:pPr>
        <w:pStyle w:val="Heading2"/>
      </w:pPr>
      <w:r>
        <w:t>6.5 其他要求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编号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要求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UART-DRQ-TST-001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提供自检 TB，覆盖复位、格式、环回、帧错、容差等，失败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$fatal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，全部成功打印 PASS。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UART-DRQ-TST-002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支持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txd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直连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rxd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的环回验证。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UART-DRQ-TST-003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每条 PLDSRS 需求规定验证方法并双向追踪。</w:t>
            </w:r>
          </w:p>
        </w:tc>
      </w:tr>
    </w:tbl>
    <w:p>
      <w:pPr>
        <w:spacing w:after="40"/>
      </w:pPr>
    </w:p>
    <w:p>
      <w:pPr>
        <w:pStyle w:val="Heading1"/>
      </w:pPr>
      <w:r>
        <w:t>7 设计约束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编号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约束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UART-DRQ-DEV-002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纯 RTL，不使用厂商 IP、BRAM、DSP、MMCM/PLL。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UART-DRQ-ENV-002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RTL 使用 Verilog-2001 可综合子集，TB 可用 SystemVerilog；复位显式、无锁存、FSM 有 default 恢复。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UART-DRQ-RES-001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候选预算：FF≤200、LUT≤300、BRAM/DSP=0；100 MHz 时序无负裕量。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管脚、Bank 电压、IOSTANDARD、配置电压和 I/O delay 未决；正式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uart.xdc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不降低 NSTD-1/UCIO-1，探索 XDC 不得进入门禁或发布。</w:t>
      </w:r>
    </w:p>
    <w:p>
      <w:pPr>
        <w:pStyle w:val="Heading1"/>
      </w:pPr>
      <w:r>
        <w:t>8 管理要求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需求、设计、RTL 和测试候选应依次经过 G1～G4 的冻结快照、内容检查与人类批准；Agent 不得批准或建立基线。采用全角色模型：项目负责人、系统/安全、需求、PLDS 设计、验证、独立 V&amp;V、质量保证、配置管理、标准/文档控制、硬件/板卡责任人和发布/G4 批准人。各角色人选、独立性、权限和进度仍待项目负责人审定。</w:t>
      </w:r>
    </w:p>
    <w:p>
      <w:pPr>
        <w:pStyle w:val="Heading1"/>
      </w:pPr>
      <w:r>
        <w:t>9 质量保证</w:t>
      </w:r>
    </w:p>
    <w:p>
      <w:pPr>
        <w:pStyle w:val="Heading2"/>
      </w:pPr>
      <w:r>
        <w:t>9.1 标准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PLDS 专用文档按 GJB 9764-2020 编制；该标准明确指定的通用文档类型按 GJB 438B-2009 对应附录编制。其他开发、测试、约束标准须由质量角色取得受控版本后确定适用性。</w:t>
      </w:r>
    </w:p>
    <w:p>
      <w:pPr>
        <w:pStyle w:val="Heading2"/>
      </w:pPr>
      <w:r>
        <w:t>9.2 文档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本项目至少维护 UART-DOC-000～008；正式文档须审查封面、修改页、目录、正文顺序、裁剪、引用、追踪和证据一致性。</w:t>
      </w:r>
    </w:p>
    <w:p>
      <w:pPr>
        <w:pStyle w:val="Heading2"/>
      </w:pPr>
      <w:r>
        <w:t>9.3 配置管理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源码、TB、XDC 和文档使用唯一标识、版本和 SHA-256；运行绑定冻结输入，旧证据不得冒充当前版本证据。</w:t>
      </w:r>
    </w:p>
    <w:p>
      <w:pPr>
        <w:pStyle w:val="Heading2"/>
      </w:pPr>
      <w:r>
        <w:t>9.4 测试要求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仿真使用独立的 PLDSSTP、PLDSSTD、PLDSSTR。配置项确认通常还需要 PLDSVTP、PLDSVTD、PLDSVTR，但当前因板级输入缺失而阻塞。</w:t>
      </w:r>
    </w:p>
    <w:p>
      <w:pPr>
        <w:pStyle w:val="Heading2"/>
      </w:pPr>
      <w:r>
        <w:t>9.5 对分承制方要求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本节无内容。当前无已识别分承制方；如引入第三方，应补充其配置、质量、验证和交付要求。</w:t>
      </w:r>
    </w:p>
    <w:p>
      <w:pPr>
        <w:pStyle w:val="Heading1"/>
      </w:pPr>
      <w:r>
        <w:t>10 验收与交付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编号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要求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UART-DRQ-DLV-001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候选交付集含 RTL、TB、正式/探索用途隔离的 XDC、UART-DOC-000～008 和 manifest。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UART-DRQ-DLV-002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全部交付物具有唯一标识、版本和哈希，以获批产品基线为准。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当前无验收程序、数量、介质、版权保护或批准产品基线，不能形成正式交付结论。</w:t>
      </w:r>
    </w:p>
    <w:p>
      <w:pPr>
        <w:pStyle w:val="Heading1"/>
      </w:pPr>
      <w:r>
        <w:t>11 维护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问题应记录来源、影响、根因、修复和回归；RTL/TB/XDC 变化触发受影响分析和回归。验收后的改正性、适应性和完善性维护责任尚待合同或项目决定。</w:t>
      </w:r>
    </w:p>
    <w:p>
      <w:pPr>
        <w:pStyle w:val="Heading1"/>
      </w:pPr>
      <w:r>
        <w:t>注释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开放问题：UART-OQ-001 为精确板卡制造商/型号/修订、原理图、官方管脚/Master XDC、USB-UART、晶振/复位、Bank VCCO/IOSTANDARD 及仪器事实缺失；UART-OQ-002 为系统危害分析对当前“低关键性+中等保证”的复核；UART-OQ-003 为所选 690T part 在真实 Vivado Connector 中的精确安装查询；UART-OQ-004 为 GJB 10158、GJB/Z 192 的项目适用性。标准参考集仍需授权角色确认来源、受控状态、项目适用性和裁剪决定。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FangSong_GB2312" w:hAnsi="FangSong_GB2312" w:eastAsia="FangSong_GB2312" w:cs="FangSong_GB2312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FangSong_GB2312" w:hAnsi="FangSong_GB2312" w:eastAsia="FangSong_GB2312" w:cs="FangSong_GB2312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FangSong_GB2312" w:hAnsi="FangSong_GB2312" w:eastAsia="FangSong_GB2312" w:cs="FangSong_GB2312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FangSong_GB2312" w:hAnsi="FangSong_GB2312" w:eastAsia="FangSong_GB2312" w:cs="FangSong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FangSong_GB2312" w:hAnsi="FangSong_GB2312" w:eastAsia="FangSong_GB2312" w:cs="FangSong_GB2312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FangSong_GB2312" w:hAnsi="FangSong_GB2312" w:eastAsia="FangSong_GB2312" w:cs="FangSong_GB231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FangSong_GB2312" w:hAnsi="FangSong_GB2312" w:eastAsia="FangSong_GB2312" w:cs="FangSong_GB231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收发器可编程逻辑器件软件研制任务书（PLDSDTD）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FangSong_GB2312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