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UART 收发器候选可追踪性矩阵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6769"/>
      </w:tblGrid>
      <w:tr>
        <w:trPr>
          <w:tblHeader w:val="true"/>
        </w:trPr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属性</w:t>
            </w:r>
          </w:p>
        </w:tc>
        <w:tc>
          <w:tcPr>
            <w:tcW w:type="dxa" w:w="676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内容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文档标识及版本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UART-DOC-007 / v2.3 candidate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数据分类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待项目责任人确定；当前按非公开工程资料处理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编制/修订日期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2026-08-27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文档名称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 收发器候选可追踪性矩阵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编制单位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Synthia Golden 候选项目（待授权单位确认）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编写/审核/批准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Agent 辅助拟制 / 待独立审核 / 未批准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修改页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354"/>
        <w:gridCol w:w="1805"/>
        <w:gridCol w:w="4059"/>
        <w:gridCol w:w="1807"/>
      </w:tblGrid>
      <w:tr>
        <w:trPr>
          <w:tblHeader w:val="true"/>
        </w:trPr>
        <w:tc>
          <w:tcPr>
            <w:tcW w:type="dxa" w:w="135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版本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日期</w:t>
            </w:r>
          </w:p>
        </w:tc>
        <w:tc>
          <w:tcPr>
            <w:tcW w:type="dxa" w:w="405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修改内容</w:t>
            </w:r>
          </w:p>
        </w:tc>
        <w:tc>
          <w:tcPr>
            <w:tcW w:type="dxa" w:w="180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修改人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v2.3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2026-08-27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增加 XC7VX690T/板级包装/115200 路径并把 K70T/9600 运行标为历史 exploratory；纳入中等保证活动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Agent 辅助拟制，待授权角色确认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v2.2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2026-08-26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同步标准参考集与 UART-DOC-000～006 v2.2；追踪关系和实现未改变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Agent 辅助拟制，待授权角色确认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v2.1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2026-08-26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同步 GJB 438B-2009 参考集与 UART-DOC-000～006 v2.1；追踪关系和实现未改变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Agent 辅助拟制，待授权角色确认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v2.0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2026-08-26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更新至 GJB 9764 文档集，建立 PLDSDTD→PLDSRS→PLDSDD→RTL/TB→用例→结果关系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Agent 辅助拟制，待授权角色确认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状态语义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任务到需求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需求到设计、实现和验证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设计到文件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覆盖指标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变更影响</w:t>
      </w:r>
    </w:p>
    <w:p>
      <w:r>
        <w:br w:type="page"/>
      </w:r>
    </w:p>
    <w:p>
      <w:pPr>
        <w:pStyle w:val="Heading1"/>
      </w:pPr>
      <w:r>
        <w:t>1 状态语义</w:t>
      </w:r>
    </w:p>
    <w:p>
      <w:pPr>
        <w:ind w:firstLine="420"/>
      </w:pPr>
      <w:r>
        <w:rPr>
          <w:rFonts w:ascii="Courier New" w:hAnsi="Courier New" w:eastAsia="Courier New" w:cs="Courier New"/>
          <w:b w:val="0"/>
          <w:color w:val="1F3A5F"/>
          <w:sz w:val="21"/>
        </w:rPr>
        <w:t>planned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 表示存在候选关系；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executed/exploratory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 表示在精确候选输入上运行过工具；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passed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 只表示判据成功；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approved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 必须来自授权人类对冻结对象的不可变决定。当前所有关系为 candidate，正式验证执行覆盖和批准需求通过率均为 0/25。</w:t>
      </w:r>
    </w:p>
    <w:p>
      <w:pPr>
        <w:pStyle w:val="Heading1"/>
      </w:pPr>
      <w:r>
        <w:t>2 任务到需求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6769"/>
      </w:tblGrid>
      <w:tr>
        <w:trPr>
          <w:tblHeader w:val="true"/>
        </w:trPr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UART-DRQ</w:t>
            </w:r>
          </w:p>
        </w:tc>
        <w:tc>
          <w:tcPr>
            <w:tcW w:type="dxa" w:w="676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UART-SRS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FUN-001 全双工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FUN-001、FUN-008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FUN-002 8N1 发送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FUN-002、IF-003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FUN-003 中点接收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FUN-004、FUN-005、FUN-006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FUN-004 帧错恢复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FUN-006、FUN-007、REL-002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FUN-005 空闲高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FUN-009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PERF-001 波特率/容差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TIM-001、TIM-002、TIM-003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PERF-002 时钟/参数化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CKR-001、TIM-001、TST-002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PERF-003 ≥960 byte/s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TIM-002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IF-001 发送接口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IF-001、IF-002、FUN-003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IF-002 接收接口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IF-001、IF-002、FUN-006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IF-003 串行接口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IF-001、IF-003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IF-004 时钟复位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CKR-001、CKR-002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DEV-001/002、RES-001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TIM-004、RES-001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ENV-001～003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CKR-001、TIM-004、设计约束和测试环境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REL-001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CKR-003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REL-002/003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REL-001～003、FUN-004/007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TST-001/002/003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TST-001/002、UART-DOC-004～006、本文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DLV-001/002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UART-DOC-000、manifest、待建立的配置/批准对象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候选来源规划：25/25 SRS 有上游，全部 DRQ 有下游或过程承载；这不判断内容正确。</w:t>
      </w:r>
    </w:p>
    <w:p>
      <w:pPr>
        <w:pStyle w:val="Heading1"/>
      </w:pPr>
      <w:r>
        <w:t>3 需求到设计、实现和验证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354"/>
        <w:gridCol w:w="1805"/>
        <w:gridCol w:w="4059"/>
        <w:gridCol w:w="1807"/>
      </w:tblGrid>
      <w:tr>
        <w:trPr>
          <w:tblHeader w:val="true"/>
        </w:trPr>
        <w:tc>
          <w:tcPr>
            <w:tcW w:type="dxa" w:w="135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UART-SRS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PLDSDD/RTL</w:t>
            </w:r>
          </w:p>
        </w:tc>
        <w:tc>
          <w:tcPr>
            <w:tcW w:type="dxa" w:w="405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测试项/用例</w:t>
            </w:r>
          </w:p>
        </w:tc>
        <w:tc>
          <w:tcPr>
            <w:tcW w:type="dxa" w:w="180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当前结果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FUN-001～003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MOD-002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uart_tx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、MOD-004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baud_gen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STI-FUN-001 / STC-01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9600 passed/historical exploratory；115200 planned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FUN-004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MOD-003 IDLE/START 与同步后边沿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STI-FUN-004 / STC-04/05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passed/exploratory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FUN-005～007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MOD-003 DATA/STOP 与恢复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STI-FUN-002/004 / STC-02/05/06/07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passed/exploratory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FUN-008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MOD-001 顶层独立 TX/RX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STI-FUN-003 / STC-03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passed/exploratory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FUN-009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TX/RX 复位和空闲输出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STI-REL-001 / STC-08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passed/exploratory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IF-001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MOD-001 端口表；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uart_top.v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接口审查/编译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编译 exploratory 成功；独立审查待执行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IF-002/003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TX/RX 脉冲与位序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STC-01/02 + 全局监视器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passed/exploratory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CKR-001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全模块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posedge clk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，tick 为 CE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STATIC-001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源码/综合 exploratory 成功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CKR-002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同步复位分支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STC-08 + 初始检查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passed/exploratory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CKR-003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rxd_meta→rxd_sync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 两级 ASYNC_REG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STI-REL-002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结构已实现；批准 CDC 报告缺失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TIM-001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参数/分频分析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STC-01/02/09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9600 分析/仿真 historical exploratory 成功；115200 planned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TIM-002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baud_gen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 + TX FSM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STC-09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9600 为 1,041,610 ns historical exploratory；115200 planned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TIM-003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RX 中点采样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STC-01～10 参数化回归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9600 ±2% historical exploratory；115200 planned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TIM-004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100 MHz 同步路径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STATIC-001 / STA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K70T 历史 WNS 6.699 ns、WHS 0.114 ns；690T/I/O 未闭合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RES-001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四 RTL 模块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STATIC-001 / 综合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K70T 历史 63 LUT/70 FF、BRAM/DSP=0；690T 未执行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REL-001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TX/RX 3 bit FSM + default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STC-10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passed/exploratory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REL-002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STOP 合法/错误分流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STC-05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passed/exploratory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REL-003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同步复位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STC-08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passed/exploratory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TST-001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顶层环回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STC-02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passed/exploratory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TST-002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参数表达式和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$clog2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审查/9600+115200 全量回归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9600 历史组合通过；115200 扩展回归待执行</w:t>
            </w:r>
          </w:p>
        </w:tc>
      </w:tr>
    </w:tbl>
    <w:p>
      <w:pPr>
        <w:spacing w:after="40"/>
      </w:pPr>
    </w:p>
    <w:p>
      <w:pPr>
        <w:pStyle w:val="Heading1"/>
      </w:pPr>
      <w:r>
        <w:t>4 设计到文件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6769"/>
      </w:tblGrid>
      <w:tr>
        <w:trPr>
          <w:tblHeader w:val="true"/>
        </w:trPr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设计元素</w:t>
            </w:r>
          </w:p>
        </w:tc>
        <w:tc>
          <w:tcPr>
            <w:tcW w:type="dxa" w:w="676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当前实现/验证文件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MOD-001 顶层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rtl/uart_top.v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MOD-002 TX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rtl/uart_tx.v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MOD-003 RX/CDC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rtl/uart_rx.v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MOD-004 位使能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rtl/baud_gen.v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MOD-005 板级包装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rtl/uart_board_top.v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 待权威板级材料后建立；当前 blocked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STC-01～10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tb/uart_tb.sv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正式/探索约束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xdc/uart.xdc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 /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xdc/uart_exploratory.xdc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研制、需求、设计、测试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UART-DOC-001～006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追踪、评审、裁剪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UART-DOC-000、007、008</w:t>
            </w:r>
          </w:p>
        </w:tc>
      </w:tr>
    </w:tbl>
    <w:p>
      <w:pPr>
        <w:spacing w:after="40"/>
      </w:pPr>
    </w:p>
    <w:p>
      <w:pPr>
        <w:pStyle w:val="Heading1"/>
      </w:pPr>
      <w:r>
        <w:t>5 覆盖指标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3610"/>
        <w:gridCol w:w="3610"/>
      </w:tblGrid>
      <w:tr>
        <w:trPr>
          <w:tblHeader w:val="true"/>
        </w:trPr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指标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分子/分母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状态/解释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候选任务→需求来源规划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25/25 SRS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100%，未批准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候选需求→设计规划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25/25 SRS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100%，未批准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候选需求→验证规划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25/25 SRS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100%，不表示执行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exploratory 动态执行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9600 内部 10/10 + 外部 9/9；115200 0/10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9600 为历史 Icarus/XSim 证据；115200 待执行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正式验证执行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0/25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无批准输入的 formal/gate_check 完整证据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批准需求通过率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0/25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无授权批准记录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代码/功能覆盖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0/分母待批准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中等保证必做；不得用用例通过率替代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确认测试覆盖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0/待定义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板级事实和 PLDSVTP/VTD 均缺失</w:t>
            </w:r>
          </w:p>
        </w:tc>
      </w:tr>
    </w:tbl>
    <w:p>
      <w:pPr>
        <w:spacing w:after="40"/>
      </w:pPr>
    </w:p>
    <w:p>
      <w:pPr>
        <w:pStyle w:val="Heading1"/>
      </w:pPr>
      <w:r>
        <w:t>6 变更影响</w:t>
      </w:r>
    </w:p>
    <w:p>
      <w:pPr>
        <w:pStyle w:val="ListBullet"/>
        <w:numPr>
          <w:ilvl w:val="0"/>
          <w:numId w:val="90"/>
        </w:numPr>
      </w:pPr>
      <w:r>
        <w:rPr>
          <w:rFonts w:ascii="FangSong_GB2312" w:hAnsi="FangSong_GB2312" w:eastAsia="FangSong_GB2312" w:cs="FangSong_GB2312"/>
          <w:b w:val="0"/>
          <w:sz w:val="22"/>
        </w:rPr>
        <w:t>RTL/TB 变化：重跑编译、仿真、综合、STA，并复核需求/设计/测试追踪；</w:t>
      </w:r>
    </w:p>
    <w:p>
      <w:pPr>
        <w:pStyle w:val="ListBullet"/>
        <w:numPr>
          <w:ilvl w:val="0"/>
          <w:numId w:val="90"/>
        </w:numPr>
      </w:pPr>
      <w:r>
        <w:rPr>
          <w:rFonts w:ascii="FangSong_GB2312" w:hAnsi="FangSong_GB2312" w:eastAsia="FangSong_GB2312" w:cs="FangSong_GB2312"/>
          <w:b w:val="0"/>
          <w:sz w:val="22"/>
        </w:rPr>
        <w:t>XDC 变化：重跑约束审查、实现、DRC、STA、码流和板测；</w:t>
      </w:r>
    </w:p>
    <w:p>
      <w:pPr>
        <w:pStyle w:val="ListBullet"/>
        <w:numPr>
          <w:ilvl w:val="0"/>
          <w:numId w:val="90"/>
        </w:numPr>
      </w:pPr>
      <w:r>
        <w:rPr>
          <w:rFonts w:ascii="FangSong_GB2312" w:hAnsi="FangSong_GB2312" w:eastAsia="FangSong_GB2312" w:cs="FangSong_GB2312"/>
          <w:b w:val="0"/>
          <w:sz w:val="22"/>
        </w:rPr>
        <w:t>时钟/波特率变化：重算分频、宽度、误差、容差和吞吐，执行全量动态回归；</w:t>
      </w:r>
    </w:p>
    <w:p>
      <w:pPr>
        <w:pStyle w:val="ListBullet"/>
        <w:numPr>
          <w:ilvl w:val="0"/>
          <w:numId w:val="90"/>
        </w:numPr>
      </w:pPr>
      <w:r>
        <w:rPr>
          <w:rFonts w:ascii="FangSong_GB2312" w:hAnsi="FangSong_GB2312" w:eastAsia="FangSong_GB2312" w:cs="FangSong_GB2312"/>
          <w:b w:val="0"/>
          <w:sz w:val="22"/>
        </w:rPr>
        <w:t>标准、完整性等级或系统危害变化：重评文档种类、裁剪、独立性、覆盖、故障注入和回归范围；</w:t>
      </w:r>
    </w:p>
    <w:p>
      <w:pPr>
        <w:pStyle w:val="ListBullet"/>
        <w:numPr>
          <w:ilvl w:val="0"/>
          <w:numId w:val="90"/>
        </w:numPr>
      </w:pPr>
      <w:r>
        <w:rPr>
          <w:rFonts w:ascii="FangSong_GB2312" w:hAnsi="FangSong_GB2312" w:eastAsia="FangSong_GB2312" w:cs="FangSong_GB2312"/>
          <w:b w:val="0"/>
          <w:sz w:val="22"/>
        </w:rPr>
        <w:t>历史结果保留原输入哈希，不被新结果原地覆盖。</w:t>
      </w:r>
    </w:p>
    <w:p>
      <w:pPr>
        <w:pStyle w:val="Heading1"/>
      </w:pPr>
      <w:r>
        <w:t>注释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本文是支撑文档，不把关系记录冒充 GJB 9764-2020 的正式批准或测试报告。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FangSong_GB2312" w:hAnsi="FangSong_GB2312" w:eastAsia="FangSong_GB2312" w:cs="FangSong_GB2312"/>
        <w:color w:val="66666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FangSong_GB2312" w:hAnsi="FangSong_GB2312" w:eastAsia="FangSong_GB2312" w:cs="FangSong_GB2312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FangSong_GB2312" w:hAnsi="FangSong_GB2312" w:eastAsia="FangSong_GB2312" w:cs="FangSong_GB2312"/>
        <w:color w:val="666666"/>
        <w:sz w:val="17"/>
      </w:rPr>
      <w:t>Synthia Golden | 受控候选文档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90">
    <w:abstractNumId w:val="90"/>
  </w:num>
  <w:abstractNum w:abstractNumId="9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FangSong_GB2312" w:hAnsi="FangSong_GB2312" w:eastAsia="FangSong_GB2312" w:cs="FangSong_GB23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FangSong_GB2312" w:hAnsi="FangSong_GB2312" w:eastAsia="FangSong_GB2312" w:cs="FangSong_GB2312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FangSong_GB2312" w:hAnsi="FangSong_GB2312" w:eastAsia="FangSong_GB2312" w:cs="FangSong_GB2312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FangSong_GB2312" w:hAnsi="FangSong_GB2312" w:eastAsia="FangSong_GB2312" w:cs="FangSong_GB2312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  <w:jc w:val="center"/>
    </w:pPr>
    <w:rPr>
      <w:rFonts w:asciiTheme="majorHAnsi" w:eastAsiaTheme="majorEastAsia" w:hAnsiTheme="majorHAnsi" w:cstheme="majorBidi" w:ascii="FangSong_GB2312" w:hAnsi="FangSong_GB2312" w:eastAsia="FangSong_GB2312" w:cs="FangSong_GB2312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FangSong_GB2312" w:hAnsi="FangSong_GB2312" w:eastAsia="FangSong_GB2312" w:cs="FangSong_GB2312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FangSong_GB2312" w:hAnsi="FangSong_GB2312" w:eastAsia="FangSong_GB2312" w:cs="FangSong_GB2312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UART 收发器候选可追踪性矩阵</dc:title>
  <dc:subject>GOLDEN-UART GJB candidate document</dc:subject>
  <dc:creator>Synthia (candidate drafting assistant)</dc:creator>
  <cp:keywords>candidate; GJB 9432; GJB 9764; UART; XC7VX690T</cp:keywords>
  <dc:description>Generated from controlled Markdown source; compact_reference_guide preset with named A4 and FangSong_GB2312 font override; memo_masthead-style title plus metadata cover; human review and approval pending.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