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UART 收发器软件配置管理计划（SCMP）</w:t>
      </w:r>
    </w:p>
    <w:tbl>
      <w:tblPr>
        <w:tblStyle w:val="TableGrid"/>
        <w:tblW w:type="dxa" w:w="9025"/>
        <w:tblLayout w:type="fixed"/>
        <w:tblLook w:firstColumn="1" w:firstRow="1" w:lastColumn="0" w:lastRow="0" w:noHBand="0" w:noVBand="1" w:val="04A0"/>
        <w:tblInd w:w="120" w:type="dxa"/>
      </w:tblPr>
      <w:tblGrid>
        <w:gridCol w:w="2256"/>
        <w:gridCol w:w="6769"/>
      </w:tblGrid>
      <w:tr>
        <w:trPr>
          <w:tblHeader w:val="true"/>
        </w:trPr>
        <w:tc>
          <w:tcPr>
            <w:tcW w:type="dxa" w:w="2256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属性</w:t>
            </w:r>
          </w:p>
        </w:tc>
        <w:tc>
          <w:tcPr>
            <w:tcW w:type="dxa" w:w="6769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内容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文档标识及版本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UART-DOC-013 / v2.3 candidate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数据分类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待项目责任人确定；当前按非公开工程资料处理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编制/修订日期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2026-08-27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文档名称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UART 收发器软件配置管理计划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编制单位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Synthia Golden 候选项目（待授权单位确认）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编写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Agent 辅助拟制，待授权角色署名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审核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待相应技术/验证/质量角色审核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批准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未批准；待项目负责人或授权批准人决定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修改页</w:t>
      </w:r>
    </w:p>
    <w:tbl>
      <w:tblPr>
        <w:tblStyle w:val="TableGrid"/>
        <w:tblW w:type="dxa" w:w="9025"/>
        <w:tblLayout w:type="fixed"/>
        <w:tblLook w:firstColumn="1" w:firstRow="1" w:lastColumn="0" w:lastRow="0" w:noHBand="0" w:noVBand="1" w:val="04A0"/>
        <w:tblInd w:w="120" w:type="dxa"/>
      </w:tblPr>
      <w:tblGrid>
        <w:gridCol w:w="1354"/>
        <w:gridCol w:w="1805"/>
        <w:gridCol w:w="4059"/>
        <w:gridCol w:w="1807"/>
      </w:tblGrid>
      <w:tr>
        <w:trPr>
          <w:tblHeader w:val="true"/>
        </w:trPr>
        <w:tc>
          <w:tcPr>
            <w:tcW w:type="dxa" w:w="135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版本</w:t>
            </w:r>
          </w:p>
        </w:tc>
        <w:tc>
          <w:tcPr>
            <w:tcW w:type="dxa" w:w="1805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日期</w:t>
            </w:r>
          </w:p>
        </w:tc>
        <w:tc>
          <w:tcPr>
            <w:tcW w:type="dxa" w:w="4059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修改内容</w:t>
            </w:r>
          </w:p>
        </w:tc>
        <w:tc>
          <w:tcPr>
            <w:tcW w:type="dxa" w:w="1807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修改人</w:t>
            </w:r>
          </w:p>
        </w:tc>
      </w:tr>
      <w:tr>
        <w:tc>
          <w:tcPr>
            <w:tcW w:type="dxa" w:w="135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v2.3 candidate</w:t>
            </w:r>
          </w:p>
        </w:tc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2026-08-27</w:t>
            </w:r>
          </w:p>
        </w:tc>
        <w:tc>
          <w:tcPr>
            <w:tcW w:type="dxa" w:w="4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按适用标准补齐 SCMP Word 候选，并纳入 690T/保证/角色决策</w:t>
            </w:r>
          </w:p>
        </w:tc>
        <w:tc>
          <w:tcPr>
            <w:tcW w:type="dxa" w:w="18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Agent 辅助拟制，待授权角色确认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目录</w:t>
      </w:r>
    </w:p>
    <w:p>
      <w:pPr>
        <w:pStyle w:val="ListNumber"/>
        <w:numPr>
          <w:ilvl w:val="0"/>
          <w:numId w:val="91"/>
        </w:numPr>
      </w:pPr>
      <w:r>
        <w:rPr>
          <w:rFonts w:ascii="FangSong_GB2312" w:hAnsi="FangSong_GB2312" w:eastAsia="FangSong_GB2312" w:cs="FangSong_GB2312"/>
          <w:b w:val="0"/>
          <w:sz w:val="22"/>
        </w:rPr>
        <w:t>范围</w:t>
      </w:r>
    </w:p>
    <w:p>
      <w:pPr>
        <w:pStyle w:val="ListNumber"/>
        <w:numPr>
          <w:ilvl w:val="0"/>
          <w:numId w:val="91"/>
        </w:numPr>
      </w:pPr>
      <w:r>
        <w:rPr>
          <w:rFonts w:ascii="FangSong_GB2312" w:hAnsi="FangSong_GB2312" w:eastAsia="FangSong_GB2312" w:cs="FangSong_GB2312"/>
          <w:b w:val="0"/>
          <w:sz w:val="22"/>
        </w:rPr>
        <w:t>引用文档</w:t>
      </w:r>
    </w:p>
    <w:p>
      <w:pPr>
        <w:pStyle w:val="ListNumber"/>
        <w:numPr>
          <w:ilvl w:val="0"/>
          <w:numId w:val="91"/>
        </w:numPr>
      </w:pPr>
      <w:r>
        <w:rPr>
          <w:rFonts w:ascii="FangSong_GB2312" w:hAnsi="FangSong_GB2312" w:eastAsia="FangSong_GB2312" w:cs="FangSong_GB2312"/>
          <w:b w:val="0"/>
          <w:sz w:val="22"/>
        </w:rPr>
        <w:t>组织和职责</w:t>
      </w:r>
    </w:p>
    <w:p>
      <w:pPr>
        <w:pStyle w:val="ListNumber"/>
        <w:numPr>
          <w:ilvl w:val="0"/>
          <w:numId w:val="91"/>
        </w:numPr>
      </w:pPr>
      <w:r>
        <w:rPr>
          <w:rFonts w:ascii="FangSong_GB2312" w:hAnsi="FangSong_GB2312" w:eastAsia="FangSong_GB2312" w:cs="FangSong_GB2312"/>
          <w:b w:val="0"/>
          <w:sz w:val="22"/>
        </w:rPr>
        <w:t>软件配置管理活动</w:t>
      </w:r>
    </w:p>
    <w:p>
      <w:pPr>
        <w:pStyle w:val="ListNumber"/>
        <w:numPr>
          <w:ilvl w:val="0"/>
          <w:numId w:val="91"/>
        </w:numPr>
      </w:pPr>
      <w:r>
        <w:rPr>
          <w:rFonts w:ascii="FangSong_GB2312" w:hAnsi="FangSong_GB2312" w:eastAsia="FangSong_GB2312" w:cs="FangSong_GB2312"/>
          <w:b w:val="0"/>
          <w:sz w:val="22"/>
        </w:rPr>
        <w:t>工具、技术和方法</w:t>
      </w:r>
    </w:p>
    <w:p>
      <w:pPr>
        <w:pStyle w:val="ListNumber"/>
        <w:numPr>
          <w:ilvl w:val="0"/>
          <w:numId w:val="91"/>
        </w:numPr>
      </w:pPr>
      <w:r>
        <w:rPr>
          <w:rFonts w:ascii="FangSong_GB2312" w:hAnsi="FangSong_GB2312" w:eastAsia="FangSong_GB2312" w:cs="FangSong_GB2312"/>
          <w:b w:val="0"/>
          <w:sz w:val="22"/>
        </w:rPr>
        <w:t>对供货单位的控制</w:t>
      </w:r>
    </w:p>
    <w:p>
      <w:pPr>
        <w:pStyle w:val="ListNumber"/>
        <w:numPr>
          <w:ilvl w:val="0"/>
          <w:numId w:val="91"/>
        </w:numPr>
      </w:pPr>
      <w:r>
        <w:rPr>
          <w:rFonts w:ascii="FangSong_GB2312" w:hAnsi="FangSong_GB2312" w:eastAsia="FangSong_GB2312" w:cs="FangSong_GB2312"/>
          <w:b w:val="0"/>
          <w:sz w:val="22"/>
        </w:rPr>
        <w:t>进度表</w:t>
      </w:r>
    </w:p>
    <w:p>
      <w:pPr>
        <w:pStyle w:val="ListNumber"/>
        <w:numPr>
          <w:ilvl w:val="0"/>
          <w:numId w:val="91"/>
        </w:numPr>
      </w:pPr>
      <w:r>
        <w:rPr>
          <w:rFonts w:ascii="FangSong_GB2312" w:hAnsi="FangSong_GB2312" w:eastAsia="FangSong_GB2312" w:cs="FangSong_GB2312"/>
          <w:b w:val="0"/>
          <w:sz w:val="22"/>
        </w:rPr>
        <w:t>注释</w:t>
      </w:r>
    </w:p>
    <w:p>
      <w:r>
        <w:br w:type="page"/>
      </w:r>
    </w:p>
    <w:p>
      <w:pPr>
        <w:pStyle w:val="Heading1"/>
      </w:pPr>
      <w:r>
        <w:t>1 范围</w:t>
      </w:r>
    </w:p>
    <w:p>
      <w:pPr>
        <w:ind w:firstLine="420"/>
      </w:pPr>
      <w:r>
        <w:rPr>
          <w:rFonts w:ascii="FangSong_GB2312" w:hAnsi="FangSong_GB2312" w:eastAsia="FangSong_GB2312" w:cs="FangSong_GB2312"/>
          <w:b w:val="0"/>
          <w:sz w:val="22"/>
        </w:rPr>
        <w:t>本文档适用于 GOLDEN-UART 候选项目。用户已选定 AMD Xilinx Virtex-7 XC7VX690T、</w:t>
      </w:r>
      <w:r>
        <w:rPr>
          <w:rFonts w:ascii="Courier New" w:hAnsi="Courier New" w:eastAsia="Courier New" w:cs="Courier New"/>
          <w:b w:val="0"/>
          <w:color w:val="1F3A5F"/>
          <w:sz w:val="21"/>
        </w:rPr>
        <w:t>uart_top</w:t>
      </w:r>
      <w:r>
        <w:rPr>
          <w:rFonts w:ascii="FangSong_GB2312" w:hAnsi="FangSong_GB2312" w:eastAsia="FangSong_GB2312" w:cs="FangSong_GB2312"/>
          <w:b w:val="0"/>
          <w:sz w:val="22"/>
        </w:rPr>
        <w:t xml:space="preserve"> 通用核 + </w:t>
      </w:r>
      <w:r>
        <w:rPr>
          <w:rFonts w:ascii="Courier New" w:hAnsi="Courier New" w:eastAsia="Courier New" w:cs="Courier New"/>
          <w:b w:val="0"/>
          <w:color w:val="1F3A5F"/>
          <w:sz w:val="21"/>
        </w:rPr>
        <w:t>uart_board_top</w:t>
      </w:r>
      <w:r>
        <w:rPr>
          <w:rFonts w:ascii="FangSong_GB2312" w:hAnsi="FangSong_GB2312" w:eastAsia="FangSong_GB2312" w:cs="FangSong_GB2312"/>
          <w:b w:val="0"/>
          <w:sz w:val="22"/>
        </w:rPr>
        <w:t xml:space="preserve"> 板级包装、板载 USB-UART、100 MHz 核时钟、9600 bit/s 8N1 基线与 115200 bit/s 扩展回归。候选 Vivado part 为 </w:t>
      </w:r>
      <w:r>
        <w:rPr>
          <w:rFonts w:ascii="Courier New" w:hAnsi="Courier New" w:eastAsia="Courier New" w:cs="Courier New"/>
          <w:b w:val="0"/>
          <w:color w:val="1F3A5F"/>
          <w:sz w:val="21"/>
        </w:rPr>
        <w:t>xc7vx690tffg1761-2</w:t>
      </w:r>
      <w:r>
        <w:rPr>
          <w:rFonts w:ascii="FangSong_GB2312" w:hAnsi="FangSong_GB2312" w:eastAsia="FangSong_GB2312" w:cs="FangSong_GB2312"/>
          <w:b w:val="0"/>
          <w:sz w:val="22"/>
        </w:rPr>
        <w:t xml:space="preserve">，但已知 worker-66/Vivado 2021.1 不包含它，新 Connector 尚未用 </w:t>
      </w:r>
      <w:r>
        <w:rPr>
          <w:rFonts w:ascii="Courier New" w:hAnsi="Courier New" w:eastAsia="Courier New" w:cs="Courier New"/>
          <w:b w:val="0"/>
          <w:color w:val="1F3A5F"/>
          <w:sz w:val="21"/>
        </w:rPr>
        <w:t>get_parts -quiet xc7vx690t*</w:t>
      </w:r>
      <w:r>
        <w:rPr>
          <w:rFonts w:ascii="FangSong_GB2312" w:hAnsi="FangSong_GB2312" w:eastAsia="FangSong_GB2312" w:cs="FangSong_GB2312"/>
          <w:b w:val="0"/>
          <w:sz w:val="22"/>
        </w:rPr>
        <w:t xml:space="preserve"> 确认。</w:t>
      </w:r>
    </w:p>
    <w:p>
      <w:pPr>
        <w:pStyle w:val="Heading1"/>
      </w:pPr>
      <w:r>
        <w:t>2 引用文档</w:t>
      </w:r>
    </w:p>
    <w:tbl>
      <w:tblPr>
        <w:tblStyle w:val="TableGrid"/>
        <w:tblW w:type="dxa" w:w="9025"/>
        <w:tblLayout w:type="fixed"/>
        <w:tblLook w:firstColumn="1" w:firstRow="1" w:lastColumn="0" w:lastRow="0" w:noHBand="0" w:noVBand="1" w:val="04A0"/>
        <w:tblInd w:w="120" w:type="dxa"/>
      </w:tblPr>
      <w:tblGrid>
        <w:gridCol w:w="1805"/>
        <w:gridCol w:w="3610"/>
        <w:gridCol w:w="3610"/>
      </w:tblGrid>
      <w:tr>
        <w:trPr>
          <w:tblHeader w:val="true"/>
        </w:trPr>
        <w:tc>
          <w:tcPr>
            <w:tcW w:type="dxa" w:w="1805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文档标识</w:t>
            </w:r>
          </w:p>
        </w:tc>
        <w:tc>
          <w:tcPr>
            <w:tcW w:type="dxa" w:w="3610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标题</w:t>
            </w:r>
          </w:p>
        </w:tc>
        <w:tc>
          <w:tcPr>
            <w:tcW w:type="dxa" w:w="3610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状态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GJB 9432-2018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军用可编程逻辑器件软件开发通用要求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用户提供的 11 页完整副本；受控性待审核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GJB 9433-2018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军用可编程逻辑器件软件测试要求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仓库参考副本；受控性待审核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GJB 9764-2020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军用可编程逻辑器件软件文档编制规范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仓库完整扫描与校读转写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GJB 438B-2009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军用软件开发文档通用要求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仓库完整扫描与校读转写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UART-DOC-000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项目保证与裁剪说明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v2.3 candidate</w:t>
            </w:r>
          </w:p>
        </w:tc>
      </w:tr>
    </w:tbl>
    <w:p>
      <w:pPr>
        <w:spacing w:after="40"/>
      </w:pPr>
    </w:p>
    <w:p>
      <w:pPr>
        <w:pStyle w:val="Heading1"/>
      </w:pPr>
      <w:r>
        <w:t>3 组织和职责</w:t>
      </w:r>
    </w:p>
    <w:p>
      <w:pPr>
        <w:ind w:firstLine="420"/>
      </w:pPr>
      <w:r>
        <w:rPr>
          <w:rFonts w:ascii="FangSong_GB2312" w:hAnsi="FangSong_GB2312" w:eastAsia="FangSong_GB2312" w:cs="FangSong_GB2312"/>
          <w:b w:val="0"/>
          <w:sz w:val="22"/>
        </w:rPr>
        <w:t>采用全角色模型：项目负责人、系统/安全、需求、PLDS 设计、验证、独立 V&amp;V、质量保证、配置管理、标准/文档控制、硬件/板卡责任人和发布/G4 批准人。人选、独立性、权限和签署待项目负责人审定；Synthia 只能拟制候选和整理证据，不能充当受权人类批准人。</w:t>
      </w:r>
    </w:p>
    <w:p>
      <w:pPr>
        <w:pStyle w:val="Heading1"/>
      </w:pPr>
      <w:r>
        <w:t>4 软件配置管理活动</w:t>
      </w:r>
    </w:p>
    <w:tbl>
      <w:tblPr>
        <w:tblStyle w:val="TableGrid"/>
        <w:tblW w:type="dxa" w:w="9025"/>
        <w:tblLayout w:type="fixed"/>
        <w:tblLook w:firstColumn="1" w:firstRow="1" w:lastColumn="0" w:lastRow="0" w:noHBand="0" w:noVBand="1" w:val="04A0"/>
        <w:tblInd w:w="120" w:type="dxa"/>
      </w:tblPr>
      <w:tblGrid>
        <w:gridCol w:w="1805"/>
        <w:gridCol w:w="3610"/>
        <w:gridCol w:w="3610"/>
      </w:tblGrid>
      <w:tr>
        <w:trPr>
          <w:tblHeader w:val="true"/>
        </w:trPr>
        <w:tc>
          <w:tcPr>
            <w:tcW w:type="dxa" w:w="1805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活动</w:t>
            </w:r>
          </w:p>
        </w:tc>
        <w:tc>
          <w:tcPr>
            <w:tcW w:type="dxa" w:w="3610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要求</w:t>
            </w:r>
          </w:p>
        </w:tc>
        <w:tc>
          <w:tcPr>
            <w:tcW w:type="dxa" w:w="3610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记录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配置标识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源码、TB、XDC、文档、工具 profile 和板级输入使用唯一标识/版本/SHA-256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ArtifactRevision/manifest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配置控制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变更需要来源、影响分析、授权决定和回归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change/approval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状态记实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candidate/in_review/approved 和 exploratory/formal 严格分离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event/status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配置审核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基线前复核完整性、哈希、追踪、问题和权限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audit record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发行/交付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只允许获批产品基线和证据清单进入发布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SVD/SPS/delivery manifest</w:t>
            </w:r>
          </w:p>
        </w:tc>
      </w:tr>
    </w:tbl>
    <w:p>
      <w:pPr>
        <w:spacing w:after="40"/>
      </w:pPr>
    </w:p>
    <w:p>
      <w:pPr>
        <w:pStyle w:val="Heading1"/>
      </w:pPr>
      <w:r>
        <w:t>5 工具、技术和方法</w:t>
      </w:r>
    </w:p>
    <w:p>
      <w:pPr>
        <w:ind w:firstLine="420"/>
      </w:pPr>
      <w:r>
        <w:rPr>
          <w:rFonts w:ascii="FangSong_GB2312" w:hAnsi="FangSong_GB2312" w:eastAsia="FangSong_GB2312" w:cs="FangSong_GB2312"/>
          <w:b w:val="0"/>
          <w:sz w:val="22"/>
        </w:rPr>
        <w:t>Git 保留内容寻址历史，Core 保留 Artifact/Revision/Snapshot/Approval 结构化事实，Connector 保留 ToolRun 和 EvidenceManifest。不用 Markdown 状态冒充批准对象。</w:t>
      </w:r>
    </w:p>
    <w:p>
      <w:pPr>
        <w:pStyle w:val="Heading1"/>
      </w:pPr>
      <w:r>
        <w:t>6 对供货单位的控制</w:t>
      </w:r>
    </w:p>
    <w:p>
      <w:pPr>
        <w:ind w:firstLine="420"/>
      </w:pPr>
      <w:r>
        <w:rPr>
          <w:rFonts w:ascii="FangSong_GB2312" w:hAnsi="FangSong_GB2312" w:eastAsia="FangSong_GB2312" w:cs="FangSong_GB2312"/>
          <w:b w:val="0"/>
          <w:sz w:val="22"/>
        </w:rPr>
        <w:t>本节无已确认供货单位内容，因当前未识别分承制方；引入板卡/IP/工具供应方后补充版本、许可、完整性和交付控制。</w:t>
      </w:r>
    </w:p>
    <w:p>
      <w:pPr>
        <w:pStyle w:val="Heading1"/>
      </w:pPr>
      <w:r>
        <w:t>7 进度表</w:t>
      </w:r>
    </w:p>
    <w:p>
      <w:pPr>
        <w:ind w:firstLine="420"/>
      </w:pPr>
      <w:r>
        <w:rPr>
          <w:rFonts w:ascii="FangSong_GB2312" w:hAnsi="FangSong_GB2312" w:eastAsia="FangSong_GB2312" w:cs="FangSong_GB2312"/>
          <w:b w:val="0"/>
          <w:sz w:val="22"/>
        </w:rPr>
        <w:t>配置标识随首次产出建立；每次门审前执行状态记实与配置审核；发布时生成 SPS/SVD/SCMR 和交付清单。</w:t>
      </w:r>
    </w:p>
    <w:p>
      <w:pPr>
        <w:pStyle w:val="Heading1"/>
      </w:pPr>
      <w:r>
        <w:t>8 注释</w:t>
      </w:r>
    </w:p>
    <w:p>
      <w:pPr>
        <w:ind w:firstLine="420"/>
      </w:pPr>
      <w:r>
        <w:rPr>
          <w:rFonts w:ascii="FangSong_GB2312" w:hAnsi="FangSong_GB2312" w:eastAsia="FangSong_GB2312" w:cs="FangSong_GB2312"/>
          <w:b w:val="0"/>
          <w:sz w:val="22"/>
        </w:rPr>
        <w:t>配置管理角色人选和批准权限待项目负责人确认。</w:t>
      </w:r>
    </w:p>
    <w:p>
      <w:pPr>
        <w:pStyle w:val="Heading1"/>
      </w:pPr>
      <w:r>
        <w:t>候选与批准声明</w:t>
      </w:r>
    </w:p>
    <w:p>
      <w:pPr>
        <w:ind w:firstLine="420"/>
      </w:pPr>
      <w:r>
        <w:rPr>
          <w:rFonts w:ascii="FangSong_GB2312" w:hAnsi="FangSong_GB2312" w:eastAsia="FangSong_GB2312" w:cs="FangSong_GB2312"/>
          <w:b w:val="0"/>
          <w:sz w:val="22"/>
        </w:rPr>
        <w:t>本文档由 Synthia 辅助拟制，只是 candidate。未经具有对应授权的人类角色审核、批准并绑定冻结快照前，不得解释为获批基线、符合性结论、测试通过或交付许可。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440" w:bottom="1440" w:left="1440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FangSong_GB2312" w:hAnsi="FangSong_GB2312" w:eastAsia="FangSong_GB2312" w:cs="FangSong_GB2312"/>
        <w:color w:val="666666"/>
        <w:sz w:val="18"/>
      </w:rPr>
      <w:t xml:space="preserve">第 </w:t>
      <w:fldChar w:fldCharType="begin"/>
      <w:instrText xml:space="preserve"> PAGE </w:instrText>
      <w:fldChar w:fldCharType="end"/>
    </w:r>
    <w:r>
      <w:rPr>
        <w:rFonts w:ascii="FangSong_GB2312" w:hAnsi="FangSong_GB2312" w:eastAsia="FangSong_GB2312" w:cs="FangSong_GB2312"/>
        <w:color w:val="666666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FangSong_GB2312" w:hAnsi="FangSong_GB2312" w:eastAsia="FangSong_GB2312" w:cs="FangSong_GB2312"/>
        <w:color w:val="666666"/>
        <w:sz w:val="17"/>
      </w:rPr>
      <w:t>Synthia Golden | 受控候选文档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0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1"/>
        <w:spacing w:after="80" w:line="300" w:lineRule="auto"/>
      </w:pPr>
    </w:lvl>
  </w:abstractNum>
  <w:num w:numId="90">
    <w:abstractNumId w:val="90"/>
  </w:num>
  <w:abstractNum w:abstractNumId="91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1"/>
        <w:spacing w:after="80" w:line="300" w:lineRule="auto"/>
      </w:pPr>
    </w:lvl>
  </w:abstractNum>
  <w:num w:numId="91">
    <w:abstractNumId w:val="9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FangSong_GB2312" w:hAnsi="FangSong_GB2312" w:eastAsia="FangSong_GB2312" w:cs="FangSong_GB231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FangSong_GB2312" w:hAnsi="FangSong_GB2312" w:eastAsia="FangSong_GB2312" w:cs="FangSong_GB2312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FangSong_GB2312" w:hAnsi="FangSong_GB2312" w:eastAsia="FangSong_GB2312" w:cs="FangSong_GB2312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FangSong_GB2312" w:hAnsi="FangSong_GB2312" w:eastAsia="FangSong_GB2312" w:cs="FangSong_GB2312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320" w:line="240" w:lineRule="auto" w:before="0"/>
      <w:contextualSpacing/>
      <w:jc w:val="center"/>
    </w:pPr>
    <w:rPr>
      <w:rFonts w:asciiTheme="majorHAnsi" w:eastAsiaTheme="majorEastAsia" w:hAnsiTheme="majorHAnsi" w:cstheme="majorBidi" w:ascii="FangSong_GB2312" w:hAnsi="FangSong_GB2312" w:eastAsia="FangSong_GB2312" w:cs="FangSong_GB2312"/>
      <w:b w:val="0"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FangSong_GB2312" w:hAnsi="FangSong_GB2312" w:eastAsia="FangSong_GB2312" w:cs="FangSong_GB2312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FangSong_GB2312" w:hAnsi="FangSong_GB2312" w:eastAsia="FangSong_GB2312" w:cs="FangSong_GB2312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UART 收发器软件配置管理计划（SCMP）</dc:title>
  <dc:subject>GOLDEN-UART GJB candidate document</dc:subject>
  <dc:creator>Synthia (candidate drafting assistant)</dc:creator>
  <cp:keywords>candidate; GJB 9432; GJB 9764; UART; XC7VX690T</cp:keywords>
  <dc:description>Generated from controlled Markdown source; compact_reference_guide preset with named A4 and FangSong_GB2312 font override; memo_masthead-style title plus metadata cover; human review and approval pending.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