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收发器软件产品规格说明（SPS）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UART-DOC-019 / v2.3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 收发器软件产品规格说明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按适用标准补齐 SPS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需求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合格性规定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软件支持信息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需求可追踪性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 SPS 描述当前候选产品结构；无获批产品基线或可交付 bitstream。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需求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类别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候选内容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源文件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rtl/*.v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、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tb/*.sv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、受控 XDC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22 类适用文档 + 3 份支撑文档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配置文件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精确 Vivado/Connector profile 和已确认 part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blocked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可执行/配置数据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bitstream 及编程/验证记录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blocked</w:t>
            </w:r>
          </w:p>
        </w:tc>
      </w:tr>
    </w:tbl>
    <w:p>
      <w:pPr>
        <w:spacing w:after="40"/>
      </w:pPr>
    </w:p>
    <w:p>
      <w:pPr>
        <w:pStyle w:val="Heading1"/>
      </w:pPr>
      <w:r>
        <w:t>4 合格性规定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逐项比对清单、文件长度和 SHA-256；在精确 part/profile 上可复现综合/实现/DRC/STA；依获批 PLDSVTP/VTD 完成板级确认。</w:t>
      </w:r>
    </w:p>
    <w:p>
      <w:pPr>
        <w:pStyle w:val="Heading1"/>
      </w:pPr>
      <w:r>
        <w:t>5 软件支持信息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“已建成”设计为通用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FangSong_GB2312" w:hAnsi="FangSong_GB2312" w:eastAsia="FangSong_GB2312" w:cs="FangSong_GB2312"/>
          <w:b w:val="0"/>
          <w:sz w:val="22"/>
        </w:rPr>
        <w:t>、TX/RX FSM 和分频使能。建立规程须指定精确输入哈希、top、part、约束和工具 profile；修改规程必须执行影响分析和全量回归。</w:t>
      </w:r>
    </w:p>
    <w:p>
      <w:pPr>
        <w:pStyle w:val="Heading1"/>
      </w:pPr>
      <w:r>
        <w:t>6 需求可追踪性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产品文件应追踪到设计单元、源文件、工具证据、资源测量和需求限值。</w:t>
      </w:r>
    </w:p>
    <w:p>
      <w:pPr>
        <w:pStyle w:val="Heading1"/>
      </w:pPr>
      <w:r>
        <w:t>7 注释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当前不得将候选清单称为产品基线。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gSong_GB2312" w:hAnsi="FangSong_GB2312" w:eastAsia="FangSong_GB2312" w:cs="FangSong_GB2312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FangSong_GB2312" w:hAnsi="FangSong_GB2312" w:eastAsia="FangSong_GB2312" w:cs="FangSong_GB2312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gSong_GB2312" w:hAnsi="FangSong_GB2312" w:eastAsia="FangSong_GB2312" w:cs="FangSong_GB2312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angSong_GB2312" w:hAnsi="FangSong_GB2312" w:eastAsia="FangSong_GB2312" w:cs="FangSong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FangSong_GB2312" w:hAnsi="FangSong_GB2312" w:eastAsia="FangSong_GB2312" w:cs="FangSong_GB2312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收发器软件产品规格说明（SPS）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FangSong_GB2312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