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UART 收发器可编程逻辑器件软件使用说明（PLDSUD）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属性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内容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文档标识及版本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UART-DOC-021 / v2.3 candidate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数据分类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待项目责任人确定；当前按非公开工程资料处理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编制/修订日期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文档名称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 收发器可编程逻辑器件软件使用说明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编制单位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Synthia Golden 候选项目（待授权单位确认）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编写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辅助拟制，待授权角色署名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审核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待相应技术/验证/质量角色审核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批准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未批准；待项目负责人或授权批准人决定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修改页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354"/>
        <w:gridCol w:w="1805"/>
        <w:gridCol w:w="4059"/>
        <w:gridCol w:w="1807"/>
      </w:tblGrid>
      <w:tr>
        <w:trPr>
          <w:tblHeader w:val="true"/>
        </w:trPr>
        <w:tc>
          <w:tcPr>
            <w:tcW w:type="dxa" w:w="1354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版本</w:t>
            </w:r>
          </w:p>
        </w:tc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日期</w:t>
            </w:r>
          </w:p>
        </w:tc>
        <w:tc>
          <w:tcPr>
            <w:tcW w:type="dxa" w:w="405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修改内容</w:t>
            </w:r>
          </w:p>
        </w:tc>
        <w:tc>
          <w:tcPr>
            <w:tcW w:type="dxa" w:w="1807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修改人</w:t>
            </w:r>
          </w:p>
        </w:tc>
      </w:tr>
      <w:tr>
        <w:tc>
          <w:tcPr>
            <w:tcW w:type="dxa" w:w="135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2026-08-27</w:t>
            </w:r>
          </w:p>
        </w:tc>
        <w:tc>
          <w:tcPr>
            <w:tcW w:type="dxa" w:w="40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按适用标准补齐 PLDSUD Word 候选，并纳入 690T/保证/角色决策</w:t>
            </w:r>
          </w:p>
        </w:tc>
        <w:tc>
          <w:tcPr>
            <w:tcW w:type="dxa" w:w="180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Agent 辅助拟制，待授权角色确认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目录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范围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引用文档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功能概述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主要技术指标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物理特性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使用说明</w:t>
      </w:r>
    </w:p>
    <w:p>
      <w:pPr>
        <w:pStyle w:val="ListNumber"/>
        <w:numPr>
          <w:ilvl w:val="0"/>
          <w:numId w:val="91"/>
        </w:numPr>
      </w:pPr>
      <w:r>
        <w:rPr>
          <w:rFonts w:ascii="FangSong_GB2312" w:hAnsi="FangSong_GB2312" w:eastAsia="FangSong_GB2312" w:cs="FangSong_GB2312"/>
          <w:b w:val="0"/>
          <w:sz w:val="22"/>
        </w:rPr>
        <w:t>固化</w:t>
      </w:r>
    </w:p>
    <w:p>
      <w:r>
        <w:br w:type="page"/>
      </w:r>
    </w:p>
    <w:p>
      <w:pPr>
        <w:pStyle w:val="Heading1"/>
      </w:pPr>
      <w:r>
        <w:t>1 范围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本文档适用于 GOLDEN-UART 候选项目。用户已选定 AMD Xilinx Virtex-7 XC7VX690T、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通用核 +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uart_board_top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板级包装、板载 USB-UART、100 MHz 核时钟、9600 bit/s 8N1 基线与 115200 bit/s 扩展回归。候选 Vivado part 为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xc7vx690tffg1761-2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，但已知 worker-66/Vivado 2021.1 不包含它，新 Connector 尚未用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get_parts -quiet xc7vx690t*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确认。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当前仅支持核级仿真/审查使用，不支持板级固化或装备运行。</w:t>
      </w:r>
    </w:p>
    <w:p>
      <w:pPr>
        <w:pStyle w:val="Heading1"/>
      </w:pPr>
      <w:r>
        <w:t>2 引用文档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610"/>
        <w:gridCol w:w="3610"/>
      </w:tblGrid>
      <w:tr>
        <w:trPr>
          <w:tblHeader w:val="true"/>
        </w:trPr>
        <w:tc>
          <w:tcPr>
            <w:tcW w:type="dxa" w:w="1805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文档标识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标题</w:t>
            </w:r>
          </w:p>
        </w:tc>
        <w:tc>
          <w:tcPr>
            <w:tcW w:type="dxa" w:w="3610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状态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9432-2018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军用可编程逻辑器件软件开发通用要求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用户提供的 11 页完整副本；受控性待审核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9433-2018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军用可编程逻辑器件软件测试要求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仓库参考副本；受控性待审核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9764-2020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军用可编程逻辑器件软件文档编制规范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GJB 438B-2009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军用软件开发文档通用要求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仓库完整扫描与校读转写</w:t>
            </w:r>
          </w:p>
        </w:tc>
      </w:tr>
      <w:tr>
        <w:tc>
          <w:tcPr>
            <w:tcW w:type="dxa" w:w="180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UART-DOC-000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项目保证与裁剪说明</w:t>
            </w:r>
          </w:p>
        </w:tc>
        <w:tc>
          <w:tcPr>
            <w:tcW w:type="dxa" w:w="36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v2.3 candidate</w:t>
            </w:r>
          </w:p>
        </w:tc>
      </w:tr>
    </w:tbl>
    <w:p>
      <w:pPr>
        <w:spacing w:after="40"/>
      </w:pPr>
    </w:p>
    <w:p>
      <w:pPr>
        <w:pStyle w:val="Heading1"/>
      </w:pPr>
      <w:r>
        <w:t>3 功能概述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全双工 8N1 UART，TX 将并行字节转换为 LSB-first 串行帧，RX 对异步输入同步后中点采样并报告错停止位。</w:t>
      </w:r>
    </w:p>
    <w:p>
      <w:pPr>
        <w:pStyle w:val="Heading1"/>
      </w:pPr>
      <w:r>
        <w:t>4 主要技术指标</w:t>
      </w:r>
    </w:p>
    <w:tbl>
      <w:tblPr>
        <w:tblStyle w:val="TableGrid"/>
        <w:tblW w:type="dxa" w:w="9025"/>
        <w:tblLayout w:type="fixed"/>
        <w:tblLook w:firstColumn="1" w:firstRow="1" w:lastColumn="0" w:lastRow="0" w:noHBand="0" w:noVBand="1" w:val="04A0"/>
        <w:tblInd w:w="120" w:type="dxa"/>
      </w:tblPr>
      <w:tblGrid>
        <w:gridCol w:w="2256"/>
        <w:gridCol w:w="6769"/>
      </w:tblGrid>
      <w:tr>
        <w:trPr>
          <w:tblHeader w:val="true"/>
        </w:trPr>
        <w:tc>
          <w:tcPr>
            <w:tcW w:type="dxa" w:w="2256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指标</w:t>
            </w:r>
          </w:p>
        </w:tc>
        <w:tc>
          <w:tcPr>
            <w:tcW w:type="dxa" w:w="6769"/>
            <w:vAlign w:val="center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/>
                <w:sz w:val="18"/>
              </w:rPr>
              <w:t>值/状态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时钟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100 MHz 核级需求；板级来源待确认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波特率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9600 基线；115200 扩展回归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帧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8 数据位、无校验、1 停止位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目标器件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XC7VX690T；精确 part 未验证</w:t>
            </w:r>
          </w:p>
        </w:tc>
      </w:tr>
      <w:tr>
        <w:tc>
          <w:tcPr>
            <w:tcW w:type="dxa" w:w="22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功耗/温压/辐照</w:t>
            </w:r>
          </w:p>
        </w:tc>
        <w:tc>
          <w:tcPr>
            <w:tcW w:type="dxa" w:w="676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/>
            <w:r>
              <w:rPr>
                <w:rFonts w:ascii="FangSong_GB2312" w:hAnsi="FangSong_GB2312" w:eastAsia="FangSong_GB2312" w:cs="FangSong_GB2312"/>
                <w:b w:val="0"/>
                <w:sz w:val="18"/>
              </w:rPr>
              <w:t>未提供/阻塞</w:t>
            </w:r>
          </w:p>
        </w:tc>
      </w:tr>
    </w:tbl>
    <w:p>
      <w:pPr>
        <w:spacing w:after="40"/>
      </w:pPr>
    </w:p>
    <w:p>
      <w:pPr>
        <w:pStyle w:val="Heading1"/>
      </w:pPr>
      <w:r>
        <w:t>5 物理特性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精确板卡制造商/型号/修订、原理图、官方管脚表或 Master XDC、USB-UART 连接、晶振/复位电路、Bank VCCO/IOSTANDARD 和测试仪器未提供。因此物理管脚、电气约束、码流和实物确认测试均为阻塞，不得由 Agent 填入典型值代替。</w:t>
      </w:r>
    </w:p>
    <w:p>
      <w:pPr>
        <w:pStyle w:val="Heading1"/>
      </w:pPr>
      <w:r>
        <w:t>6 使用说明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 xml:space="preserve">核级使用：在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tx_busy=0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时以单拍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tx_start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提交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tx_data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；捕获 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tx_done</w:t>
      </w:r>
      <w:r>
        <w:rPr>
          <w:rFonts w:ascii="FangSong_GB2312" w:hAnsi="FangSong_GB2312" w:eastAsia="FangSong_GB2312" w:cs="FangSong_GB2312"/>
          <w:b w:val="0"/>
          <w:sz w:val="22"/>
        </w:rPr>
        <w:t>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rx_done</w:t>
      </w:r>
      <w:r>
        <w:rPr>
          <w:rFonts w:ascii="FangSong_GB2312" w:hAnsi="FangSong_GB2312" w:eastAsia="FangSong_GB2312" w:cs="FangSong_GB2312"/>
          <w:b w:val="0"/>
          <w:sz w:val="22"/>
        </w:rPr>
        <w:t>、</w:t>
      </w:r>
      <w:r>
        <w:rPr>
          <w:rFonts w:ascii="Courier New" w:hAnsi="Courier New" w:eastAsia="Courier New" w:cs="Courier New"/>
          <w:b w:val="0"/>
          <w:color w:val="1F3A5F"/>
          <w:sz w:val="21"/>
        </w:rPr>
        <w:t>frame_err</w:t>
      </w:r>
      <w:r>
        <w:rPr>
          <w:rFonts w:ascii="FangSong_GB2312" w:hAnsi="FangSong_GB2312" w:eastAsia="FangSong_GB2312" w:cs="FangSong_GB2312"/>
          <w:b w:val="0"/>
          <w:sz w:val="22"/>
        </w:rPr>
        <w:t xml:space="preserve"> 单拍。仿真时以参数选择 9600/115200，全量回归后才接受。</w:t>
      </w:r>
    </w:p>
    <w:p>
      <w:pPr>
        <w:pStyle w:val="Heading1"/>
      </w:pPr>
      <w:r>
        <w:t>7 固化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本章无可执行固化步骤，因目标 part、板卡、配置方式、已批 bitstream 和验收规程缺失。固化前须补充操作、校验、回退和恢复规程。</w:t>
      </w:r>
    </w:p>
    <w:p>
      <w:pPr>
        <w:pStyle w:val="Heading1"/>
      </w:pPr>
      <w:r>
        <w:t>候选与批准声明</w:t>
      </w:r>
    </w:p>
    <w:p>
      <w:pPr>
        <w:ind w:firstLine="420"/>
      </w:pPr>
      <w:r>
        <w:rPr>
          <w:rFonts w:ascii="FangSong_GB2312" w:hAnsi="FangSong_GB2312" w:eastAsia="FangSong_GB2312" w:cs="FangSong_GB2312"/>
          <w:b w:val="0"/>
          <w:sz w:val="22"/>
        </w:rPr>
        <w:t>本文档由 Synthia 辅助拟制，只是 candidate。未经具有对应授权的人类角色审核、批准并绑定冻结快照前，不得解释为获批基线、符合性结论、测试通过或交付许可。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FangSong_GB2312" w:hAnsi="FangSong_GB2312" w:eastAsia="FangSong_GB2312" w:cs="FangSong_GB2312"/>
        <w:color w:val="666666"/>
        <w:sz w:val="18"/>
      </w:rPr>
      <w:t xml:space="preserve">第 </w:t>
      <w:fldChar w:fldCharType="begin"/>
      <w:instrText xml:space="preserve"> PAGE </w:instrText>
      <w:fldChar w:fldCharType="end"/>
    </w:r>
    <w:r>
      <w:rPr>
        <w:rFonts w:ascii="FangSong_GB2312" w:hAnsi="FangSong_GB2312" w:eastAsia="FangSong_GB2312" w:cs="FangSong_GB2312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FangSong_GB2312" w:hAnsi="FangSong_GB2312" w:eastAsia="FangSong_GB2312" w:cs="FangSong_GB2312"/>
        <w:color w:val="666666"/>
        <w:sz w:val="17"/>
      </w:rPr>
      <w:t>Synthia Golden | 受控候选文档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0">
    <w:abstractNumId w:val="90"/>
  </w:num>
  <w:abstractNum w:abstractNumId="9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1"/>
        <w:spacing w:after="80" w:line="300" w:lineRule="auto"/>
      </w:pPr>
    </w:lvl>
  </w:abstractNum>
  <w:num w:numId="91">
    <w:abstractNumId w:val="9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FangSong_GB2312" w:hAnsi="FangSong_GB2312" w:eastAsia="FangSong_GB2312" w:cs="FangSong_GB23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FangSong_GB2312" w:hAnsi="FangSong_GB2312" w:eastAsia="FangSong_GB2312" w:cs="FangSong_GB2312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20" w:line="240" w:lineRule="auto" w:before="0"/>
      <w:contextualSpacing/>
      <w:jc w:val="center"/>
    </w:pPr>
    <w:rPr>
      <w:rFonts w:asciiTheme="majorHAnsi" w:eastAsiaTheme="majorEastAsia" w:hAnsiTheme="majorHAnsi" w:cstheme="majorBidi" w:ascii="FangSong_GB2312" w:hAnsi="FangSong_GB2312" w:eastAsia="FangSong_GB2312" w:cs="FangSong_GB2312"/>
      <w:b w:val="0"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FangSong_GB2312" w:hAnsi="FangSong_GB2312" w:eastAsia="FangSong_GB2312" w:cs="FangSong_GB2312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UART 收发器可编程逻辑器件软件使用说明（PLDSUD）</dc:title>
  <dc:subject>GOLDEN-UART GJB candidate document</dc:subject>
  <dc:creator>Synthia (candidate drafting assistant)</dc:creator>
  <cp:keywords>candidate; GJB 9432; GJB 9764; UART; XC7VX690T</cp:keywords>
  <dc:description>Generated from controlled Markdown source; compact_reference_guide preset with named A4 and FangSong_GB2312 font override; memo_masthead-style title plus metadata cover; human review and approval pending.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