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UART 收发器可编程逻辑器件软件仿真测试计划（PLDSSTP）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6769"/>
      </w:tblGrid>
      <w:tr>
        <w:trPr>
          <w:tblHeader w:val="true"/>
        </w:trPr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属性</w:t>
            </w:r>
          </w:p>
        </w:tc>
        <w:tc>
          <w:tcPr>
            <w:tcW w:type="dxa" w:w="676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内容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文档标识及版本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UART-DOC-004 / v2.5 candidate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数据分类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待项目责任人确定；当前按非公开工程资料处理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编制/修订日期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2026-08-28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文档名称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 收发器可编程逻辑器件软件仿真测试计划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编制单位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Synthia Golden 候选项目（待授权单位确认）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编写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Agent 辅助拟制，待验证角色署名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审核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待独立验证、质量角色审核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批准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未批准；待验证负责人决定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修改页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354"/>
        <w:gridCol w:w="1805"/>
        <w:gridCol w:w="4059"/>
        <w:gridCol w:w="1807"/>
      </w:tblGrid>
      <w:tr>
        <w:trPr>
          <w:tblHeader w:val="true"/>
        </w:trPr>
        <w:tc>
          <w:tcPr>
            <w:tcW w:type="dxa" w:w="135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版本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日期</w:t>
            </w:r>
          </w:p>
        </w:tc>
        <w:tc>
          <w:tcPr>
            <w:tcW w:type="dxa" w:w="405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修改内容</w:t>
            </w:r>
          </w:p>
        </w:tc>
        <w:tc>
          <w:tcPr>
            <w:tcW w:type="dxa" w:w="180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修改人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v2.5 candidate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2026-08-28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登记 Mac→66 直连的全新 job 身份及修订后 DIFF_SSTL15 动态/静态/预码流 exploratory 回归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Agent 辅助拟制，待授权角色确认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v2.4 candidate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2026-08-27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固化 VC709/690T 环境，登记 9600/115200 XSim、源码校验、综合与预码流实现候选结果，保留覆盖/独立验证/板测阻断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Agent 辅助拟制，待授权角色确认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v2.3 candidate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2026-08-27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将当前目标改为 XC7VX690T，增加 115200 全量扩展回归、中等保证覆盖/独立验证要求，并把 K70T 工具结果限定为历史 exploratory 证据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Agent 辅助拟制，待授权角色确认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v2.2 candidate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2026-08-26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按 GJB 9433-2018 补充测试级别、过程、类型、方法和未覆盖项；原用例范围不变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Agent 辅助拟制，待授权角色确认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v2.1 candidate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2026-08-26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同步 GJB 438B-2009 参考集和上游候选文档版本；测试范围与策略不变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Agent 辅助拟制，待授权角色确认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v2.0 candidate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2026-08-26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从原合并测试文档中拆分 PLDSSTP，并按 GJB 9764-2020 附录 E 补齐环境、策略、进度和追踪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Agent 辅助拟制，待授权角色确认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范围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引用文档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测试要求与测试策略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仿真测试环境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测试内容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测试进度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可追踪性</w:t>
      </w:r>
    </w:p>
    <w:p>
      <w:r>
        <w:br w:type="page"/>
      </w:r>
    </w:p>
    <w:p>
      <w:pPr>
        <w:pStyle w:val="Heading1"/>
      </w:pPr>
      <w:r>
        <w:t>1 范围</w:t>
      </w:r>
    </w:p>
    <w:p>
      <w:pPr>
        <w:pStyle w:val="Heading2"/>
      </w:pPr>
      <w:r>
        <w:t>1.1 标识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 xml:space="preserve">被测项目为 GOLDEN-UART，通用核顶层为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uart_top</w:t>
      </w:r>
      <w:r>
        <w:rPr>
          <w:rFonts w:ascii="Songti SC" w:hAnsi="Songti SC" w:eastAsia="Songti SC" w:cs="Songti SC"/>
          <w:b w:val="0"/>
          <w:sz w:val="22"/>
        </w:rPr>
        <w:t xml:space="preserve">，板级包装为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uart_board_top</w:t>
      </w:r>
      <w:r>
        <w:rPr>
          <w:rFonts w:ascii="Songti SC" w:hAnsi="Songti SC" w:eastAsia="Songti SC" w:cs="Songti SC"/>
          <w:b w:val="0"/>
          <w:sz w:val="22"/>
        </w:rPr>
        <w:t xml:space="preserve">，目标为 VC709 /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xc7vx690tffg1761-2</w:t>
      </w:r>
      <w:r>
        <w:rPr>
          <w:rFonts w:ascii="Songti SC" w:hAnsi="Songti SC" w:eastAsia="Songti SC" w:cs="Songti SC"/>
          <w:b w:val="0"/>
          <w:sz w:val="22"/>
        </w:rPr>
        <w:t xml:space="preserve">。精确 part 已由真实 Connector/Vivado 2021.1 通过 Mac→66 直连查询并完成修订后预码流实现；被测文档版本为 v2.5 candidate，精确文件身份以每次 ToolRun 输入哈希和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manifest.sha256</w:t>
      </w:r>
      <w:r>
        <w:rPr>
          <w:rFonts w:ascii="Songti SC" w:hAnsi="Songti SC" w:eastAsia="Songti SC" w:cs="Songti SC"/>
          <w:b w:val="0"/>
          <w:sz w:val="22"/>
        </w:rPr>
        <w:t xml:space="preserve"> 为准。</w:t>
      </w:r>
    </w:p>
    <w:p>
      <w:pPr>
        <w:pStyle w:val="Heading2"/>
      </w:pPr>
      <w:r>
        <w:t>1.2 系统概述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被测 PLDS 为 100 MHz、8N1 全双工 UART；9600 bit/s 为基线配置，115200 bit/s 为必须执行的扩展回归配置。</w:t>
      </w:r>
    </w:p>
    <w:p>
      <w:pPr>
        <w:pStyle w:val="Heading3"/>
      </w:pPr>
      <w:r>
        <w:t>1.2.1 可编程逻辑器件软件概述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 xml:space="preserve">RTL 包含四个 Verilog-2001 通用核模块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uart_top</w:t>
      </w:r>
      <w:r>
        <w:rPr>
          <w:rFonts w:ascii="Songti SC" w:hAnsi="Songti SC" w:eastAsia="Songti SC" w:cs="Songti SC"/>
          <w:b w:val="0"/>
          <w:sz w:val="22"/>
        </w:rPr>
        <w:t>、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uart_tx</w:t>
      </w:r>
      <w:r>
        <w:rPr>
          <w:rFonts w:ascii="Songti SC" w:hAnsi="Songti SC" w:eastAsia="Songti SC" w:cs="Songti SC"/>
          <w:b w:val="0"/>
          <w:sz w:val="22"/>
        </w:rPr>
        <w:t>、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uart_rx</w:t>
      </w:r>
      <w:r>
        <w:rPr>
          <w:rFonts w:ascii="Songti SC" w:hAnsi="Songti SC" w:eastAsia="Songti SC" w:cs="Songti SC"/>
          <w:b w:val="0"/>
          <w:sz w:val="22"/>
        </w:rPr>
        <w:t>、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baud_gen</w:t>
      </w:r>
      <w:r>
        <w:rPr>
          <w:rFonts w:ascii="Songti SC" w:hAnsi="Songti SC" w:eastAsia="Songti SC" w:cs="Songti SC"/>
          <w:b w:val="0"/>
          <w:sz w:val="22"/>
        </w:rPr>
        <w:t xml:space="preserve">，以及 VC709 板级包装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uart_board_top</w:t>
      </w:r>
      <w:r>
        <w:rPr>
          <w:rFonts w:ascii="Songti SC" w:hAnsi="Songti SC" w:eastAsia="Songti SC" w:cs="Songti SC"/>
          <w:b w:val="0"/>
          <w:sz w:val="22"/>
        </w:rPr>
        <w:t>；TB 为参数化 SystemVerilog。板级包装显式例化 IBUFDS、MMCME2_BASE 和 BUFG，不使用 BRAM/DSP。当前 690T 预码流实现结果为 55 LUT、62 FF、0 BRAM/DSP，属于 exploratory/candidate 证据。</w:t>
      </w:r>
    </w:p>
    <w:p>
      <w:pPr>
        <w:pStyle w:val="Heading3"/>
      </w:pPr>
      <w:r>
        <w:t>1.2.2 运行环境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 xml:space="preserve">目标 PLD 为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xc7vx690tffg1761-2</w:t>
      </w:r>
      <w:r>
        <w:rPr>
          <w:rFonts w:ascii="Songti SC" w:hAnsi="Songti SC" w:eastAsia="Songti SC" w:cs="Songti SC"/>
          <w:b w:val="0"/>
          <w:sz w:val="22"/>
        </w:rPr>
        <w:t>，VC709 的 200 MHz 差分 SYSCLK 经 MMCM 生成 100 MHz 核时钟，CP2103 USB-UART 候选映射与电气值已由 UG887 v1.6、入库 XTP213 原理图和官方 Master XDC 交叉核对。本计划覆盖核级仿真和预码流静态/实现验证；修订后 XDC 已经重跑，实物确认仍阻塞。</w:t>
      </w:r>
    </w:p>
    <w:p>
      <w:pPr>
        <w:pStyle w:val="Heading3"/>
      </w:pPr>
      <w:r>
        <w:t>1.2.3 开发环境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 xml:space="preserve">当前候选运行使用 Vivado/XSim 2021.1 build 3247384、IP build 3246043，以及独立 Connector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vivado-66-vc709</w:t>
      </w:r>
      <w:r>
        <w:rPr>
          <w:rFonts w:ascii="Songti SC" w:hAnsi="Songti SC" w:eastAsia="Songti SC" w:cs="Songti SC"/>
          <w:b w:val="0"/>
          <w:sz w:val="22"/>
        </w:rPr>
        <w:t xml:space="preserve">；精确 part 查询成功，工具链 profile SHA-256 为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dffba16f6b8ba5b71a7fe7c732690231b1e58e78a3b2a4824a2512aa6fc788bc</w:t>
      </w:r>
      <w:r>
        <w:rPr>
          <w:rFonts w:ascii="Songti SC" w:hAnsi="Songti SC" w:eastAsia="Songti SC" w:cs="Songti SC"/>
          <w:b w:val="0"/>
          <w:sz w:val="22"/>
        </w:rPr>
        <w:t>。Icarus Verilog 只作本机交叉检查。正式运行仍须冻结工具版本、命令、参数和输入哈希并取得批准。</w:t>
      </w:r>
    </w:p>
    <w:p>
      <w:pPr>
        <w:pStyle w:val="Heading2"/>
      </w:pPr>
      <w:r>
        <w:t>1.3 文档概述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本文定义仿真测试级别、策略、环境、测试项和进度。具体可复现用例见 UART-DOC-005，实际结果见 UART-DOC-006。数据分类尚待授权角色确定。</w:t>
      </w:r>
    </w:p>
    <w:p>
      <w:pPr>
        <w:pStyle w:val="Heading1"/>
      </w:pPr>
      <w:r>
        <w:t>2 引用文档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3610"/>
        <w:gridCol w:w="3610"/>
      </w:tblGrid>
      <w:tr>
        <w:trPr>
          <w:tblHeader w:val="true"/>
        </w:trPr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文档标识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标题/版本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状态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GB/T 11457-2006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信息技术 软件工程术语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官方全文系统原始 PDF；术语参考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9433-2018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军用可编程逻辑器件软件测试要求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公开预览连续页重建件；测试规则参考，受控副本待确认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9432-2018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军用可编程逻辑器件软件开发通用要求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用户提供 11 页完整副本；受控性与适用性待审核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9764-2020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军用可编程逻辑器件软件文档编制规范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用户提供完整扫描件；受控状态待确认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438B-2009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军用软件开发文档通用要求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用户提供完整扫描件；通用结构参考，受控状态待确认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UART-DOC-002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PLDSRS v2.5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candidate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UART-DOC-003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PLDSDD v2.5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candidate</w:t>
            </w:r>
          </w:p>
        </w:tc>
      </w:tr>
    </w:tbl>
    <w:p>
      <w:pPr>
        <w:spacing w:after="40"/>
      </w:pPr>
    </w:p>
    <w:p>
      <w:pPr>
        <w:pStyle w:val="Heading1"/>
      </w:pPr>
      <w:r>
        <w:t>3 测试要求与测试策略</w:t>
      </w:r>
    </w:p>
    <w:p>
      <w:pPr>
        <w:pStyle w:val="Heading2"/>
      </w:pPr>
      <w:r>
        <w:t>3.1 测试总体要求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测试级别为 PLDS 单元/配置项的仿真测试候选。覆盖类型包括接口、功能、性能、边界、异常恢复、时钟复位、可靠性结构和资源/内部时序；板级电气、安全性确认、长稳和实物余量属于确认测试，当前阻塞。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按 GJB 9433-2018 的测试类型，本计划对功能、性能、接口、边界和部分逻辑/时序项安排仿真、设计检查、综合与静态时序分析；文档审查、代码审查/走查须由独立角色执行。项目当前按非安全关键/低关键性、中等保证策划，代码/功能覆盖及分母审定为必做；强度、余量、安全性和功耗分析仍需系统/安全、验证和质量角色根据最坏工况决定适用范围。板级输入和功耗模型缺失的项目保持阻塞。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 xml:space="preserve">入口准则：RTL/TB 可编译；被测版本、参数和缺口已记录。候选出口准则：计划内动态用例无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$fatal</w:t>
      </w:r>
      <w:r>
        <w:rPr>
          <w:rFonts w:ascii="Songti SC" w:hAnsi="Songti SC" w:eastAsia="Songti SC" w:cs="Songti SC"/>
          <w:b w:val="0"/>
          <w:sz w:val="22"/>
        </w:rPr>
        <w:t xml:space="preserve"> 且打印最终 PASS，静态/分析项保存原始证据，失败与未执行项未隐藏。正式门禁另要求批准输入、冻结快照、独立角色和授权批准。</w:t>
      </w:r>
    </w:p>
    <w:p>
      <w:pPr>
        <w:pStyle w:val="Heading2"/>
      </w:pPr>
      <w:r>
        <w:t>3.2 测试策略和方法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3610"/>
        <w:gridCol w:w="3610"/>
      </w:tblGrid>
      <w:tr>
        <w:trPr>
          <w:tblHeader w:val="true"/>
        </w:trPr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方法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用途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边界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XSim 行为仿真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主动态验证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保存日志、输入哈希和 ToolRun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Icarus 行为仿真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独立工具交叉检查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不替代指定工具正式结果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源码校验/审查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端口、参数、FSM、CDC 结构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不替代动态或静态 CDC 报告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综合/资源报告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资源预算和硬核资源使用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exploratory 不代表放行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STA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route 后 100 MHz 同步路径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当前 WNS/WHS 为正；异步 UART I/O 不推断同步接口预算闭合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门级/SDF、覆盖率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中等保证要求代码/功能覆盖；门级/SDF 适用性由验证/质量角色决定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覆盖分母、目标和排除规则待批准；当前未执行</w:t>
            </w:r>
          </w:p>
        </w:tc>
      </w:tr>
    </w:tbl>
    <w:p>
      <w:pPr>
        <w:spacing w:after="40"/>
      </w:pPr>
    </w:p>
    <w:p>
      <w:pPr>
        <w:pStyle w:val="Heading2"/>
      </w:pPr>
      <w:r>
        <w:t>3.3 测试项和测试子项标识说明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 xml:space="preserve">测试项标识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UART-STI-&lt;域&gt;-NNN</w:t>
      </w:r>
      <w:r>
        <w:rPr>
          <w:rFonts w:ascii="Songti SC" w:hAnsi="Songti SC" w:eastAsia="Songti SC" w:cs="Songti SC"/>
          <w:b w:val="0"/>
          <w:sz w:val="22"/>
        </w:rPr>
        <w:t xml:space="preserve">；用例标识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UART-STC-NN</w:t>
      </w:r>
      <w:r>
        <w:rPr>
          <w:rFonts w:ascii="Songti SC" w:hAnsi="Songti SC" w:eastAsia="Songti SC" w:cs="Songti SC"/>
          <w:b w:val="0"/>
          <w:sz w:val="22"/>
        </w:rPr>
        <w:t>。标识一经发布不得复用。当前测试项为 UART-STI-IF-001、FUN-001～006、PERF-001～003、REL-001～003、RES-001。</w:t>
      </w:r>
    </w:p>
    <w:p>
      <w:pPr>
        <w:pStyle w:val="Heading1"/>
      </w:pPr>
      <w:r>
        <w:t>4 仿真测试环境</w:t>
      </w:r>
    </w:p>
    <w:p>
      <w:pPr>
        <w:pStyle w:val="Heading2"/>
      </w:pPr>
      <w:r>
        <w:t>4.1 环境概述</w:t>
      </w:r>
    </w:p>
    <w:p>
      <w:pPr>
        <w:spacing w:after="120"/>
        <w:ind w:left="283"/>
      </w:pPr>
      <w:r>
        <w:rPr>
          <w:rFonts w:ascii="Songti SC" w:hAnsi="Songti SC" w:eastAsia="Songti SC" w:cs="Songti SC"/>
          <w:color w:val="1F3A5F"/>
          <w:sz w:val="17"/>
        </w:rPr>
        <w:t>flowchart LR</w:t>
        <w:br/>
        <w:t xml:space="preserve">  TB[SystemVerilog 自检 TB] --&gt;|并行与独立串行激励| DUT[uart_top RTL]</w:t>
        <w:br/>
        <w:t xml:space="preserve">  DUT --&gt;|端口/层级观测| TB</w:t>
        <w:br/>
        <w:t xml:space="preserve">  TOOL[XSim / Icarus] --&gt; TB</w:t>
        <w:br/>
        <w:t xml:space="preserve">  TOOL --&gt; LOG[退出码、stdout/stderr、PASS/fatal]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TB 模拟同步上游逻辑和异步串行对端；不模拟板卡电气、抖动谱、温度、电压、辐照或真实配置器件。</w:t>
      </w:r>
    </w:p>
    <w:p>
      <w:pPr>
        <w:pStyle w:val="Heading2"/>
      </w:pPr>
      <w:r>
        <w:t>4.2 软件项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3610"/>
        <w:gridCol w:w="3610"/>
      </w:tblGrid>
      <w:tr>
        <w:trPr>
          <w:tblHeader w:val="true"/>
        </w:trPr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软件项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版本/输入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用途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Vivado/XSim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2021.1；当前 RTL/TB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主编译和行为仿真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Icarus Verilog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本机安装版本随日志记录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交叉编译/仿真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tb/uart_tb.sv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manifest 绑定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自检激励、断言和 watchdog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无现场提供软件项。源码数据分类未批准，远端执行前须遵守平台密钥和数据域政策。</w:t>
      </w:r>
    </w:p>
    <w:p>
      <w:pPr>
        <w:pStyle w:val="Heading2"/>
      </w:pPr>
      <w:r>
        <w:t>4.3 硬件和固件项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本节无内容。行为仿真不使用硬件或固件；确认测试所需板卡、接口设备和配置固件尚未提供，属于阻塞而非不适用。</w:t>
      </w:r>
    </w:p>
    <w:p>
      <w:pPr>
        <w:pStyle w:val="Heading2"/>
      </w:pPr>
      <w:r>
        <w:t>4.4 测试场地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本地受控工作树和经 Connector 调用的 Vivado Worker。正式场地、机器身份和保管要求须由 ToolRun/项目配置记录。</w:t>
      </w:r>
    </w:p>
    <w:p>
      <w:pPr>
        <w:pStyle w:val="Heading2"/>
      </w:pPr>
      <w:r>
        <w:t>4.5 参与组织及角色职责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Agent 可拟制候选和运行 exploratory；独立验证角色审查计划/说明/结果；配置角色冻结输入；质量角色审查标准和偏差；验证负责人批准测试结论。当前均无模拟签名或批准记录。</w:t>
      </w:r>
    </w:p>
    <w:p>
      <w:pPr>
        <w:pStyle w:val="Heading2"/>
      </w:pPr>
      <w:r>
        <w:t>4.6 人员数量、能力和时间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本节无获批人数和工时数据；理由是项目没有组织计划。至少需要能够独立执行 RTL 仿真、证据审查和配置复核的角色，具体人数、技能等级和时间由项目计划补充。</w:t>
      </w:r>
    </w:p>
    <w:p>
      <w:pPr>
        <w:pStyle w:val="Heading1"/>
      </w:pPr>
      <w:r>
        <w:t>5 测试内容</w:t>
      </w:r>
    </w:p>
    <w:p>
      <w:pPr>
        <w:pStyle w:val="Heading2"/>
      </w:pPr>
      <w:r>
        <w:t>5.1 接口测试需求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289"/>
        <w:gridCol w:w="1289"/>
        <w:gridCol w:w="1289"/>
        <w:gridCol w:w="1289"/>
        <w:gridCol w:w="1289"/>
        <w:gridCol w:w="1289"/>
        <w:gridCol w:w="1291"/>
      </w:tblGrid>
      <w:tr>
        <w:trPr>
          <w:tblHeader w:val="true"/>
        </w:trPr>
        <w:tc>
          <w:tcPr>
            <w:tcW w:type="dxa" w:w="128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接口标识</w:t>
            </w:r>
          </w:p>
        </w:tc>
        <w:tc>
          <w:tcPr>
            <w:tcW w:type="dxa" w:w="128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序号</w:t>
            </w:r>
          </w:p>
        </w:tc>
        <w:tc>
          <w:tcPr>
            <w:tcW w:type="dxa" w:w="128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信号标识</w:t>
            </w:r>
          </w:p>
        </w:tc>
        <w:tc>
          <w:tcPr>
            <w:tcW w:type="dxa" w:w="128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方向</w:t>
            </w:r>
          </w:p>
        </w:tc>
        <w:tc>
          <w:tcPr>
            <w:tcW w:type="dxa" w:w="128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连接对象</w:t>
            </w:r>
          </w:p>
        </w:tc>
        <w:tc>
          <w:tcPr>
            <w:tcW w:type="dxa" w:w="128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说明</w:t>
            </w:r>
          </w:p>
        </w:tc>
        <w:tc>
          <w:tcPr>
            <w:tcW w:type="dxa" w:w="1291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初始/复位值</w:t>
            </w:r>
          </w:p>
        </w:tc>
      </w:tr>
      <w:tr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UART-EXT-CLKRST</w:t>
            </w:r>
          </w:p>
        </w:tc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1</w:t>
            </w:r>
          </w:p>
        </w:tc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clk/rst</w:t>
            </w:r>
          </w:p>
        </w:tc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入/入</w:t>
            </w:r>
          </w:p>
        </w:tc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TB 时钟/复位</w:t>
            </w:r>
          </w:p>
        </w:tc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100 MHz；同步高有效复位</w:t>
            </w:r>
          </w:p>
        </w:tc>
        <w:tc>
          <w:tcPr>
            <w:tcW w:type="dxa" w:w="12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—/1</w:t>
            </w:r>
          </w:p>
        </w:tc>
      </w:tr>
      <w:tr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UART-EXT-TX</w:t>
            </w:r>
          </w:p>
        </w:tc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2</w:t>
            </w:r>
          </w:p>
        </w:tc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tx_start/tx_data</w:t>
            </w:r>
          </w:p>
        </w:tc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入</w:t>
            </w:r>
          </w:p>
        </w:tc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TB 上游模型</w:t>
            </w:r>
          </w:p>
        </w:tc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启动和字节</w:t>
            </w:r>
          </w:p>
        </w:tc>
        <w:tc>
          <w:tcPr>
            <w:tcW w:type="dxa" w:w="12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0/—</w:t>
            </w:r>
          </w:p>
        </w:tc>
      </w:tr>
      <w:tr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UART-EXT-TX</w:t>
            </w:r>
          </w:p>
        </w:tc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3</w:t>
            </w:r>
          </w:p>
        </w:tc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txd/tx_busy/tx_done</w:t>
            </w:r>
          </w:p>
        </w:tc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出</w:t>
            </w:r>
          </w:p>
        </w:tc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TB 监视器</w:t>
            </w:r>
          </w:p>
        </w:tc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8N1、忙、完成</w:t>
            </w:r>
          </w:p>
        </w:tc>
        <w:tc>
          <w:tcPr>
            <w:tcW w:type="dxa" w:w="12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1/0/0</w:t>
            </w:r>
          </w:p>
        </w:tc>
      </w:tr>
      <w:tr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UART-EXT-RX</w:t>
            </w:r>
          </w:p>
        </w:tc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4</w:t>
            </w:r>
          </w:p>
        </w:tc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rxd</w:t>
            </w:r>
          </w:p>
        </w:tc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入</w:t>
            </w:r>
          </w:p>
        </w:tc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TB 串行对端</w:t>
            </w:r>
          </w:p>
        </w:tc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异步 8N1</w:t>
            </w:r>
          </w:p>
        </w:tc>
        <w:tc>
          <w:tcPr>
            <w:tcW w:type="dxa" w:w="12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1</w:t>
            </w:r>
          </w:p>
        </w:tc>
      </w:tr>
      <w:tr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UART-EXT-RX</w:t>
            </w:r>
          </w:p>
        </w:tc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5</w:t>
            </w:r>
          </w:p>
        </w:tc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rx_data/rx_done/frame_err</w:t>
            </w:r>
          </w:p>
        </w:tc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出</w:t>
            </w:r>
          </w:p>
        </w:tc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TB 监视器</w:t>
            </w:r>
          </w:p>
        </w:tc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有效数据、完成、帧错</w:t>
            </w:r>
          </w:p>
        </w:tc>
        <w:tc>
          <w:tcPr>
            <w:tcW w:type="dxa" w:w="12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0/0/0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接口时序图由 UART-DOC-005 的发送/接收步骤定义；电气和管脚时序不在本仿真范围。</w:t>
      </w:r>
    </w:p>
    <w:p>
      <w:pPr>
        <w:pStyle w:val="Heading2"/>
      </w:pPr>
      <w:r>
        <w:t>5.2 功能测试需求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445"/>
        <w:gridCol w:w="1445"/>
        <w:gridCol w:w="1445"/>
        <w:gridCol w:w="1445"/>
        <w:gridCol w:w="1445"/>
      </w:tblGrid>
      <w:tr>
        <w:trPr>
          <w:tblHeader w:val="true"/>
        </w:trP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测试项</w:t>
            </w:r>
          </w:p>
        </w:tc>
        <w:tc>
          <w:tcPr>
            <w:tcW w:type="dxa" w:w="144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测试项标识</w:t>
            </w:r>
          </w:p>
        </w:tc>
        <w:tc>
          <w:tcPr>
            <w:tcW w:type="dxa" w:w="144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需求追踪</w:t>
            </w:r>
          </w:p>
        </w:tc>
        <w:tc>
          <w:tcPr>
            <w:tcW w:type="dxa" w:w="144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测试目的</w:t>
            </w:r>
          </w:p>
        </w:tc>
        <w:tc>
          <w:tcPr>
            <w:tcW w:type="dxa" w:w="144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级别/类型</w:t>
            </w:r>
          </w:p>
        </w:tc>
        <w:tc>
          <w:tcPr>
            <w:tcW w:type="dxa" w:w="144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说明/方法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TX 格式与握手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UART-STI-FUN-001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FUN-001～003、IF-002/003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核对 8N1、忙期拒绝和脉冲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单元/功能接口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STC-01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环回与码型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UART-STI-FUN-002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FUN-005/006、TST-001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核对 LSB、边界码型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单元/功能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STC-02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全双工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UART-STI-FUN-003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FUN-008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独立同时收发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单元/功能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STC-03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假起始/帧错恢复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UART-STI-FUN-004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FUN-004/006/007、REL-002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不伪造完成且可恢复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单元/异常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STC-04/05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容差/连续帧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UART-STI-PERF-001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TIM-001～003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9600 与 115200 下的 ±2%、连续吞吐和异常恢复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单元/边界性能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STC-01～10 参数化全量回归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复位/非法状态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UART-STI-REL-001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CKR-002、REL-001/003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确定恢复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单元/可靠性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STC-08/10</w:t>
            </w:r>
          </w:p>
        </w:tc>
      </w:tr>
    </w:tbl>
    <w:p>
      <w:pPr>
        <w:spacing w:after="40"/>
      </w:pPr>
    </w:p>
    <w:p>
      <w:pPr>
        <w:pStyle w:val="Heading2"/>
      </w:pPr>
      <w:r>
        <w:t>5.3 其他测试需求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3610"/>
        <w:gridCol w:w="3610"/>
      </w:tblGrid>
      <w:tr>
        <w:trPr>
          <w:tblHeader w:val="true"/>
        </w:trPr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测试项标识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内容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当前处置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UART-STI-REL-002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CDC/RDC 结构和静态报告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methodology 0 违规；CDC 仅两级 RX 同步器的 CDC-3 Info ×1；待独立批准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UART-STI-RES-001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LUT/FF/BRAM/DSP 和 100 MHz STA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55 LUT/62 FF、0 BRAM/DSP；WNS 7.630 ns、WHS 0.093 ns；exploratory candidate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UART-STI-COV-001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代码/功能覆盖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中等保证必做；分母、目标和排除规则待验证/质量角色批准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UART-STI-GATE-001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门级/SDF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适用性待决定；未获准裁剪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UART-STI-REVIEW-001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文档审查、代码审查和代码走查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待独立技术/验证/质量角色执行并留存检查记录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UART-STI-ROBUST-001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强度、余量和安全性测试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完整性等级、故障模型、最坏工况和板级接口缺失；阻塞/待策划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UART-STI-POWER-001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功耗分析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活动率、器件工况和实现后模型缺失；阻塞/待策划</w:t>
            </w:r>
          </w:p>
        </w:tc>
      </w:tr>
    </w:tbl>
    <w:p>
      <w:pPr>
        <w:spacing w:after="40"/>
      </w:pPr>
    </w:p>
    <w:p>
      <w:pPr>
        <w:pStyle w:val="Heading1"/>
      </w:pPr>
      <w:r>
        <w:t>6 测试进度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354"/>
        <w:gridCol w:w="1805"/>
        <w:gridCol w:w="4059"/>
        <w:gridCol w:w="1807"/>
      </w:tblGrid>
      <w:tr>
        <w:trPr>
          <w:tblHeader w:val="true"/>
        </w:trPr>
        <w:tc>
          <w:tcPr>
            <w:tcW w:type="dxa" w:w="135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阶段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活动</w:t>
            </w:r>
          </w:p>
        </w:tc>
        <w:tc>
          <w:tcPr>
            <w:tcW w:type="dxa" w:w="405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入口/出口</w:t>
            </w:r>
          </w:p>
        </w:tc>
        <w:tc>
          <w:tcPr>
            <w:tcW w:type="dxa" w:w="180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状态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计划评审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审查本文和追踪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候选→授权决定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待执行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说明评审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审查 UART-DOC-005 用例可复现性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计划候选可用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待执行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初次测试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XSim + Icarus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冻结输入、保存原始证据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历史回归已执行；正式待执行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回归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9600 与 115200 全量重跑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影响分析完成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当前 VC709/690T 两组均 10/10 exploratory 完成；正式回归待批准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静态/实现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query、validate、synthesize、route、methodology/CDC/DRC/STA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精确 part/profile/输入哈希绑定；不生成 bitstream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exploratory 完成；独立复核/正式运行待执行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报告评审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审查 UART-DOC-006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结果、问题、充分性完整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待授权评审</w:t>
            </w:r>
          </w:p>
        </w:tc>
      </w:tr>
    </w:tbl>
    <w:p>
      <w:pPr>
        <w:spacing w:after="40"/>
      </w:pPr>
    </w:p>
    <w:p>
      <w:pPr>
        <w:pStyle w:val="Heading1"/>
      </w:pPr>
      <w:r>
        <w:t>7 可追踪性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289"/>
        <w:gridCol w:w="1289"/>
        <w:gridCol w:w="1289"/>
        <w:gridCol w:w="1289"/>
        <w:gridCol w:w="1289"/>
        <w:gridCol w:w="1289"/>
        <w:gridCol w:w="1291"/>
      </w:tblGrid>
      <w:tr>
        <w:trPr>
          <w:tblHeader w:val="true"/>
        </w:trPr>
        <w:tc>
          <w:tcPr>
            <w:tcW w:type="dxa" w:w="128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序号</w:t>
            </w:r>
          </w:p>
        </w:tc>
        <w:tc>
          <w:tcPr>
            <w:tcW w:type="dxa" w:w="128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需求类型</w:t>
            </w:r>
          </w:p>
        </w:tc>
        <w:tc>
          <w:tcPr>
            <w:tcW w:type="dxa" w:w="128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需求标识</w:t>
            </w:r>
          </w:p>
        </w:tc>
        <w:tc>
          <w:tcPr>
            <w:tcW w:type="dxa" w:w="128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需求名称</w:t>
            </w:r>
          </w:p>
        </w:tc>
        <w:tc>
          <w:tcPr>
            <w:tcW w:type="dxa" w:w="128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测试项标识</w:t>
            </w:r>
          </w:p>
        </w:tc>
        <w:tc>
          <w:tcPr>
            <w:tcW w:type="dxa" w:w="128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测试项名称</w:t>
            </w:r>
          </w:p>
        </w:tc>
        <w:tc>
          <w:tcPr>
            <w:tcW w:type="dxa" w:w="1291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方法</w:t>
            </w:r>
          </w:p>
        </w:tc>
      </w:tr>
      <w:tr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1</w:t>
            </w:r>
          </w:p>
        </w:tc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功能</w:t>
            </w:r>
          </w:p>
        </w:tc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FUN-001～003</w:t>
            </w:r>
          </w:p>
        </w:tc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发送</w:t>
            </w:r>
          </w:p>
        </w:tc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UART-STI-FUN-001</w:t>
            </w:r>
          </w:p>
        </w:tc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TX 格式/握手</w:t>
            </w:r>
          </w:p>
        </w:tc>
        <w:tc>
          <w:tcPr>
            <w:tcW w:type="dxa" w:w="12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XSim/Icarus</w:t>
            </w:r>
          </w:p>
        </w:tc>
      </w:tr>
      <w:tr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2</w:t>
            </w:r>
          </w:p>
        </w:tc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功能</w:t>
            </w:r>
          </w:p>
        </w:tc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FUN-004～007、REL-002</w:t>
            </w:r>
          </w:p>
        </w:tc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接收异常</w:t>
            </w:r>
          </w:p>
        </w:tc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UART-STI-FUN-004</w:t>
            </w:r>
          </w:p>
        </w:tc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毛刺/帧错恢复</w:t>
            </w:r>
          </w:p>
        </w:tc>
        <w:tc>
          <w:tcPr>
            <w:tcW w:type="dxa" w:w="12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XSim/Icarus</w:t>
            </w:r>
          </w:p>
        </w:tc>
      </w:tr>
      <w:tr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3</w:t>
            </w:r>
          </w:p>
        </w:tc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功能</w:t>
            </w:r>
          </w:p>
        </w:tc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FUN-008</w:t>
            </w:r>
          </w:p>
        </w:tc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全双工</w:t>
            </w:r>
          </w:p>
        </w:tc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UART-STI-FUN-003</w:t>
            </w:r>
          </w:p>
        </w:tc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同时收发</w:t>
            </w:r>
          </w:p>
        </w:tc>
        <w:tc>
          <w:tcPr>
            <w:tcW w:type="dxa" w:w="12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XSim/Icarus</w:t>
            </w:r>
          </w:p>
        </w:tc>
      </w:tr>
      <w:tr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4</w:t>
            </w:r>
          </w:p>
        </w:tc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性能</w:t>
            </w:r>
          </w:p>
        </w:tc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TIM-001～003</w:t>
            </w:r>
          </w:p>
        </w:tc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波特率/吞吐</w:t>
            </w:r>
          </w:p>
        </w:tc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UART-STI-PERF-001</w:t>
            </w:r>
          </w:p>
        </w:tc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容差/连续帧</w:t>
            </w:r>
          </w:p>
        </w:tc>
        <w:tc>
          <w:tcPr>
            <w:tcW w:type="dxa" w:w="12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分析+仿真</w:t>
            </w:r>
          </w:p>
        </w:tc>
      </w:tr>
      <w:tr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5</w:t>
            </w:r>
          </w:p>
        </w:tc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可靠性</w:t>
            </w:r>
          </w:p>
        </w:tc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CKR-002、REL-001/003</w:t>
            </w:r>
          </w:p>
        </w:tc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复位/非法状态</w:t>
            </w:r>
          </w:p>
        </w:tc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UART-STI-REL-001</w:t>
            </w:r>
          </w:p>
        </w:tc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恢复</w:t>
            </w:r>
          </w:p>
        </w:tc>
        <w:tc>
          <w:tcPr>
            <w:tcW w:type="dxa" w:w="12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仿真+审查</w:t>
            </w:r>
          </w:p>
        </w:tc>
      </w:tr>
      <w:tr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6</w:t>
            </w:r>
          </w:p>
        </w:tc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资源时序</w:t>
            </w:r>
          </w:p>
        </w:tc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TIM-004、RES-001</w:t>
            </w:r>
          </w:p>
        </w:tc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STA/资源</w:t>
            </w:r>
          </w:p>
        </w:tc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UART-STI-RES-001</w:t>
            </w:r>
          </w:p>
        </w:tc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综合/STA</w:t>
            </w:r>
          </w:p>
        </w:tc>
        <w:tc>
          <w:tcPr>
            <w:tcW w:type="dxa" w:w="12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Vivado 报告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完整逐需求映射见 UART-DOC-007。</w:t>
      </w:r>
    </w:p>
    <w:p>
      <w:pPr>
        <w:pStyle w:val="Heading1"/>
      </w:pPr>
      <w:r>
        <w:t>注释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本文件从原“测试计划与说明”拆分；计划、说明、报告分别由 UART-DOC-004、005、006 承载，三份文档各自满足通用结构。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ongti SC" w:hAnsi="Songti SC" w:eastAsia="Songti SC" w:cs="Songti SC"/>
        <w:color w:val="666666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Songti SC" w:hAnsi="Songti SC" w:eastAsia="Songti SC" w:cs="Songti SC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ongti SC" w:hAnsi="Songti SC" w:eastAsia="Songti SC" w:cs="Songti SC"/>
        <w:color w:val="666666"/>
        <w:sz w:val="17"/>
      </w:rPr>
      <w:t>Synthia Golden | 受控候选文档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90">
    <w:abstractNumId w:val="90"/>
  </w:num>
  <w:abstractNum w:abstractNumId="9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Songti SC" w:hAnsi="Songti SC" w:eastAsia="Songti SC" w:cs="Song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Songti SC" w:hAnsi="Songti SC" w:eastAsia="Songti SC" w:cs="Songti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Songti SC" w:hAnsi="Songti SC" w:eastAsia="Songti SC" w:cs="Songti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Songti SC" w:hAnsi="Songti SC" w:eastAsia="Songti SC" w:cs="Songti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contextualSpacing/>
      <w:jc w:val="center"/>
    </w:pPr>
    <w:rPr>
      <w:rFonts w:asciiTheme="majorHAnsi" w:eastAsiaTheme="majorEastAsia" w:hAnsiTheme="majorHAnsi" w:cstheme="majorBidi" w:ascii="Songti SC" w:hAnsi="Songti SC" w:eastAsia="Songti SC" w:cs="Songti SC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Songti SC" w:hAnsi="Songti SC" w:eastAsia="Songti SC" w:cs="Songti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Songti SC" w:hAnsi="Songti SC" w:eastAsia="Songti SC" w:cs="Songti S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UART 收发器可编程逻辑器件软件仿真测试计划（PLDSSTP）</dc:title>
  <dc:subject>GOLDEN-UART GJB candidate document</dc:subject>
  <dc:creator>Synthia (candidate drafting assistant)</dc:creator>
  <cp:keywords>candidate; GJB 9432; GJB 9764; UART; XC7VX690T</cp:keywords>
  <dc:description>Generated from controlled Markdown source; compact_reference_guide preset with named A4 and Songti SC font override; memo_masthead-style title plus metadata cover; human review and approval pending.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