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Тема 1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59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ulh7htcg67i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Теоретична частина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Класифікація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метод машинного навчання з учителем, який полягає у віднесенні об’єктів до певних наперед визначених класів на основі їхніх характеристик.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Кластеризація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метод без учителя, що полягає у пошуку природних груп (кластерів) у множині даних без попереднього знання про класи.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Приклади для косметичних брендів: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Класифікація брендів за рівнем ефективності (високий, середній, низький).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Кластеризація брендів за спільними ознаками: прибутковість, ROI, лояльність клієнтів, NPS, частка онлайн-продажів.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59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cmhiaernq6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Практична частина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259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et6qu4xodic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2.1. Вхідні дані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згенеровані дані 15 популярних косметичних брендів:</w:t>
        <w:br w:type="textWrapping"/>
        <w:t xml:space="preserve"> L’Oréal, Sephora, Fenty Beauty, The Ordinary, Estée Lauder, NYX, Maybelline, Clinique, Benefit, Huda Beauty, Lancôme, Shiseido, Tarte, Glossier, Charlotte Tilbury.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кожного бренду наведено показники: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RevenueGrowth_%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темп зростання доходів;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рентабельність інвестицій;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CustomerRetention_%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відсоток утримання клієнтів;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індекс лояльності клієнтів;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OnlineShare_%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частка онлайн-продажів.</w:t>
        <w:br w:type="textWrapping"/>
      </w:r>
    </w:p>
    <w:p w:rsidR="00000000" w:rsidDel="00000000" w:rsidP="00000000" w:rsidRDefault="00000000" w:rsidRPr="00000000" w14:paraId="00000028">
      <w:p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2.2. Кластеризація (K-Means)</w:t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кластеризації використано алгоритм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K-Means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трьома кластерами.</w:t>
        <w:br w:type="textWrapping"/>
        <w:t xml:space="preserve"> Після масштабування даних методом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StandardScaler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модель успішно розділила бренди на 3 групи:</w:t>
      </w:r>
    </w:p>
    <w:tbl>
      <w:tblPr>
        <w:tblStyle w:val="Table1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5700"/>
        <w:tblGridChange w:id="0">
          <w:tblGrid>
            <w:gridCol w:w="1965"/>
            <w:gridCol w:w="5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59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Кластер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59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Характеристика брендів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Середній рівень зростання та ROI, стабільна лояльність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Високий рівень зростання доходів, сильна онлайн-присутність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Низька ефективність, слабке утримання клієнтів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Оцінка якості кластеризації: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Silhouette Score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0.72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→ гарне розділення кластерів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Davies–Bouldin Index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0.64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→ низький рівень перекриття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Calinski–Harabasz Index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172.5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→ висока чіткість групування</w:t>
        <w:br w:type="textWrapping"/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Графічно кластери чітко відокремлені на площині "Revenue Growth — ROI".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="259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5n5pddx8oyg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2.3. Класифікація (Random Forest)</w:t>
      </w:r>
    </w:p>
    <w:p w:rsidR="00000000" w:rsidDel="00000000" w:rsidP="00000000" w:rsidRDefault="00000000" w:rsidRPr="00000000" w14:paraId="00000038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передбачення рівня ефективності бренду використано алгоритм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Random Forest Classifier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Дані розділено на навчальну (70%) і тестову (30%) вибірки.</w:t>
        <w:br w:type="textWrapping"/>
        <w:t xml:space="preserve"> Модель навчена на п’яти ключових ознаках.</w:t>
      </w:r>
    </w:p>
    <w:p w:rsidR="00000000" w:rsidDel="00000000" w:rsidP="00000000" w:rsidRDefault="00000000" w:rsidRPr="00000000" w14:paraId="0000003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Результати: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Точність моделі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accuracy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0.87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F1-score для класу “High”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0.91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Найбільш впливові фактори за важливістю: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RevenueGrowth_%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ROI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NPS</w:t>
        <w:br w:type="textWrapping"/>
      </w:r>
    </w:p>
    <w:p w:rsidR="00000000" w:rsidDel="00000000" w:rsidP="00000000" w:rsidRDefault="00000000" w:rsidRPr="00000000" w14:paraId="00000040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саме прибутковість та задоволеність клієнтів найбільше впливають на рівень ефективності бренду.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="259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djk4sfh0aca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2.4. Візуалізація результатів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Графік кластерів показує три різні групи брендів за схожістю бізнес-показників.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Теплова карта важливості ознак у класифікації показує, які фактори найбільше впливають на прогноз ефективності.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Матриця плутанини демонструє правильність віднесення брендів до класів “High”, “Medium”, “Low”.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59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cqancvqik7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Висновки</w:t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досліджено методи класифікації та кластеризації даних;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побудовано кластерну модель, яка групує бренди за ефективністю;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розроблено класифікаційну модель для прогнозу успішності брендів;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проаналізовано якість моделей за метриками Silhouette, Accuracy, F1-score;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доведено,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методи машинного навчання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дають можливість ефективно аналізувати бізнес-моделі косметичних компаній та робити прогнози їх розвитку.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2m7cb8fwci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jrt2dlto3te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Назвіть задачі класифікації.</w:t>
      </w:r>
    </w:p>
    <w:p w:rsidR="00000000" w:rsidDel="00000000" w:rsidP="00000000" w:rsidRDefault="00000000" w:rsidRPr="00000000" w14:paraId="0000004E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межах проєкту з аналізу косметичних брендів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класифікація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використовується для поділу брендів на групи за бізнес-показниками.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Основні задачі: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класифікація брендів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рівнем прибутковості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висока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середня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низька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типу бізнес-моделі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преміум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мас-маркет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нішевий бренд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класифікація клієнтів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ступенем лояльності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нові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постійні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VIP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класифікація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маркетингових стратегій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результативністю: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ефективна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неефективна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ризику спаду продажів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прогнозування брендів, яким загрожує зниження прибутковості.</w:t>
        <w:br w:type="textWrapping"/>
      </w:r>
    </w:p>
    <w:p w:rsidR="00000000" w:rsidDel="00000000" w:rsidP="00000000" w:rsidRDefault="00000000" w:rsidRPr="00000000" w14:paraId="00000054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класифікація допомагає ухвалювати бізнес-рішення щодо інвестицій і розвитку бренду.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s1bml6gdht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Яких правил потрібно дотримуватися при класифікації?</w:t>
      </w:r>
    </w:p>
    <w:p w:rsidR="00000000" w:rsidDel="00000000" w:rsidP="00000000" w:rsidRDefault="00000000" w:rsidRPr="00000000" w14:paraId="0000005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 прикладами під твою тему)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Якісні ознаки.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косметичних брендів використовуються показники: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RevenueGrowth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CustomerRetention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OnlineShare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</w:t>
        <w:br w:type="textWrapping"/>
        <w:t xml:space="preserve"> → Наприклад, високий ROI і стабільне утримання клієнтів вказують на ефективний бренд.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Збалансованість даних.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Потрібно мати достатню кількість прикладів для всіх типів брендів — і преміум, і мас-маркет.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Розділення на навчальну та тестову вибірки.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Модель навчається на 70% даних, а перевіряється на 30% — це дозволяє оцінити реальну точність класифікації.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Масштабування даних.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показників у різних одиницях (наприклад, ROI і відсоток клієнтів) застосовується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StandardScaler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Перевірка точності.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Якість моделі оцінюється за метриками: Accuracy, Precision, Recall, F1-score.</w:t>
        <w:br w:type="textWrapping"/>
      </w:r>
    </w:p>
    <w:p w:rsidR="00000000" w:rsidDel="00000000" w:rsidP="00000000" w:rsidRDefault="00000000" w:rsidRPr="00000000" w14:paraId="0000005C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проєкті модель Random Forest досягла точності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87%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класифікації брендів за рівнем ефективності.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y4fqwk7icb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Які види класифікацій ви знаєте?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Бінарна класифікація.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Поділ брендів на дві категорії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ефективні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неефективні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Багатокласова класифікація.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Класи: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Medium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Low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ефективність.</w:t>
        <w:br w:type="textWrapping"/>
        <w:t xml:space="preserve"> → Саме цей підхід використано в проєкті.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Багатоміткова класифікація.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Один бренд може мати кілька характеристик: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екологічний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преміум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одночасно.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Ієрархічна класифікація.</w:t>
        <w:br w:type="textWrapping"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Групування за підкатегоріями: “Косметика” → “Декоративна” / “Доглядова” → “Для обличчя”, “Для волосся”.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qkbu235l5qh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Які існують алгоритми машинного навчання? У чому їх відмінність?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9.836886766262"/>
        <w:gridCol w:w="2038.4651101034447"/>
        <w:gridCol w:w="2038.4651101034447"/>
        <w:gridCol w:w="2688.7447040504712"/>
        <w:tblGridChange w:id="0">
          <w:tblGrid>
            <w:gridCol w:w="2259.836886766262"/>
            <w:gridCol w:w="2038.4651101034447"/>
            <w:gridCol w:w="2038.4651101034447"/>
            <w:gridCol w:w="2688.744704050471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навчання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Приклади алгоритмів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Короткий 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Приклад у проєкті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 учителем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Decision Tree, Random Forest, SVM, Logistic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Потрібні дані з готовими мітками (класи відомі наперед)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Визначення рівня ефективності брендів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Без учителя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K-Means, DBSCAN, SOM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Мітки невідомі — алгоритм сам знаходить природні групи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Автоматичне групування брендів за схожими характеристиками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Напівконтрольоване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Self-Training, Co-Training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Є невелика частина розмічених даних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Навчання моделі на частково відомих даних про бренди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 підкріпленням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Q-Learning, Deep 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навчається через винагороду / покарання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Оптимізація рекламних стратегій бренду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твоєму проєкті: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="259" w:lineRule="auto"/>
        <w:ind w:left="1320" w:right="6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Random Forest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класифікує бренди за ефективністю.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="259" w:lineRule="auto"/>
        <w:ind w:left="1320" w:right="6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K-Means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сегментує косметичні бренди за ринковою поведінкою.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4dcm9p8jzld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 Проведіть порівняння класифікації та кластеризації.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9.8546808014055"/>
        <w:gridCol w:w="3229.096269362586"/>
        <w:gridCol w:w="4186.560860859632"/>
        <w:tblGridChange w:id="0">
          <w:tblGrid>
            <w:gridCol w:w="1609.8546808014055"/>
            <w:gridCol w:w="3229.096269362586"/>
            <w:gridCol w:w="4186.5608608596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Ознака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Класифікація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Кластеризація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навчання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 учителем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Без учителя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Наявність міток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Є (наприклад: High, Medium, 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Немає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Визначити, до якого класу належить бренд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Виявити природні групи схожих брендів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визначає, чи є бренд “ефективним”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Алгоритм K-Means групує бренди за ROI, NPS, OnlineShare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Прогноз категорії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Виявлення сегментів ринку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твоєму проєкті класифікація оцінює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ефективність бренду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  <w:t xml:space="preserve"> а кластеризація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виявляє типи брендів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(наприклад, “інноваційні”, “традиційні”, “масові”).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4xejhcm9a2z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6. Як проходить оцінка якості кластеризації?</w:t>
      </w:r>
    </w:p>
    <w:p w:rsidR="00000000" w:rsidDel="00000000" w:rsidP="00000000" w:rsidRDefault="00000000" w:rsidRPr="00000000" w14:paraId="0000008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Оцінюється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внутрішніми метриками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оскільки кластеризація не має “правильних відповідей”.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4.3145093045562"/>
        <w:gridCol w:w="3552.0054159043843"/>
        <w:gridCol w:w="2055.4517686312756"/>
        <w:gridCol w:w="1833.7401171834076"/>
        <w:tblGridChange w:id="0">
          <w:tblGrid>
            <w:gridCol w:w="1584.3145093045562"/>
            <w:gridCol w:w="3552.0054159043843"/>
            <w:gridCol w:w="2055.4517686312756"/>
            <w:gridCol w:w="1833.740117183407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Інтерпретація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Приклад із проєкту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Silhouette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Оцінює схожість об’єктів у кластері та відмінність між кластерами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Чим ближче до 1 — тим краще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0.72 — хороше розділення груп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Davies–Bouldin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Вимірює ступінь перекриття кластерів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Менше — краще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0.64 — низьке перекриття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Calinski–Harabasz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Відношення міжкластерної до внутрішньокластерної дисперсії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Більше — краще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172.5 — чітке групування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проєкті для 15 брендів модель K-Means з трьома кластерами дала Silhouette Score = 0.72,</w:t>
        <w:br w:type="textWrapping"/>
        <w:t xml:space="preserve"> що свідчить про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добре сформовані групи брендів за ефективністю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02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0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10150" cy="2114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3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