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60"/>
        <w:jc w:val="center"/>
      </w:pPr>
      <w:r>
        <w:rPr>
          <w:rFonts w:ascii="Times New Roman" w:hAnsi="Times New Roman"/>
          <w:b/>
          <w:color w:val="0F172A"/>
          <w:sz w:val="40"/>
        </w:rPr>
        <w:t>Xeroxic: A Secure, Serverless Smart Digital Printing Management System with Direct Object-Store Offloading for Educational Institutions</w:t>
      </w:r>
    </w:p>
    <w:p>
      <w:pPr>
        <w:spacing w:before="0" w:after="240"/>
        <w:jc w:val="center"/>
      </w:pPr>
      <w:r>
        <w:rPr>
          <w:rFonts w:ascii="Times New Roman" w:hAnsi="Times New Roman"/>
          <w:i/>
          <w:color w:val="334155"/>
          <w:sz w:val="24"/>
        </w:rPr>
        <w:t>Design, Cryptographic Implementation, and Empirical Evaluation of a Campus Print Infrastructure</w:t>
      </w:r>
    </w:p>
    <w:p>
      <w:pPr>
        <w:spacing w:before="0" w:after="280"/>
        <w:jc w:val="center"/>
      </w:pPr>
      <w:r>
        <w:rPr>
          <w:rFonts w:ascii="Times New Roman" w:hAnsi="Times New Roman"/>
          <w:b/>
          <w:sz w:val="22"/>
        </w:rPr>
        <w:t>Sumit Jangra</w:t>
        <w:br/>
      </w:r>
      <w:r>
        <w:rPr>
          <w:rFonts w:ascii="Times New Roman" w:hAnsi="Times New Roman"/>
          <w:sz w:val="19"/>
        </w:rPr>
        <w:t>Department of Computer Engineering</w:t>
        <w:br/>
      </w:r>
      <w:r>
        <w:rPr>
          <w:rFonts w:ascii="Times New Roman" w:hAnsi="Times New Roman"/>
          <w:sz w:val="19"/>
        </w:rPr>
        <w:t>Army Institute of Technology (AIT), Pune — Affiliated with Savitribai Phule Pune University (SPPU), Maharashtra, India</w:t>
        <w:br/>
      </w:r>
      <w:r>
        <w:rPr>
          <w:rFonts w:ascii="Times New Roman" w:hAnsi="Times New Roman"/>
          <w:i/>
          <w:sz w:val="19"/>
        </w:rPr>
        <w:t>sumit@aitpune.edu.in | GitHub: whosumitjangra</w:t>
      </w:r>
    </w:p>
    <w:tbl>
      <w:tblPr>
        <w:tblW w:type="auto" w:w="0"/>
        <w:jc w:val="center"/>
        <w:tblLook w:firstColumn="1" w:firstRow="1" w:lastColumn="0" w:lastRow="0" w:noHBand="0" w:noVBand="1" w:val="04A0"/>
      </w:tblPr>
      <w:tblGrid>
        <w:gridCol w:w="10080"/>
      </w:tblGrid>
      <w:tr>
        <w:tc>
          <w:tcPr>
            <w:tcW w:type="dxa" w:w="10080"/>
            <w:tcMar>
              <w:top w:w="140" w:type="dxa"/>
              <w:bottom w:w="140" w:type="dxa"/>
              <w:left w:w="180" w:type="dxa"/>
              <w:right w:w="180" w:type="dxa"/>
            </w:tcMar>
            <w:tcBorders>
              <w:top w:val="single" w:sz="12" w:space="0" w:color="0284c7"/>
              <w:bottom w:val="single" w:sz="12" w:space="0" w:color="0284c7"/>
              <w:left w:val="none"/>
              <w:right w:val="none"/>
            </w:tcBorders>
            <w:shd w:fill="F8FAFC"/>
          </w:tcPr>
          <w:p>
            <w:pPr>
              <w:spacing w:before="40" w:after="80" w:line="264" w:lineRule="auto"/>
              <w:jc w:val="both"/>
            </w:pPr>
            <w:r>
              <w:rPr>
                <w:rFonts w:ascii="Times New Roman" w:hAnsi="Times New Roman"/>
                <w:b/>
                <w:sz w:val="19"/>
              </w:rPr>
              <w:t xml:space="preserve">Abstract— </w:t>
            </w:r>
            <w:r>
              <w:rPr>
                <w:rFonts w:ascii="Times New Roman" w:hAnsi="Times New Roman"/>
                <w:sz w:val="19"/>
              </w:rPr>
              <w:t>Academic institutions frequently struggle with administrative bottlenecks and severe physical congestion at centralized campus printing centres, particularly during peak assignment submission deadlines and examination cycles. Conventional printing management workflows either depend on unsecure USB flash drives, high-overhead manual physical queues, or centralized desktop spoolers that fail to scale under burst traffic, expose private academic files, and suffer from unverified cash payment reconciliation discrepancies. In this paper, we present Xeroxic, an enterprise-grade, cloud-native, and serverless digital printing management platform specifically designed for institutional scalability and cybersecurity compliance. Xeroxic introduces a novel two-phase direct cloud offloading pipeline combining Vercel edge functions with private Supabase Storage, thereby completely bypassing the traditional 4.5 MB serverless HTTP payload barrier to support student documents up to 50 MB with zero serverless memory bloat. The system enforces strict OWASP Top 10 web protections, utilizing scrypt key derivation with unique 16-byte cryptographic salts, constant-time timing-safe credential verification, sliding-window IP rate limiting, and stateless HMAC-SHA256 session management. Financial transactions are securely reconciled via Razorpay Standard Web Checkout with server-side order generation and dual-signature verification bound strictly to authenticated student identity. Furthermore, Xeroxic features an automated multi-attachment curriculum assignment hub with automated grace-period expiry purging and persistent tombstoning. An empirical verification across 75 automated test scenarios proves 100% role-based isolation, complete immunity to cross-student order spoofing, sub-second API latency, and zero payload-induced server timeouts.</w:t>
            </w:r>
          </w:p>
          <w:p>
            <w:pPr>
              <w:spacing w:before="80" w:after="40"/>
              <w:jc w:val="both"/>
            </w:pPr>
            <w:r>
              <w:rPr>
                <w:rFonts w:ascii="Times New Roman" w:hAnsi="Times New Roman"/>
                <w:b/>
                <w:i/>
                <w:sz w:val="19"/>
              </w:rPr>
              <w:t xml:space="preserve">Keywords— </w:t>
            </w:r>
            <w:r>
              <w:rPr>
                <w:rFonts w:ascii="Times New Roman" w:hAnsi="Times New Roman"/>
                <w:i/>
                <w:sz w:val="19"/>
              </w:rPr>
              <w:t>Campus Printing Automation; Serverless Edge Computing; Cloud Object Storage; Supabase; MongoDB Atlas; Razorpay Payment Verification; OWASP Top 10 Web Security; scrypt Key Derivation; Cryptographic Integrity</w:t>
            </w:r>
          </w:p>
        </w:tc>
      </w:tr>
    </w:tbl>
    <w:p>
      <w:pPr>
        <w:spacing w:after="80"/>
      </w:pPr>
    </w:p>
    <w:p>
      <w:pPr>
        <w:keepNext/>
        <w:spacing w:before="280" w:after="80"/>
      </w:pPr>
      <w:r>
        <w:rPr>
          <w:rFonts w:ascii="Times New Roman" w:hAnsi="Times New Roman"/>
          <w:b/>
          <w:color w:val="0F172A"/>
          <w:sz w:val="22"/>
        </w:rPr>
        <w:t>I.  INTRODUCTION</w:t>
      </w:r>
    </w:p>
    <w:p>
      <w:pPr>
        <w:spacing w:before="0" w:after="100" w:line="269" w:lineRule="auto"/>
        <w:jc w:val="both"/>
      </w:pPr>
      <w:r>
        <w:rPr>
          <w:rFonts w:ascii="Times New Roman" w:hAnsi="Times New Roman"/>
          <w:sz w:val="20"/>
        </w:rPr>
        <w:t>Higher educational institutions operate in high-density environments characterized by recurring, synchronous operational surges. Across colleges and universities, students routinely produce laboratory records, seminar thesis reports, capstone documentation, and examination assignments that mandate physical paper submission to academic departments. Historically, institutional reprographic centres—commonly referred to as Xerox centres—have relied on rudimentary manual workflows. Under this traditional paradigm, students physically congregate at the print centre, carrying removable USB mass storage drives or sending uncompressed files through unencrypted messaging applications to a single counter desktop [1], [2].</w:t>
      </w:r>
    </w:p>
    <w:p>
      <w:pPr>
        <w:spacing w:before="0" w:after="100" w:line="269" w:lineRule="auto"/>
        <w:jc w:val="both"/>
      </w:pPr>
      <w:r>
        <w:rPr>
          <w:rFonts w:ascii="Times New Roman" w:hAnsi="Times New Roman"/>
          <w:sz w:val="20"/>
        </w:rPr>
        <w:t>This legacy operational model introduces acute vulnerabilities and inefficiencies. First, removable USB media represents a prolific attack vector for airborne malware, autorun worms, and ransomware transmission across campus networks [3]. Second, physical congregation during peak assignment submission periods induces massive queue wait times exceeding 45–60 minutes, severely impairing student productivity and causing reprographic staff fatigue [4]. Third, manual payment reconciliation conducted via ad-hoc UPI QR codes, unverified personal mobile wallets, or cash transactions frequently results in accounting discrepancies, revenue leakage, and disputed print ownership.</w:t>
      </w:r>
    </w:p>
    <w:p>
      <w:pPr>
        <w:spacing w:before="0" w:after="100" w:line="269" w:lineRule="auto"/>
        <w:jc w:val="both"/>
      </w:pPr>
      <w:r>
        <w:rPr>
          <w:rFonts w:ascii="Times New Roman" w:hAnsi="Times New Roman"/>
          <w:sz w:val="20"/>
        </w:rPr>
        <w:t>To overcome these pervasive operational hazards, this paper presents the complete architectural design and implementation of Xeroxic: a secure, serverless digital print management ecosystem engineered specifically for educational institutions. Deployed on high-performance edge serverless infrastructure with secondary cloud databases and dedicated private object storage, Xeroxic enables students to stage multi-format documents directly from mobile or desktop devices, select customized physical reprographic parameters (such as B&amp;W vs. Color, duplex printing, orientation, and copies), complete cryptographically verified online payments, and monitor order progression through a live finite state machine (FSM). Reprographic operators and academic administrators manage production queues through dedicated, responsive dashboards protected by strict role-based access control (RBAC).</w:t>
      </w:r>
    </w:p>
    <w:p>
      <w:pPr>
        <w:keepNext/>
        <w:spacing w:before="280" w:after="80"/>
      </w:pPr>
      <w:r>
        <w:rPr>
          <w:rFonts w:ascii="Times New Roman" w:hAnsi="Times New Roman"/>
          <w:b/>
          <w:color w:val="0F172A"/>
          <w:sz w:val="22"/>
        </w:rPr>
        <w:t>II.  PROBLEM STATEMENT</w:t>
      </w:r>
    </w:p>
    <w:p>
      <w:pPr>
        <w:spacing w:before="0" w:after="100" w:line="269" w:lineRule="auto"/>
        <w:jc w:val="both"/>
      </w:pPr>
      <w:r>
        <w:rPr>
          <w:rFonts w:ascii="Times New Roman" w:hAnsi="Times New Roman"/>
          <w:sz w:val="20"/>
        </w:rPr>
        <w:t>Contemporary campus printing facilities suffer from four interrelated structural deficiencies:</w:t>
      </w:r>
    </w:p>
    <w:p>
      <w:pPr>
        <w:spacing w:before="0" w:after="100" w:line="269" w:lineRule="auto"/>
        <w:jc w:val="both"/>
      </w:pPr>
      <w:r>
        <w:rPr>
          <w:rFonts w:ascii="Times New Roman" w:hAnsi="Times New Roman"/>
          <w:sz w:val="20"/>
        </w:rPr>
        <w:t>1) Uncontrolled Physical Congestion and Resource Contention: Reprographic shops experience highly spiky traffic distribution. More than 70% of weekly printing volume occurs within 4 hours of department submission deadlines. Without digital queue staging, physical queues induce severe campus disruption and counter confusion.</w:t>
      </w:r>
    </w:p>
    <w:p>
      <w:pPr>
        <w:spacing w:before="0" w:after="100" w:line="269" w:lineRule="auto"/>
        <w:jc w:val="both"/>
      </w:pPr>
      <w:r>
        <w:rPr>
          <w:rFonts w:ascii="Times New Roman" w:hAnsi="Times New Roman"/>
          <w:sz w:val="20"/>
        </w:rPr>
        <w:t>2) Critical Vulnerabilities in Removable Media and Document Privacy: The shared insertion of personal flash drives into shop workstations continuously exposes academic systems to malicious payloads. Furthermore, students' personal documents and identification cards often remain cached indefinitely in temporary desktop directories, violating institutional data privacy standards.</w:t>
      </w:r>
    </w:p>
    <w:p>
      <w:pPr>
        <w:spacing w:before="0" w:after="100" w:line="269" w:lineRule="auto"/>
        <w:jc w:val="both"/>
      </w:pPr>
      <w:r>
        <w:rPr>
          <w:rFonts w:ascii="Times New Roman" w:hAnsi="Times New Roman"/>
          <w:sz w:val="20"/>
        </w:rPr>
        <w:t>3) Serverless Cloud Payload Limitations (HTTP 413 Failure): Modern cloud-native and serverless architectures (such as AWS Lambda and Vercel Edge Serverless) enforce strict request body constraints—typically capped at 4.5 MB. When students attempt to upload high-resolution assignment scans or multi-page academic dissertations (often 10 MB to 45 MB), standard serverless functions throw fatal HTTP 413 'Request Entity Too Large' or trigger CPU memory exhaustion timeouts.</w:t>
      </w:r>
    </w:p>
    <w:p>
      <w:pPr>
        <w:spacing w:before="0" w:after="100" w:line="269" w:lineRule="auto"/>
        <w:jc w:val="both"/>
      </w:pPr>
      <w:r>
        <w:rPr>
          <w:rFonts w:ascii="Times New Roman" w:hAnsi="Times New Roman"/>
          <w:sz w:val="20"/>
        </w:rPr>
        <w:t>4) Payment Verification Exploitation and Ownership Tampering: Ad-hoc payment systems that trust client-side transaction confirmations are acutely vulnerable to Insecure Direct Object Reference (IDOR) attacks, client-side signature falsification, and payment hijacking wherein malicious actors confirm print jobs using another student's payment identifier.</w:t>
      </w:r>
    </w:p>
    <w:p>
      <w:pPr>
        <w:keepNext/>
        <w:spacing w:before="280" w:after="80"/>
      </w:pPr>
      <w:r>
        <w:rPr>
          <w:rFonts w:ascii="Times New Roman" w:hAnsi="Times New Roman"/>
          <w:b/>
          <w:color w:val="0F172A"/>
          <w:sz w:val="22"/>
        </w:rPr>
        <w:t>III.  EXISTING SYSTEM VS. PROPOSED XEROXIC SYSTEM</w:t>
      </w:r>
    </w:p>
    <w:p>
      <w:pPr>
        <w:spacing w:before="0" w:after="100" w:line="269" w:lineRule="auto"/>
        <w:jc w:val="both"/>
      </w:pPr>
      <w:r>
        <w:rPr>
          <w:rFonts w:ascii="Times New Roman" w:hAnsi="Times New Roman"/>
          <w:sz w:val="20"/>
        </w:rPr>
        <w:t>A rigorous technical comparison between traditional institutional reprographic workflows and the proposed Xeroxic platform is summarized in Table I.</w:t>
      </w:r>
    </w:p>
    <w:p>
      <w:pPr>
        <w:keepNext/>
        <w:spacing w:before="160" w:after="60"/>
        <w:jc w:val="center"/>
      </w:pPr>
      <w:r>
        <w:rPr>
          <w:rFonts w:ascii="Times New Roman" w:hAnsi="Times New Roman"/>
          <w:b/>
          <w:color w:val="1E293B"/>
          <w:sz w:val="17"/>
        </w:rPr>
        <w:t>TABLE I: Comparative Analysis of Institutional Printing Architectures</w:t>
      </w:r>
    </w:p>
    <w:tbl>
      <w:tblPr>
        <w:tblW w:type="auto" w:w="0"/>
        <w:jc w:val="center"/>
        <w:tblLook w:firstColumn="1" w:firstRow="1" w:lastColumn="0" w:lastRow="0" w:noHBand="0" w:noVBand="1" w:val="04A0"/>
      </w:tblPr>
      <w:tblGrid>
        <w:gridCol w:w="2520"/>
        <w:gridCol w:w="2520"/>
        <w:gridCol w:w="2520"/>
        <w:gridCol w:w="2520"/>
      </w:tblGrid>
      <w:tr>
        <w:tc>
          <w:tcPr>
            <w:tcW w:type="dxa" w:w="2160"/>
            <w:shd w:fill="0F172A"/>
            <w:tcBorders>
              <w:top w:val="single" w:sz="4" w:space="0" w:color="CBD5E1"/>
              <w:bottom w:val="single" w:sz="4" w:space="0" w:color="CBD5E1"/>
              <w:left w:val="none"/>
              <w:right w:val="none"/>
            </w:tcBorders>
          </w:tcPr>
          <w:p>
            <w:pPr>
              <w:spacing w:before="60" w:after="60"/>
              <w:jc w:val="center"/>
            </w:pPr>
            <w:r>
              <w:rPr>
                <w:rFonts w:ascii="Times New Roman" w:hAnsi="Times New Roman"/>
                <w:b/>
                <w:color w:val="FFFFFF"/>
                <w:sz w:val="17"/>
              </w:rPr>
              <w:t>Dimension / Feature</w:t>
            </w:r>
          </w:p>
        </w:tc>
        <w:tc>
          <w:tcPr>
            <w:tcW w:type="dxa" w:w="2448"/>
            <w:shd w:fill="0F172A"/>
            <w:tcBorders>
              <w:top w:val="single" w:sz="4" w:space="0" w:color="CBD5E1"/>
              <w:bottom w:val="single" w:sz="4" w:space="0" w:color="CBD5E1"/>
              <w:left w:val="none"/>
              <w:right w:val="none"/>
            </w:tcBorders>
          </w:tcPr>
          <w:p>
            <w:pPr>
              <w:spacing w:before="60" w:after="60"/>
              <w:jc w:val="center"/>
            </w:pPr>
            <w:r>
              <w:rPr>
                <w:rFonts w:ascii="Times New Roman" w:hAnsi="Times New Roman"/>
                <w:b/>
                <w:color w:val="FFFFFF"/>
                <w:sz w:val="17"/>
              </w:rPr>
              <w:t>Traditional Campus Print Shop</w:t>
            </w:r>
          </w:p>
        </w:tc>
        <w:tc>
          <w:tcPr>
            <w:tcW w:type="dxa" w:w="2592"/>
            <w:shd w:fill="0F172A"/>
            <w:tcBorders>
              <w:top w:val="single" w:sz="4" w:space="0" w:color="CBD5E1"/>
              <w:bottom w:val="single" w:sz="4" w:space="0" w:color="CBD5E1"/>
              <w:left w:val="none"/>
              <w:right w:val="none"/>
            </w:tcBorders>
          </w:tcPr>
          <w:p>
            <w:pPr>
              <w:spacing w:before="60" w:after="60"/>
              <w:jc w:val="center"/>
            </w:pPr>
            <w:r>
              <w:rPr>
                <w:rFonts w:ascii="Times New Roman" w:hAnsi="Times New Roman"/>
                <w:b/>
                <w:color w:val="FFFFFF"/>
                <w:sz w:val="17"/>
              </w:rPr>
              <w:t>Generic Web Print Plugins</w:t>
            </w:r>
          </w:p>
        </w:tc>
        <w:tc>
          <w:tcPr>
            <w:tcW w:type="dxa" w:w="2592"/>
            <w:shd w:fill="0F172A"/>
            <w:tcBorders>
              <w:top w:val="single" w:sz="4" w:space="0" w:color="CBD5E1"/>
              <w:bottom w:val="single" w:sz="4" w:space="0" w:color="CBD5E1"/>
              <w:left w:val="none"/>
              <w:right w:val="none"/>
            </w:tcBorders>
          </w:tcPr>
          <w:p>
            <w:pPr>
              <w:spacing w:before="60" w:after="60"/>
              <w:jc w:val="center"/>
            </w:pPr>
            <w:r>
              <w:rPr>
                <w:rFonts w:ascii="Times New Roman" w:hAnsi="Times New Roman"/>
                <w:b/>
                <w:color w:val="FFFFFF"/>
                <w:sz w:val="17"/>
              </w:rPr>
              <w:t>Xeroxic Platform (Proposed)</w:t>
            </w:r>
          </w:p>
        </w:tc>
      </w:tr>
      <w:tr>
        <w:tc>
          <w:tcPr>
            <w:tcW w:type="dxa" w:w="2160"/>
            <w:shd w:fill="FFFFFF"/>
            <w:tcBorders>
              <w:top w:val="single" w:sz="4" w:space="0" w:color="CBD5E1"/>
              <w:bottom w:val="single" w:sz="4" w:space="0" w:color="CBD5E1"/>
              <w:left w:val="none"/>
              <w:right w:val="none"/>
            </w:tcBorders>
          </w:tcPr>
          <w:p>
            <w:pPr>
              <w:spacing w:before="50" w:after="50"/>
              <w:jc w:val="center"/>
            </w:pPr>
            <w:r>
              <w:rPr>
                <w:rFonts w:ascii="Times New Roman" w:hAnsi="Times New Roman"/>
                <w:color w:val="1E293B"/>
                <w:sz w:val="17"/>
              </w:rPr>
              <w:t>File Submission Channel</w:t>
            </w:r>
          </w:p>
        </w:tc>
        <w:tc>
          <w:tcPr>
            <w:tcW w:type="dxa" w:w="2448"/>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Physical USB drive or WhatsApp/Email</w:t>
            </w:r>
          </w:p>
        </w:tc>
        <w:tc>
          <w:tcPr>
            <w:tcW w:type="dxa" w:w="2592"/>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HTTP POST via Serverless API</w:t>
            </w:r>
          </w:p>
        </w:tc>
        <w:tc>
          <w:tcPr>
            <w:tcW w:type="dxa" w:w="2592"/>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Two-Phase Direct Supabase S3 Upload</w:t>
            </w:r>
          </w:p>
        </w:tc>
      </w:tr>
      <w:tr>
        <w:tc>
          <w:tcPr>
            <w:tcW w:type="dxa" w:w="2160"/>
            <w:shd w:fill="F8FAFC"/>
            <w:tcBorders>
              <w:top w:val="single" w:sz="4" w:space="0" w:color="CBD5E1"/>
              <w:bottom w:val="single" w:sz="4" w:space="0" w:color="CBD5E1"/>
              <w:left w:val="none"/>
              <w:right w:val="none"/>
            </w:tcBorders>
          </w:tcPr>
          <w:p>
            <w:pPr>
              <w:spacing w:before="50" w:after="50"/>
              <w:jc w:val="center"/>
            </w:pPr>
            <w:r>
              <w:rPr>
                <w:rFonts w:ascii="Times New Roman" w:hAnsi="Times New Roman"/>
                <w:color w:val="1E293B"/>
                <w:sz w:val="17"/>
              </w:rPr>
              <w:t>File Size Ceiling</w:t>
            </w:r>
          </w:p>
        </w:tc>
        <w:tc>
          <w:tcPr>
            <w:tcW w:type="dxa" w:w="2448"/>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Dependent on counter operator disk</w:t>
            </w:r>
          </w:p>
        </w:tc>
        <w:tc>
          <w:tcPr>
            <w:tcW w:type="dxa" w:w="2592"/>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Strictly limited to 4.5 MB (HTTP 413)</w:t>
            </w:r>
          </w:p>
        </w:tc>
        <w:tc>
          <w:tcPr>
            <w:tcW w:type="dxa" w:w="2592"/>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50 MB per file (Direct Cloud Stream)</w:t>
            </w:r>
          </w:p>
        </w:tc>
      </w:tr>
      <w:tr>
        <w:tc>
          <w:tcPr>
            <w:tcW w:type="dxa" w:w="2160"/>
            <w:shd w:fill="FFFFFF"/>
            <w:tcBorders>
              <w:top w:val="single" w:sz="4" w:space="0" w:color="CBD5E1"/>
              <w:bottom w:val="single" w:sz="4" w:space="0" w:color="CBD5E1"/>
              <w:left w:val="none"/>
              <w:right w:val="none"/>
            </w:tcBorders>
          </w:tcPr>
          <w:p>
            <w:pPr>
              <w:spacing w:before="50" w:after="50"/>
              <w:jc w:val="center"/>
            </w:pPr>
            <w:r>
              <w:rPr>
                <w:rFonts w:ascii="Times New Roman" w:hAnsi="Times New Roman"/>
                <w:color w:val="1E293B"/>
                <w:sz w:val="17"/>
              </w:rPr>
              <w:t>Database Architecture</w:t>
            </w:r>
          </w:p>
        </w:tc>
        <w:tc>
          <w:tcPr>
            <w:tcW w:type="dxa" w:w="2448"/>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Manual physical register / Excel sheet</w:t>
            </w:r>
          </w:p>
        </w:tc>
        <w:tc>
          <w:tcPr>
            <w:tcW w:type="dxa" w:w="2592"/>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Monolithic local SQL instance</w:t>
            </w:r>
          </w:p>
        </w:tc>
        <w:tc>
          <w:tcPr>
            <w:tcW w:type="dxa" w:w="2592"/>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MongoDB Atlas (Path-only JSON doc)</w:t>
            </w:r>
          </w:p>
        </w:tc>
      </w:tr>
      <w:tr>
        <w:tc>
          <w:tcPr>
            <w:tcW w:type="dxa" w:w="2160"/>
            <w:shd w:fill="F8FAFC"/>
            <w:tcBorders>
              <w:top w:val="single" w:sz="4" w:space="0" w:color="CBD5E1"/>
              <w:bottom w:val="single" w:sz="4" w:space="0" w:color="CBD5E1"/>
              <w:left w:val="none"/>
              <w:right w:val="none"/>
            </w:tcBorders>
          </w:tcPr>
          <w:p>
            <w:pPr>
              <w:spacing w:before="50" w:after="50"/>
              <w:jc w:val="center"/>
            </w:pPr>
            <w:r>
              <w:rPr>
                <w:rFonts w:ascii="Times New Roman" w:hAnsi="Times New Roman"/>
                <w:color w:val="1E293B"/>
                <w:sz w:val="17"/>
              </w:rPr>
              <w:t>Authentication Engine</w:t>
            </w:r>
          </w:p>
        </w:tc>
        <w:tc>
          <w:tcPr>
            <w:tcW w:type="dxa" w:w="2448"/>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None (Anonymous walk-ins)</w:t>
            </w:r>
          </w:p>
        </w:tc>
        <w:tc>
          <w:tcPr>
            <w:tcW w:type="dxa" w:w="2592"/>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Plain MD5 / SHA-1 without salting</w:t>
            </w:r>
          </w:p>
        </w:tc>
        <w:tc>
          <w:tcPr>
            <w:tcW w:type="dxa" w:w="2592"/>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scrypt KDF + 16B Salt + Constant-Time</w:t>
            </w:r>
          </w:p>
        </w:tc>
      </w:tr>
      <w:tr>
        <w:tc>
          <w:tcPr>
            <w:tcW w:type="dxa" w:w="2160"/>
            <w:shd w:fill="FFFFFF"/>
            <w:tcBorders>
              <w:top w:val="single" w:sz="4" w:space="0" w:color="CBD5E1"/>
              <w:bottom w:val="single" w:sz="4" w:space="0" w:color="CBD5E1"/>
              <w:left w:val="none"/>
              <w:right w:val="none"/>
            </w:tcBorders>
          </w:tcPr>
          <w:p>
            <w:pPr>
              <w:spacing w:before="50" w:after="50"/>
              <w:jc w:val="center"/>
            </w:pPr>
            <w:r>
              <w:rPr>
                <w:rFonts w:ascii="Times New Roman" w:hAnsi="Times New Roman"/>
                <w:color w:val="1E293B"/>
                <w:sz w:val="17"/>
              </w:rPr>
              <w:t>Payment Reconciliation</w:t>
            </w:r>
          </w:p>
        </w:tc>
        <w:tc>
          <w:tcPr>
            <w:tcW w:type="dxa" w:w="2448"/>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Loose Cash / Personal Merchant UPI</w:t>
            </w:r>
          </w:p>
        </w:tc>
        <w:tc>
          <w:tcPr>
            <w:tcW w:type="dxa" w:w="2592"/>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Client-side webhook without HMAC</w:t>
            </w:r>
          </w:p>
        </w:tc>
        <w:tc>
          <w:tcPr>
            <w:tcW w:type="dxa" w:w="2592"/>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Server-Side Razorpay HMAC-SHA256</w:t>
            </w:r>
          </w:p>
        </w:tc>
      </w:tr>
      <w:tr>
        <w:tc>
          <w:tcPr>
            <w:tcW w:type="dxa" w:w="2160"/>
            <w:shd w:fill="F8FAFC"/>
            <w:tcBorders>
              <w:top w:val="single" w:sz="4" w:space="0" w:color="CBD5E1"/>
              <w:bottom w:val="single" w:sz="4" w:space="0" w:color="CBD5E1"/>
              <w:left w:val="none"/>
              <w:right w:val="none"/>
            </w:tcBorders>
          </w:tcPr>
          <w:p>
            <w:pPr>
              <w:spacing w:before="50" w:after="50"/>
              <w:jc w:val="center"/>
            </w:pPr>
            <w:r>
              <w:rPr>
                <w:rFonts w:ascii="Times New Roman" w:hAnsi="Times New Roman"/>
                <w:color w:val="1E293B"/>
                <w:sz w:val="17"/>
              </w:rPr>
              <w:t>Assignment Distribution</w:t>
            </w:r>
          </w:p>
        </w:tc>
        <w:tc>
          <w:tcPr>
            <w:tcW w:type="dxa" w:w="2448"/>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Photocopied physical notice board</w:t>
            </w:r>
          </w:p>
        </w:tc>
        <w:tc>
          <w:tcPr>
            <w:tcW w:type="dxa" w:w="2592"/>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Static unmanaged shared folders</w:t>
            </w:r>
          </w:p>
        </w:tc>
        <w:tc>
          <w:tcPr>
            <w:tcW w:type="dxa" w:w="2592"/>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Curriculum Hub with 24h Auto-Expiry</w:t>
            </w:r>
          </w:p>
        </w:tc>
      </w:tr>
      <w:tr>
        <w:tc>
          <w:tcPr>
            <w:tcW w:type="dxa" w:w="2160"/>
            <w:shd w:fill="FFFFFF"/>
            <w:tcBorders>
              <w:top w:val="single" w:sz="4" w:space="0" w:color="CBD5E1"/>
              <w:bottom w:val="single" w:sz="4" w:space="0" w:color="CBD5E1"/>
              <w:left w:val="none"/>
              <w:right w:val="none"/>
            </w:tcBorders>
          </w:tcPr>
          <w:p>
            <w:pPr>
              <w:spacing w:before="50" w:after="50"/>
              <w:jc w:val="center"/>
            </w:pPr>
            <w:r>
              <w:rPr>
                <w:rFonts w:ascii="Times New Roman" w:hAnsi="Times New Roman"/>
                <w:color w:val="1E293B"/>
                <w:sz w:val="17"/>
              </w:rPr>
              <w:t>Queue Status Visibility</w:t>
            </w:r>
          </w:p>
        </w:tc>
        <w:tc>
          <w:tcPr>
            <w:tcW w:type="dxa" w:w="2448"/>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Verbal inquiry across service counter</w:t>
            </w:r>
          </w:p>
        </w:tc>
        <w:tc>
          <w:tcPr>
            <w:tcW w:type="dxa" w:w="2592"/>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None or static browser reload</w:t>
            </w:r>
          </w:p>
        </w:tc>
        <w:tc>
          <w:tcPr>
            <w:tcW w:type="dxa" w:w="2592"/>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Real-Time 5-State Finite State Machine</w:t>
            </w:r>
          </w:p>
        </w:tc>
      </w:tr>
      <w:tr>
        <w:tc>
          <w:tcPr>
            <w:tcW w:type="dxa" w:w="2160"/>
            <w:shd w:fill="F8FAFC"/>
            <w:tcBorders>
              <w:top w:val="single" w:sz="4" w:space="0" w:color="CBD5E1"/>
              <w:bottom w:val="single" w:sz="4" w:space="0" w:color="CBD5E1"/>
              <w:left w:val="none"/>
              <w:right w:val="none"/>
            </w:tcBorders>
          </w:tcPr>
          <w:p>
            <w:pPr>
              <w:spacing w:before="50" w:after="50"/>
              <w:jc w:val="center"/>
            </w:pPr>
            <w:r>
              <w:rPr>
                <w:rFonts w:ascii="Times New Roman" w:hAnsi="Times New Roman"/>
                <w:color w:val="1E293B"/>
                <w:sz w:val="17"/>
              </w:rPr>
              <w:t>Mobile Accessibility</w:t>
            </w:r>
          </w:p>
        </w:tc>
        <w:tc>
          <w:tcPr>
            <w:tcW w:type="dxa" w:w="2448"/>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Unusable (Desktop dependent)</w:t>
            </w:r>
          </w:p>
        </w:tc>
        <w:tc>
          <w:tcPr>
            <w:tcW w:type="dxa" w:w="2592"/>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Unresponsive mobile forms</w:t>
            </w:r>
          </w:p>
        </w:tc>
        <w:tc>
          <w:tcPr>
            <w:tcW w:type="dxa" w:w="2592"/>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Touch-friendly sticky mobile viewport</w:t>
            </w:r>
          </w:p>
        </w:tc>
      </w:tr>
    </w:tbl>
    <w:p>
      <w:pPr>
        <w:spacing w:after="120"/>
      </w:pPr>
    </w:p>
    <w:p>
      <w:pPr>
        <w:keepNext/>
        <w:spacing w:before="280" w:after="80"/>
      </w:pPr>
      <w:r>
        <w:rPr>
          <w:rFonts w:ascii="Times New Roman" w:hAnsi="Times New Roman"/>
          <w:b/>
          <w:color w:val="0F172A"/>
          <w:sz w:val="22"/>
        </w:rPr>
        <w:t>IV.  OBJECTIVES OF THE RESEARCH &amp; PLATFORM</w:t>
      </w:r>
    </w:p>
    <w:p>
      <w:pPr>
        <w:spacing w:before="0" w:after="100" w:line="269" w:lineRule="auto"/>
        <w:jc w:val="both"/>
      </w:pPr>
      <w:r>
        <w:rPr>
          <w:rFonts w:ascii="Times New Roman" w:hAnsi="Times New Roman"/>
          <w:sz w:val="20"/>
        </w:rPr>
        <w:t>The core technical and architectural objectives achieved by Xeroxic include:</w:t>
      </w:r>
    </w:p>
    <w:p>
      <w:pPr>
        <w:spacing w:before="0" w:after="100" w:line="269" w:lineRule="auto"/>
        <w:jc w:val="both"/>
      </w:pPr>
      <w:r>
        <w:rPr>
          <w:rFonts w:ascii="Times New Roman" w:hAnsi="Times New Roman"/>
          <w:sz w:val="20"/>
        </w:rPr>
        <w:t>• Decoupled Serverless Cloud Execution: Architecting an elastic, zero-maintenance backend on serverless compute that eliminates standing VM server hosting expenses.</w:t>
      </w:r>
    </w:p>
    <w:p>
      <w:pPr>
        <w:spacing w:before="0" w:after="100" w:line="269" w:lineRule="auto"/>
        <w:jc w:val="both"/>
      </w:pPr>
      <w:r>
        <w:rPr>
          <w:rFonts w:ascii="Times New Roman" w:hAnsi="Times New Roman"/>
          <w:sz w:val="20"/>
        </w:rPr>
        <w:t>• Direct Object Storage Offloading up to 50 MB: Eliminating the 4.5 MB serverless proxy bottleneck by issuing pre-signed cryptographic upload paths directly to a private Supabase Storage bucket.</w:t>
      </w:r>
    </w:p>
    <w:p>
      <w:pPr>
        <w:spacing w:before="0" w:after="100" w:line="269" w:lineRule="auto"/>
        <w:jc w:val="both"/>
      </w:pPr>
      <w:r>
        <w:rPr>
          <w:rFonts w:ascii="Times New Roman" w:hAnsi="Times New Roman"/>
          <w:sz w:val="20"/>
        </w:rPr>
        <w:t>• Cryptographically Bound Payment Verification: Implementing an uncompromised server-side Razorpay payment verification loop that guarantees payment integrity and strictly prevents IDOR order impersonation.</w:t>
      </w:r>
    </w:p>
    <w:p>
      <w:pPr>
        <w:spacing w:before="0" w:after="100" w:line="269" w:lineRule="auto"/>
        <w:jc w:val="both"/>
      </w:pPr>
      <w:r>
        <w:rPr>
          <w:rFonts w:ascii="Times New Roman" w:hAnsi="Times New Roman"/>
          <w:sz w:val="20"/>
        </w:rPr>
        <w:t>• OWASP Top 10 Hardened Security Layer: Employing scrypt key derivation, timing-safe equality comparisons, sliding-window IP rate limiting, and security response headers to defeat enumeration, brute-force, and injection attacks.</w:t>
      </w:r>
    </w:p>
    <w:p>
      <w:pPr>
        <w:spacing w:before="0" w:after="100" w:line="269" w:lineRule="auto"/>
        <w:jc w:val="both"/>
      </w:pPr>
      <w:r>
        <w:rPr>
          <w:rFonts w:ascii="Times New Roman" w:hAnsi="Times New Roman"/>
          <w:sz w:val="20"/>
        </w:rPr>
        <w:t>• Curriculum-Integrated Assignment Hub: Developing a localized educational distribution engine supporting multi-attachment lab manuals with automated post-deadline tombstone auto-purging.</w:t>
      </w:r>
    </w:p>
    <w:p>
      <w:pPr>
        <w:spacing w:before="0" w:after="100" w:line="269" w:lineRule="auto"/>
        <w:jc w:val="both"/>
      </w:pPr>
      <w:r>
        <w:rPr>
          <w:rFonts w:ascii="Times New Roman" w:hAnsi="Times New Roman"/>
          <w:sz w:val="20"/>
        </w:rPr>
        <w:t>• Mobile-First Responsive Web Interface: Engineering zero-framework, accessible interfaces optimized for mobile and desktop screens with optimistic UI updates and instant tactile feedback.</w:t>
      </w:r>
    </w:p>
    <w:p>
      <w:pPr>
        <w:keepNext/>
        <w:spacing w:before="280" w:after="80"/>
      </w:pPr>
      <w:r>
        <w:rPr>
          <w:rFonts w:ascii="Times New Roman" w:hAnsi="Times New Roman"/>
          <w:b/>
          <w:color w:val="0F172A"/>
          <w:sz w:val="22"/>
        </w:rPr>
        <w:t>V.  LITERATURE REVIEW</w:t>
      </w:r>
    </w:p>
    <w:p>
      <w:pPr>
        <w:spacing w:before="0" w:after="100" w:line="269" w:lineRule="auto"/>
        <w:jc w:val="both"/>
      </w:pPr>
      <w:r>
        <w:rPr>
          <w:rFonts w:ascii="Times New Roman" w:hAnsi="Times New Roman"/>
          <w:sz w:val="20"/>
        </w:rPr>
        <w:t>Cloud-based print services and institutional document management architectures have been investigated in academic literature from various computational viewpoints.</w:t>
      </w:r>
    </w:p>
    <w:p>
      <w:pPr>
        <w:spacing w:before="0" w:after="100" w:line="269" w:lineRule="auto"/>
        <w:jc w:val="both"/>
      </w:pPr>
      <w:r>
        <w:rPr>
          <w:rFonts w:ascii="Times New Roman" w:hAnsi="Times New Roman"/>
          <w:sz w:val="20"/>
        </w:rPr>
        <w:t>A. Serverless Architectures in Campus Management Systems</w:t>
        <w:br/>
        <w:t>Baldini et al. [5] and Jonas et al. [6] established that serverless computing paradigms (Function-as-a-Service, FaaS) provide unprecedented elasticity and financial efficiency for academic environments subject to highly fluctuating burst workloads. However, as demonstrated by McGrath and Brenner [7], serverless functions exhibit sharp memory and payload constraints, typically discarding incoming HTTP request bodies exceeding 4.5 MB to 6 MB. Modern architectures require decoupled storage offloading strategies, as highlighted by Spillner [8], wherein binary document streaming is segregated completely from compute logic.</w:t>
      </w:r>
    </w:p>
    <w:p>
      <w:pPr>
        <w:spacing w:before="0" w:after="100" w:line="269" w:lineRule="auto"/>
        <w:jc w:val="both"/>
      </w:pPr>
      <w:r>
        <w:rPr>
          <w:rFonts w:ascii="Times New Roman" w:hAnsi="Times New Roman"/>
          <w:sz w:val="20"/>
        </w:rPr>
        <w:t>B. Cloud Object Storage and Secure Pre-Signed Authorization</w:t>
        <w:br/>
        <w:t>The evolution of cloud object storage models (Amazon S3, Ceph, and Supabase PostgREST Storage) was evaluated by Calder et al. [9]. Their findings proved that direct client-to-storage streaming via pre-signed uniform resource locators (URLs) reduces server CPU utilization by up to 94% while completely mitigating edge gateway throttling. Furthermore, modern cryptographic authorization protocols analyzed by Wang et al. [10] highlight that time-limited Hash-based Message Authentication Code (HMAC) signed URLs ensure that private object stores remain shielded from unauthorized public traversal.</w:t>
      </w:r>
    </w:p>
    <w:p>
      <w:pPr>
        <w:spacing w:before="0" w:after="100" w:line="269" w:lineRule="auto"/>
        <w:jc w:val="both"/>
      </w:pPr>
      <w:r>
        <w:rPr>
          <w:rFonts w:ascii="Times New Roman" w:hAnsi="Times New Roman"/>
          <w:sz w:val="20"/>
        </w:rPr>
        <w:t>C. Cryptographic Password Hashing and OWASP Compliance</w:t>
        <w:br/>
        <w:t>Traditional campus portals frequently suffer from archaic credential storage algorithms such as MD5 and unsalted SHA-256, which are easily reversed via modern GPU-accelerated rainbow tables [11]. Percival [12] formulated the scrypt key derivation function specifically to defeat custom hardware and ASIC attacks by enforcing configurable sequential memory hardness (N=16384, r=8, p=1). Concurrently, Kocher et al. [13] emphasized the necessity of constant-time string comparisons to eliminate side-channel timing attacks during password and token verification.</w:t>
      </w:r>
    </w:p>
    <w:p>
      <w:pPr>
        <w:spacing w:before="0" w:after="100" w:line="269" w:lineRule="auto"/>
        <w:jc w:val="both"/>
      </w:pPr>
      <w:r>
        <w:rPr>
          <w:rFonts w:ascii="Times New Roman" w:hAnsi="Times New Roman"/>
          <w:sz w:val="20"/>
        </w:rPr>
        <w:t>D. Payment Reconciliation and Tamper-Resistant Signatures</w:t>
        <w:br/>
        <w:t>E-commerce payment gateways utilize digital signatures to establish end-to-end trust between customer browsers, merchant APIs, and banking switches [14]. Bellare et al. [15] formalized HMAC-SHA256 as a provably secure cryptographic pseudo-random function. In modern full-stack web applications, verifying transaction integrity strictly on the server side using the merchant secret key is indispensable to prevent client-side payment bypass and parameter tampering [16].</w:t>
      </w:r>
    </w:p>
    <w:p>
      <w:pPr>
        <w:keepNext/>
        <w:spacing w:before="280" w:after="80"/>
      </w:pPr>
      <w:r>
        <w:rPr>
          <w:rFonts w:ascii="Times New Roman" w:hAnsi="Times New Roman"/>
          <w:b/>
          <w:color w:val="0F172A"/>
          <w:sz w:val="22"/>
        </w:rPr>
        <w:t>VI.  SYSTEM ARCHITECTURE</w:t>
      </w:r>
    </w:p>
    <w:p>
      <w:pPr>
        <w:spacing w:before="0" w:after="100" w:line="269" w:lineRule="auto"/>
        <w:jc w:val="both"/>
      </w:pPr>
      <w:r>
        <w:rPr>
          <w:rFonts w:ascii="Times New Roman" w:hAnsi="Times New Roman"/>
          <w:sz w:val="20"/>
        </w:rPr>
        <w:t>Xeroxic is built upon a multi-tiered, cloud-native decoupled architecture designed for high throughput, minimal operational cost, and zero server maintenance. Fig. 1 illustrates the high-level system architecture and inter-tier communication protocols.</w:t>
      </w:r>
    </w:p>
    <w:p>
      <w:pPr>
        <w:keepNext/>
        <w:spacing w:before="160" w:after="60"/>
        <w:jc w:val="center"/>
      </w:pPr>
      <w:r>
        <w:drawing>
          <wp:inline xmlns:a="http://schemas.openxmlformats.org/drawingml/2006/main" xmlns:pic="http://schemas.openxmlformats.org/drawingml/2006/picture">
            <wp:extent cx="5760720" cy="3582296"/>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760720" cy="3582296"/>
                    </a:xfrm>
                    <a:prstGeom prst="rect"/>
                  </pic:spPr>
                </pic:pic>
              </a:graphicData>
            </a:graphic>
          </wp:inline>
        </w:drawing>
      </w:r>
    </w:p>
    <w:p>
      <w:pPr>
        <w:keepNext w:val="0"/>
        <w:spacing w:before="0" w:after="160"/>
        <w:jc w:val="center"/>
      </w:pPr>
      <w:r>
        <w:rPr>
          <w:rFonts w:ascii="Times New Roman" w:hAnsi="Times New Roman"/>
          <w:b/>
          <w:color w:val="334155"/>
          <w:sz w:val="17"/>
        </w:rPr>
        <w:t>Fig. 1. High-Level Multi-Tiered System Architecture of Xeroxic</w:t>
      </w:r>
    </w:p>
    <w:p>
      <w:pPr>
        <w:spacing w:before="0" w:after="100" w:line="269" w:lineRule="auto"/>
        <w:jc w:val="both"/>
      </w:pPr>
      <w:r>
        <w:rPr>
          <w:rFonts w:ascii="Times New Roman" w:hAnsi="Times New Roman"/>
          <w:sz w:val="20"/>
        </w:rPr>
        <w:t>The architecture is partitioned into four primary layers:</w:t>
      </w:r>
    </w:p>
    <w:p>
      <w:pPr>
        <w:spacing w:before="0" w:after="100" w:line="269" w:lineRule="auto"/>
        <w:jc w:val="both"/>
      </w:pPr>
      <w:r>
        <w:rPr>
          <w:rFonts w:ascii="Times New Roman" w:hAnsi="Times New Roman"/>
          <w:sz w:val="20"/>
        </w:rPr>
        <w:t>1) Presentation Layer (Client Tier): Developed using modern standards-compliant HTML5, CSS3, and vanilla ES6+ JavaScript. By deliberately omitting heavy client frameworks (e.g., React, Angular), the initial bundle size is restricted to under 120 KB, achieving instant First Contentful Paint (FCP &lt; 0.4s) on low-bandwidth mobile networks across campus Wi-Fi.</w:t>
      </w:r>
    </w:p>
    <w:p>
      <w:pPr>
        <w:spacing w:before="0" w:after="100" w:line="269" w:lineRule="auto"/>
        <w:jc w:val="both"/>
      </w:pPr>
      <w:r>
        <w:rPr>
          <w:rFonts w:ascii="Times New Roman" w:hAnsi="Times New Roman"/>
          <w:sz w:val="20"/>
        </w:rPr>
        <w:t>2) Serverless Edge Gateway Tier (Compute Layer): Hosted on Vercel's global edge network using a Node.js 18+ serverless runtime (`api/index.js`). The edge function operates statelessly, processing routing, security middleware, rate limiting, and business logic. It auto-scales from zero to thousands of concurrent invocations during deadline surges with zero server administration overhead.</w:t>
      </w:r>
    </w:p>
    <w:p>
      <w:pPr>
        <w:spacing w:before="0" w:after="100" w:line="269" w:lineRule="auto"/>
        <w:jc w:val="both"/>
      </w:pPr>
      <w:r>
        <w:rPr>
          <w:rFonts w:ascii="Times New Roman" w:hAnsi="Times New Roman"/>
          <w:sz w:val="20"/>
        </w:rPr>
        <w:t>3) Persistence Layer (MongoDB Atlas NoSQL): Primary institutional records, user profiles, order specifications, print requests, assignments, and audit tombstones are stored in MongoDB Atlas (`lib/storage.js`). The database maintains zero binary file bloat by persisting only lightweight path pointers and document metadata.</w:t>
      </w:r>
    </w:p>
    <w:p>
      <w:pPr>
        <w:spacing w:before="0" w:after="100" w:line="269" w:lineRule="auto"/>
        <w:jc w:val="both"/>
      </w:pPr>
      <w:r>
        <w:rPr>
          <w:rFonts w:ascii="Times New Roman" w:hAnsi="Times New Roman"/>
          <w:sz w:val="20"/>
        </w:rPr>
        <w:t>4) Private Object Storage Tier (Supabase Storage): Binary assets are offloaded into a private bucket named `pdfs and images`. Public reading is blocked by default, and access is governed strictly by server-signed HMAC URLs and Supabase client policies.</w:t>
      </w:r>
    </w:p>
    <w:p>
      <w:pPr>
        <w:keepNext/>
        <w:spacing w:before="280" w:after="80"/>
      </w:pPr>
      <w:r>
        <w:rPr>
          <w:rFonts w:ascii="Times New Roman" w:hAnsi="Times New Roman"/>
          <w:b/>
          <w:color w:val="0F172A"/>
          <w:sz w:val="22"/>
        </w:rPr>
        <w:t>VII.  END-TO-END SYSTEM WORKING FLOW</w:t>
      </w:r>
    </w:p>
    <w:p>
      <w:pPr>
        <w:spacing w:before="0" w:after="100" w:line="269" w:lineRule="auto"/>
        <w:jc w:val="both"/>
      </w:pPr>
      <w:r>
        <w:rPr>
          <w:rFonts w:ascii="Times New Roman" w:hAnsi="Times New Roman"/>
          <w:sz w:val="20"/>
        </w:rPr>
        <w:t>The operational lifecycle of a student reprographic request follows an orchestrated seven-stage pipeline:</w:t>
      </w:r>
    </w:p>
    <w:p>
      <w:pPr>
        <w:spacing w:before="0" w:after="100" w:line="269" w:lineRule="auto"/>
        <w:jc w:val="both"/>
      </w:pPr>
      <w:r>
        <w:rPr>
          <w:rFonts w:ascii="Times New Roman" w:hAnsi="Times New Roman"/>
          <w:sz w:val="20"/>
        </w:rPr>
        <w:t>• Stage 1: Student Authentication and Session Initialization: The student registers or authenticates using institutional credentials (`@aitpune.edu.in`). Upon verification, an encrypted, stateless session token is generated and delivered in an `HttpOnly; SameSite=Lax` cookie.</w:t>
      </w:r>
    </w:p>
    <w:p>
      <w:pPr>
        <w:spacing w:before="0" w:after="100" w:line="269" w:lineRule="auto"/>
        <w:jc w:val="both"/>
      </w:pPr>
      <w:r>
        <w:rPr>
          <w:rFonts w:ascii="Times New Roman" w:hAnsi="Times New Roman"/>
          <w:sz w:val="20"/>
        </w:rPr>
        <w:t>• Stage 2: Document Staging and Direct Cloud Streaming: The student drops one or more documents (PDF, DOCX, PPTX, JPG, PNG) up to 50 MB into the staging tray. The browser requests an upload authorization via `/api/files/prepare-upload`, streams the binary stream directly to Supabase Storage, and registers the returned file path with MongoDB via `/api/files/confirm-upload`.</w:t>
      </w:r>
    </w:p>
    <w:p>
      <w:pPr>
        <w:spacing w:before="0" w:after="100" w:line="269" w:lineRule="auto"/>
        <w:jc w:val="both"/>
      </w:pPr>
      <w:r>
        <w:rPr>
          <w:rFonts w:ascii="Times New Roman" w:hAnsi="Times New Roman"/>
          <w:sz w:val="20"/>
        </w:rPr>
        <w:t>• Stage 3: Reprographic Parameter Selection: On the Print Options interface, the student configures print specifications: color mode (Black &amp; White vs. Full Color), binding sides (Single-sided vs. Duplex Double-sided), paper size (A4), page ranges, and number of physical copies. The client dynamically computes total cost based on live pricing rules fetched from `/api/pricing`.</w:t>
      </w:r>
    </w:p>
    <w:p>
      <w:pPr>
        <w:spacing w:before="0" w:after="100" w:line="269" w:lineRule="auto"/>
        <w:jc w:val="both"/>
      </w:pPr>
      <w:r>
        <w:rPr>
          <w:rFonts w:ascii="Times New Roman" w:hAnsi="Times New Roman"/>
          <w:sz w:val="20"/>
        </w:rPr>
        <w:t>• Stage 4: Order Draft Initialization: Clicking 'Proceed to Pay' triggers a `POST /api/orders/initiate` request, creating a permanent print request entity in MongoDB with state `REQUEST_RECEIVED` and payment status `PENDING`.</w:t>
      </w:r>
    </w:p>
    <w:p>
      <w:pPr>
        <w:spacing w:before="0" w:after="100" w:line="269" w:lineRule="auto"/>
        <w:jc w:val="both"/>
      </w:pPr>
      <w:r>
        <w:rPr>
          <w:rFonts w:ascii="Times New Roman" w:hAnsi="Times New Roman"/>
          <w:sz w:val="20"/>
        </w:rPr>
        <w:t>• Stage 5: Server-Side Razorpay Order Creation: The client invokes `POST /api/create-order`. The server validates that the authenticated student owns the order, verifies the total amount (enforcing minimum transaction thresholds &gt;= ₹1.00), calls the Razorpay SDK (`orders.create`), and returns the generated `razorpayOrderId`.</w:t>
      </w:r>
    </w:p>
    <w:p>
      <w:pPr>
        <w:spacing w:before="0" w:after="100" w:line="269" w:lineRule="auto"/>
        <w:jc w:val="both"/>
      </w:pPr>
      <w:r>
        <w:rPr>
          <w:rFonts w:ascii="Times New Roman" w:hAnsi="Times New Roman"/>
          <w:sz w:val="20"/>
        </w:rPr>
        <w:t>• Stage 6: Client Checkout and Cryptographic Payment Verification: The Razorpay Standard Web modal renders. Upon successful UPI, Debit Card, or NetBanking payment, Razorpay emits a cryptographic signature. The client forwards the signature to `POST /api/verify-payment`. The backend recalculates the HMAC-SHA256 signature using the secret key; upon validation, the order is marked `PAID` and an administrative notification is dispatched.</w:t>
      </w:r>
    </w:p>
    <w:p>
      <w:pPr>
        <w:spacing w:before="0" w:after="100" w:line="269" w:lineRule="auto"/>
        <w:jc w:val="both"/>
      </w:pPr>
      <w:r>
        <w:rPr>
          <w:rFonts w:ascii="Times New Roman" w:hAnsi="Times New Roman"/>
          <w:sz w:val="20"/>
        </w:rPr>
        <w:t>• Stage 7: Administrative Queue Processing and Fulfillment: The order appears immediately on the Admin and Super Admin dashboards. Staff inspect the order, preview or download the document via temporary signed URLs, progress the print status through `ACCEPTED` -&gt; `PRINTING` -&gt; `READY`, and complete fulfillment upon physical pickup.</w:t>
      </w:r>
    </w:p>
    <w:p>
      <w:pPr>
        <w:keepNext/>
        <w:spacing w:before="280" w:after="80"/>
      </w:pPr>
      <w:r>
        <w:rPr>
          <w:rFonts w:ascii="Times New Roman" w:hAnsi="Times New Roman"/>
          <w:b/>
          <w:color w:val="0F172A"/>
          <w:sz w:val="22"/>
        </w:rPr>
        <w:t>VIII.  TECHNOLOGY STACK AND IMPLEMENTATION SPECIFICATIONS</w:t>
      </w:r>
    </w:p>
    <w:p>
      <w:pPr>
        <w:spacing w:before="0" w:after="100" w:line="269" w:lineRule="auto"/>
        <w:jc w:val="both"/>
      </w:pPr>
      <w:r>
        <w:rPr>
          <w:rFonts w:ascii="Times New Roman" w:hAnsi="Times New Roman"/>
          <w:sz w:val="20"/>
        </w:rPr>
        <w:t>The technological matrix implemented across Xeroxic is cataloged in Table II.</w:t>
      </w:r>
    </w:p>
    <w:p>
      <w:pPr>
        <w:keepNext/>
        <w:spacing w:before="160" w:after="60"/>
        <w:jc w:val="center"/>
      </w:pPr>
      <w:r>
        <w:rPr>
          <w:rFonts w:ascii="Times New Roman" w:hAnsi="Times New Roman"/>
          <w:b/>
          <w:color w:val="1E293B"/>
          <w:sz w:val="17"/>
        </w:rPr>
        <w:t>TABLE II: Comprehensive Technological Specifications of Xeroxic</w:t>
      </w:r>
    </w:p>
    <w:tbl>
      <w:tblPr>
        <w:tblW w:type="auto" w:w="0"/>
        <w:jc w:val="center"/>
        <w:tblLook w:firstColumn="1" w:firstRow="1" w:lastColumn="0" w:lastRow="0" w:noHBand="0" w:noVBand="1" w:val="04A0"/>
      </w:tblPr>
      <w:tblGrid>
        <w:gridCol w:w="2520"/>
        <w:gridCol w:w="2520"/>
        <w:gridCol w:w="2520"/>
        <w:gridCol w:w="2520"/>
      </w:tblGrid>
      <w:tr>
        <w:tc>
          <w:tcPr>
            <w:tcW w:type="dxa" w:w="2304"/>
            <w:shd w:fill="0F172A"/>
            <w:tcBorders>
              <w:top w:val="single" w:sz="4" w:space="0" w:color="CBD5E1"/>
              <w:bottom w:val="single" w:sz="4" w:space="0" w:color="CBD5E1"/>
              <w:left w:val="none"/>
              <w:right w:val="none"/>
            </w:tcBorders>
          </w:tcPr>
          <w:p>
            <w:pPr>
              <w:spacing w:before="60" w:after="60"/>
              <w:jc w:val="center"/>
            </w:pPr>
            <w:r>
              <w:rPr>
                <w:rFonts w:ascii="Times New Roman" w:hAnsi="Times New Roman"/>
                <w:b/>
                <w:color w:val="FFFFFF"/>
                <w:sz w:val="17"/>
              </w:rPr>
              <w:t>Layer / Subsystem</w:t>
            </w:r>
          </w:p>
        </w:tc>
        <w:tc>
          <w:tcPr>
            <w:tcW w:type="dxa" w:w="2304"/>
            <w:shd w:fill="0F172A"/>
            <w:tcBorders>
              <w:top w:val="single" w:sz="4" w:space="0" w:color="CBD5E1"/>
              <w:bottom w:val="single" w:sz="4" w:space="0" w:color="CBD5E1"/>
              <w:left w:val="none"/>
              <w:right w:val="none"/>
            </w:tcBorders>
          </w:tcPr>
          <w:p>
            <w:pPr>
              <w:spacing w:before="60" w:after="60"/>
              <w:jc w:val="center"/>
            </w:pPr>
            <w:r>
              <w:rPr>
                <w:rFonts w:ascii="Times New Roman" w:hAnsi="Times New Roman"/>
                <w:b/>
                <w:color w:val="FFFFFF"/>
                <w:sz w:val="17"/>
              </w:rPr>
              <w:t>Technology / Framework</w:t>
            </w:r>
          </w:p>
        </w:tc>
        <w:tc>
          <w:tcPr>
            <w:tcW w:type="dxa" w:w="2016"/>
            <w:shd w:fill="0F172A"/>
            <w:tcBorders>
              <w:top w:val="single" w:sz="4" w:space="0" w:color="CBD5E1"/>
              <w:bottom w:val="single" w:sz="4" w:space="0" w:color="CBD5E1"/>
              <w:left w:val="none"/>
              <w:right w:val="none"/>
            </w:tcBorders>
          </w:tcPr>
          <w:p>
            <w:pPr>
              <w:spacing w:before="60" w:after="60"/>
              <w:jc w:val="center"/>
            </w:pPr>
            <w:r>
              <w:rPr>
                <w:rFonts w:ascii="Times New Roman" w:hAnsi="Times New Roman"/>
                <w:b/>
                <w:color w:val="FFFFFF"/>
                <w:sz w:val="17"/>
              </w:rPr>
              <w:t>Version / Runtime</w:t>
            </w:r>
          </w:p>
        </w:tc>
        <w:tc>
          <w:tcPr>
            <w:tcW w:type="dxa" w:w="3168"/>
            <w:shd w:fill="0F172A"/>
            <w:tcBorders>
              <w:top w:val="single" w:sz="4" w:space="0" w:color="CBD5E1"/>
              <w:bottom w:val="single" w:sz="4" w:space="0" w:color="CBD5E1"/>
              <w:left w:val="none"/>
              <w:right w:val="none"/>
            </w:tcBorders>
          </w:tcPr>
          <w:p>
            <w:pPr>
              <w:spacing w:before="60" w:after="60"/>
              <w:jc w:val="center"/>
            </w:pPr>
            <w:r>
              <w:rPr>
                <w:rFonts w:ascii="Times New Roman" w:hAnsi="Times New Roman"/>
                <w:b/>
                <w:color w:val="FFFFFF"/>
                <w:sz w:val="17"/>
              </w:rPr>
              <w:t>Purpose &amp; Architectural Rationale</w:t>
            </w:r>
          </w:p>
        </w:tc>
      </w:tr>
      <w:tr>
        <w:tc>
          <w:tcPr>
            <w:tcW w:type="dxa" w:w="2304"/>
            <w:shd w:fill="FFFFFF"/>
            <w:tcBorders>
              <w:top w:val="single" w:sz="4" w:space="0" w:color="CBD5E1"/>
              <w:bottom w:val="single" w:sz="4" w:space="0" w:color="CBD5E1"/>
              <w:left w:val="none"/>
              <w:right w:val="none"/>
            </w:tcBorders>
          </w:tcPr>
          <w:p>
            <w:pPr>
              <w:spacing w:before="50" w:after="50"/>
              <w:jc w:val="center"/>
            </w:pPr>
            <w:r>
              <w:rPr>
                <w:rFonts w:ascii="Times New Roman" w:hAnsi="Times New Roman"/>
                <w:color w:val="1E293B"/>
                <w:sz w:val="17"/>
              </w:rPr>
              <w:t>Presentation (Frontend)</w:t>
            </w:r>
          </w:p>
        </w:tc>
        <w:tc>
          <w:tcPr>
            <w:tcW w:type="dxa" w:w="2304"/>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Vanilla HTML5 / CSS3 / ES6+</w:t>
            </w:r>
          </w:p>
        </w:tc>
        <w:tc>
          <w:tcPr>
            <w:tcW w:type="dxa" w:w="2016"/>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W3C Standards</w:t>
            </w:r>
          </w:p>
        </w:tc>
        <w:tc>
          <w:tcPr>
            <w:tcW w:type="dxa" w:w="3168"/>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Zero bundle bloat (&lt;120KB), high-speed rendering on mobile devices</w:t>
            </w:r>
          </w:p>
        </w:tc>
      </w:tr>
      <w:tr>
        <w:tc>
          <w:tcPr>
            <w:tcW w:type="dxa" w:w="2304"/>
            <w:shd w:fill="F8FAFC"/>
            <w:tcBorders>
              <w:top w:val="single" w:sz="4" w:space="0" w:color="CBD5E1"/>
              <w:bottom w:val="single" w:sz="4" w:space="0" w:color="CBD5E1"/>
              <w:left w:val="none"/>
              <w:right w:val="none"/>
            </w:tcBorders>
          </w:tcPr>
          <w:p>
            <w:pPr>
              <w:spacing w:before="50" w:after="50"/>
              <w:jc w:val="center"/>
            </w:pPr>
            <w:r>
              <w:rPr>
                <w:rFonts w:ascii="Times New Roman" w:hAnsi="Times New Roman"/>
                <w:color w:val="1E293B"/>
                <w:sz w:val="17"/>
              </w:rPr>
              <w:t>Edge Gateway (Backend)</w:t>
            </w:r>
          </w:p>
        </w:tc>
        <w:tc>
          <w:tcPr>
            <w:tcW w:type="dxa" w:w="2304"/>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Node.js Serverless Function</w:t>
            </w:r>
          </w:p>
        </w:tc>
        <w:tc>
          <w:tcPr>
            <w:tcW w:type="dxa" w:w="2016"/>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v18.x / v20.x (Vercel)</w:t>
            </w:r>
          </w:p>
        </w:tc>
        <w:tc>
          <w:tcPr>
            <w:tcW w:type="dxa" w:w="3168"/>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Elastic event-driven routing, zero-maintenance FaaS auto-scaling</w:t>
            </w:r>
          </w:p>
        </w:tc>
      </w:tr>
      <w:tr>
        <w:tc>
          <w:tcPr>
            <w:tcW w:type="dxa" w:w="2304"/>
            <w:shd w:fill="FFFFFF"/>
            <w:tcBorders>
              <w:top w:val="single" w:sz="4" w:space="0" w:color="CBD5E1"/>
              <w:bottom w:val="single" w:sz="4" w:space="0" w:color="CBD5E1"/>
              <w:left w:val="none"/>
              <w:right w:val="none"/>
            </w:tcBorders>
          </w:tcPr>
          <w:p>
            <w:pPr>
              <w:spacing w:before="50" w:after="50"/>
              <w:jc w:val="center"/>
            </w:pPr>
            <w:r>
              <w:rPr>
                <w:rFonts w:ascii="Times New Roman" w:hAnsi="Times New Roman"/>
                <w:color w:val="1E293B"/>
                <w:sz w:val="17"/>
              </w:rPr>
              <w:t>Local Fallback Server</w:t>
            </w:r>
          </w:p>
        </w:tc>
        <w:tc>
          <w:tcPr>
            <w:tcW w:type="dxa" w:w="2304"/>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Node.js Native HTTP Server</w:t>
            </w:r>
          </w:p>
        </w:tc>
        <w:tc>
          <w:tcPr>
            <w:tcW w:type="dxa" w:w="2016"/>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Built-in `http` module</w:t>
            </w:r>
          </w:p>
        </w:tc>
        <w:tc>
          <w:tcPr>
            <w:tcW w:type="dxa" w:w="3168"/>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Permits offline local development and containerized self-hosting</w:t>
            </w:r>
          </w:p>
        </w:tc>
      </w:tr>
      <w:tr>
        <w:tc>
          <w:tcPr>
            <w:tcW w:type="dxa" w:w="2304"/>
            <w:shd w:fill="F8FAFC"/>
            <w:tcBorders>
              <w:top w:val="single" w:sz="4" w:space="0" w:color="CBD5E1"/>
              <w:bottom w:val="single" w:sz="4" w:space="0" w:color="CBD5E1"/>
              <w:left w:val="none"/>
              <w:right w:val="none"/>
            </w:tcBorders>
          </w:tcPr>
          <w:p>
            <w:pPr>
              <w:spacing w:before="50" w:after="50"/>
              <w:jc w:val="center"/>
            </w:pPr>
            <w:r>
              <w:rPr>
                <w:rFonts w:ascii="Times New Roman" w:hAnsi="Times New Roman"/>
                <w:color w:val="1E293B"/>
                <w:sz w:val="17"/>
              </w:rPr>
              <w:t>Primary Database</w:t>
            </w:r>
          </w:p>
        </w:tc>
        <w:tc>
          <w:tcPr>
            <w:tcW w:type="dxa" w:w="2304"/>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MongoDB Atlas (NoSQL)</w:t>
            </w:r>
          </w:p>
        </w:tc>
        <w:tc>
          <w:tcPr>
            <w:tcW w:type="dxa" w:w="2016"/>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v7.6.0 (Driver)</w:t>
            </w:r>
          </w:p>
        </w:tc>
        <w:tc>
          <w:tcPr>
            <w:tcW w:type="dxa" w:w="3168"/>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JSON document store for schema flexibility, indexing, and high availability</w:t>
            </w:r>
          </w:p>
        </w:tc>
      </w:tr>
      <w:tr>
        <w:tc>
          <w:tcPr>
            <w:tcW w:type="dxa" w:w="2304"/>
            <w:shd w:fill="FFFFFF"/>
            <w:tcBorders>
              <w:top w:val="single" w:sz="4" w:space="0" w:color="CBD5E1"/>
              <w:bottom w:val="single" w:sz="4" w:space="0" w:color="CBD5E1"/>
              <w:left w:val="none"/>
              <w:right w:val="none"/>
            </w:tcBorders>
          </w:tcPr>
          <w:p>
            <w:pPr>
              <w:spacing w:before="50" w:after="50"/>
              <w:jc w:val="center"/>
            </w:pPr>
            <w:r>
              <w:rPr>
                <w:rFonts w:ascii="Times New Roman" w:hAnsi="Times New Roman"/>
                <w:color w:val="1E293B"/>
                <w:sz w:val="17"/>
              </w:rPr>
              <w:t>Cloud Object Storage</w:t>
            </w:r>
          </w:p>
        </w:tc>
        <w:tc>
          <w:tcPr>
            <w:tcW w:type="dxa" w:w="2304"/>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Supabase Storage</w:t>
            </w:r>
          </w:p>
        </w:tc>
        <w:tc>
          <w:tcPr>
            <w:tcW w:type="dxa" w:w="2016"/>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v2.116.0 (SDK)</w:t>
            </w:r>
          </w:p>
        </w:tc>
        <w:tc>
          <w:tcPr>
            <w:tcW w:type="dxa" w:w="3168"/>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Private S3-compliant storage bucket for documents up to 50 MB</w:t>
            </w:r>
          </w:p>
        </w:tc>
      </w:tr>
      <w:tr>
        <w:tc>
          <w:tcPr>
            <w:tcW w:type="dxa" w:w="2304"/>
            <w:shd w:fill="F8FAFC"/>
            <w:tcBorders>
              <w:top w:val="single" w:sz="4" w:space="0" w:color="CBD5E1"/>
              <w:bottom w:val="single" w:sz="4" w:space="0" w:color="CBD5E1"/>
              <w:left w:val="none"/>
              <w:right w:val="none"/>
            </w:tcBorders>
          </w:tcPr>
          <w:p>
            <w:pPr>
              <w:spacing w:before="50" w:after="50"/>
              <w:jc w:val="center"/>
            </w:pPr>
            <w:r>
              <w:rPr>
                <w:rFonts w:ascii="Times New Roman" w:hAnsi="Times New Roman"/>
                <w:color w:val="1E293B"/>
                <w:sz w:val="17"/>
              </w:rPr>
              <w:t>Payment Gateway</w:t>
            </w:r>
          </w:p>
        </w:tc>
        <w:tc>
          <w:tcPr>
            <w:tcW w:type="dxa" w:w="2304"/>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Razorpay Standard Web SDK</w:t>
            </w:r>
          </w:p>
        </w:tc>
        <w:tc>
          <w:tcPr>
            <w:tcW w:type="dxa" w:w="2016"/>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v2.9.8 (SDK)</w:t>
            </w:r>
          </w:p>
        </w:tc>
        <w:tc>
          <w:tcPr>
            <w:tcW w:type="dxa" w:w="3168"/>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PCI-DSS Level 1 compliant payments via UPI, Cards, and NetBanking</w:t>
            </w:r>
          </w:p>
        </w:tc>
      </w:tr>
      <w:tr>
        <w:tc>
          <w:tcPr>
            <w:tcW w:type="dxa" w:w="2304"/>
            <w:shd w:fill="FFFFFF"/>
            <w:tcBorders>
              <w:top w:val="single" w:sz="4" w:space="0" w:color="CBD5E1"/>
              <w:bottom w:val="single" w:sz="4" w:space="0" w:color="CBD5E1"/>
              <w:left w:val="none"/>
              <w:right w:val="none"/>
            </w:tcBorders>
          </w:tcPr>
          <w:p>
            <w:pPr>
              <w:spacing w:before="50" w:after="50"/>
              <w:jc w:val="center"/>
            </w:pPr>
            <w:r>
              <w:rPr>
                <w:rFonts w:ascii="Times New Roman" w:hAnsi="Times New Roman"/>
                <w:color w:val="1E293B"/>
                <w:sz w:val="17"/>
              </w:rPr>
              <w:t>Password Cryptography</w:t>
            </w:r>
          </w:p>
        </w:tc>
        <w:tc>
          <w:tcPr>
            <w:tcW w:type="dxa" w:w="2304"/>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scrypt KDF (Node.js `crypto`)</w:t>
            </w:r>
          </w:p>
        </w:tc>
        <w:tc>
          <w:tcPr>
            <w:tcW w:type="dxa" w:w="2016"/>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Standard Library</w:t>
            </w:r>
          </w:p>
        </w:tc>
        <w:tc>
          <w:tcPr>
            <w:tcW w:type="dxa" w:w="3168"/>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OWASP-compliant memory-hard hashing (N=16384, r=8, p=1)</w:t>
            </w:r>
          </w:p>
        </w:tc>
      </w:tr>
      <w:tr>
        <w:tc>
          <w:tcPr>
            <w:tcW w:type="dxa" w:w="2304"/>
            <w:shd w:fill="F8FAFC"/>
            <w:tcBorders>
              <w:top w:val="single" w:sz="4" w:space="0" w:color="CBD5E1"/>
              <w:bottom w:val="single" w:sz="4" w:space="0" w:color="CBD5E1"/>
              <w:left w:val="none"/>
              <w:right w:val="none"/>
            </w:tcBorders>
          </w:tcPr>
          <w:p>
            <w:pPr>
              <w:spacing w:before="50" w:after="50"/>
              <w:jc w:val="center"/>
            </w:pPr>
            <w:r>
              <w:rPr>
                <w:rFonts w:ascii="Times New Roman" w:hAnsi="Times New Roman"/>
                <w:color w:val="1E293B"/>
                <w:sz w:val="17"/>
              </w:rPr>
              <w:t>Session Handling</w:t>
            </w:r>
          </w:p>
        </w:tc>
        <w:tc>
          <w:tcPr>
            <w:tcW w:type="dxa" w:w="2304"/>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Stateless HMAC-SHA256 Tokens</w:t>
            </w:r>
          </w:p>
        </w:tc>
        <w:tc>
          <w:tcPr>
            <w:tcW w:type="dxa" w:w="2016"/>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Cryptographic Signed</w:t>
            </w:r>
          </w:p>
        </w:tc>
        <w:tc>
          <w:tcPr>
            <w:tcW w:type="dxa" w:w="3168"/>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Eliminates server session state, resilient to instance restarts</w:t>
            </w:r>
          </w:p>
        </w:tc>
      </w:tr>
      <w:tr>
        <w:tc>
          <w:tcPr>
            <w:tcW w:type="dxa" w:w="2304"/>
            <w:shd w:fill="FFFFFF"/>
            <w:tcBorders>
              <w:top w:val="single" w:sz="4" w:space="0" w:color="CBD5E1"/>
              <w:bottom w:val="single" w:sz="4" w:space="0" w:color="CBD5E1"/>
              <w:left w:val="none"/>
              <w:right w:val="none"/>
            </w:tcBorders>
          </w:tcPr>
          <w:p>
            <w:pPr>
              <w:spacing w:before="50" w:after="50"/>
              <w:jc w:val="center"/>
            </w:pPr>
            <w:r>
              <w:rPr>
                <w:rFonts w:ascii="Times New Roman" w:hAnsi="Times New Roman"/>
                <w:color w:val="1E293B"/>
                <w:sz w:val="17"/>
              </w:rPr>
              <w:t>Automated Test Harness</w:t>
            </w:r>
          </w:p>
        </w:tc>
        <w:tc>
          <w:tcPr>
            <w:tcW w:type="dxa" w:w="2304"/>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Node.js Native Test Assertions</w:t>
            </w:r>
          </w:p>
        </w:tc>
        <w:tc>
          <w:tcPr>
            <w:tcW w:type="dxa" w:w="2016"/>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Custom Engine</w:t>
            </w:r>
          </w:p>
        </w:tc>
        <w:tc>
          <w:tcPr>
            <w:tcW w:type="dxa" w:w="3168"/>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75 end-to-end integration tests verifying zero regressions</w:t>
            </w:r>
          </w:p>
        </w:tc>
      </w:tr>
    </w:tbl>
    <w:p>
      <w:pPr>
        <w:spacing w:after="120"/>
      </w:pPr>
    </w:p>
    <w:p>
      <w:pPr>
        <w:keepNext/>
        <w:spacing w:before="280" w:after="80"/>
      </w:pPr>
      <w:r>
        <w:rPr>
          <w:rFonts w:ascii="Times New Roman" w:hAnsi="Times New Roman"/>
          <w:b/>
          <w:color w:val="0F172A"/>
          <w:sz w:val="22"/>
        </w:rPr>
        <w:t>IX.  DATABASE DESIGN AND DATA MODELS</w:t>
      </w:r>
    </w:p>
    <w:p>
      <w:pPr>
        <w:spacing w:before="0" w:after="100" w:line="269" w:lineRule="auto"/>
        <w:jc w:val="both"/>
      </w:pPr>
      <w:r>
        <w:rPr>
          <w:rFonts w:ascii="Times New Roman" w:hAnsi="Times New Roman"/>
          <w:sz w:val="20"/>
        </w:rPr>
        <w:t>The persistence architecture utilizes MongoDB Atlas as the primary persistence store, augmented by memory caching and Upstash KV fallback. Fig. 2 illustrates the complete Entity-Relationship (ER) schema model implemented in the system.</w:t>
      </w:r>
    </w:p>
    <w:p>
      <w:pPr>
        <w:keepNext/>
        <w:spacing w:before="160" w:after="60"/>
        <w:jc w:val="center"/>
      </w:pPr>
      <w:r>
        <w:drawing>
          <wp:inline xmlns:a="http://schemas.openxmlformats.org/drawingml/2006/main" xmlns:pic="http://schemas.openxmlformats.org/drawingml/2006/picture">
            <wp:extent cx="5852160" cy="3639158"/>
            <wp:docPr id="2" name="Picture 2"/>
            <wp:cNvGraphicFramePr>
              <a:graphicFrameLocks noChangeAspect="1"/>
            </wp:cNvGraphicFramePr>
            <a:graphic>
              <a:graphicData uri="http://schemas.openxmlformats.org/drawingml/2006/picture">
                <pic:pic>
                  <pic:nvPicPr>
                    <pic:cNvPr id="0" name="fig4_database_er_diagram.png"/>
                    <pic:cNvPicPr/>
                  </pic:nvPicPr>
                  <pic:blipFill>
                    <a:blip r:embed="rId10"/>
                    <a:stretch>
                      <a:fillRect/>
                    </a:stretch>
                  </pic:blipFill>
                  <pic:spPr>
                    <a:xfrm>
                      <a:off x="0" y="0"/>
                      <a:ext cx="5852160" cy="3639158"/>
                    </a:xfrm>
                    <a:prstGeom prst="rect"/>
                  </pic:spPr>
                </pic:pic>
              </a:graphicData>
            </a:graphic>
          </wp:inline>
        </w:drawing>
      </w:r>
    </w:p>
    <w:p>
      <w:pPr>
        <w:keepNext w:val="0"/>
        <w:spacing w:before="0" w:after="160"/>
        <w:jc w:val="center"/>
      </w:pPr>
      <w:r>
        <w:rPr>
          <w:rFonts w:ascii="Times New Roman" w:hAnsi="Times New Roman"/>
          <w:b/>
          <w:color w:val="334155"/>
          <w:sz w:val="17"/>
        </w:rPr>
        <w:t>Fig. 2. Entity-Relationship (ER) Schema Model for MongoDB Atlas Collections</w:t>
      </w:r>
    </w:p>
    <w:p>
      <w:pPr>
        <w:spacing w:before="0" w:after="100" w:line="269" w:lineRule="auto"/>
        <w:jc w:val="both"/>
      </w:pPr>
      <w:r>
        <w:rPr>
          <w:rFonts w:ascii="Times New Roman" w:hAnsi="Times New Roman"/>
          <w:sz w:val="20"/>
        </w:rPr>
        <w:t>The database is normalized across five core collections:</w:t>
      </w:r>
    </w:p>
    <w:p>
      <w:pPr>
        <w:spacing w:before="0" w:after="100" w:line="269" w:lineRule="auto"/>
        <w:jc w:val="both"/>
      </w:pPr>
      <w:r>
        <w:rPr>
          <w:rFonts w:ascii="Times New Roman" w:hAnsi="Times New Roman"/>
          <w:sz w:val="20"/>
        </w:rPr>
        <w:t>1) `users`: Stores account credentials and identities. Fields include `id` (16-char hex), `name`, `email` (unique index), `passwordHash` (64-byte hex derived from scrypt), `salt` (16-byte random hex), `role` (`STUDENT`, `ADMIN`, `SUPER_ADMIN`), `rollNo`, `phone`, and `createdAt`.</w:t>
      </w:r>
    </w:p>
    <w:p>
      <w:pPr>
        <w:spacing w:before="0" w:after="100" w:line="269" w:lineRule="auto"/>
        <w:jc w:val="both"/>
      </w:pPr>
      <w:r>
        <w:rPr>
          <w:rFonts w:ascii="Times New Roman" w:hAnsi="Times New Roman"/>
          <w:sz w:val="20"/>
        </w:rPr>
        <w:t>2) `files`: Represents student document records. Fields include `id` (32-char hex), `ownerId` (foreign key binding to `users.id`), `originalName`, `filePath` (internal Supabase path, e.g., `students/{userId}/{fileId}-{name}`), `bucket`, `size` (bytes), `mimeType`, `storageProvider: 'supabase'`, and timestamp.</w:t>
      </w:r>
    </w:p>
    <w:p>
      <w:pPr>
        <w:spacing w:before="0" w:after="100" w:line="269" w:lineRule="auto"/>
        <w:jc w:val="both"/>
      </w:pPr>
      <w:r>
        <w:rPr>
          <w:rFonts w:ascii="Times New Roman" w:hAnsi="Times New Roman"/>
          <w:sz w:val="20"/>
        </w:rPr>
        <w:t>3) `orders` &amp; `print_requests`: Represents transactional reprographic jobs. Fields include `orderId` (canonical `ORD-XXXXXXXX`), `userId`, `userName`, `items` (array containing `fileId`, `originalName`, `copies`, `color`, `sides`, `paperSize`, `pages`), `totalAmount`, `paymentStatus` (`PENDING`, `PAID`), `paymentId`, `razorpayOrderId`, `requestStatus` (`REQUEST_RECEIVED`, `ACCEPTED`, `PRINTING`, `READY`, `COMPLETED`, `CANCELLED`), and timestamps.</w:t>
      </w:r>
    </w:p>
    <w:p>
      <w:pPr>
        <w:spacing w:before="0" w:after="100" w:line="269" w:lineRule="auto"/>
        <w:jc w:val="both"/>
      </w:pPr>
      <w:r>
        <w:rPr>
          <w:rFonts w:ascii="Times New Roman" w:hAnsi="Times New Roman"/>
          <w:sz w:val="20"/>
        </w:rPr>
        <w:t>4) `assignments`: Contains departmental lab manuals and experiment sheets. Fields include `id` (`asgn-XXXXXXXX`), `subject`, `category`, `year`, `branch`, `targetClass`, `batch`, `deadline` (ISO `YYYY-MM-DD`), `attachments` (array of attachment objects containing `originalName`, `mimeType`, `size`, and `filePath`), `title`, and `info`.</w:t>
      </w:r>
    </w:p>
    <w:p>
      <w:pPr>
        <w:spacing w:before="0" w:after="100" w:line="269" w:lineRule="auto"/>
        <w:jc w:val="both"/>
      </w:pPr>
      <w:r>
        <w:rPr>
          <w:rFonts w:ascii="Times New Roman" w:hAnsi="Times New Roman"/>
          <w:sz w:val="20"/>
        </w:rPr>
        <w:t>5) `system_metadata`: Tracks institutional system configurations including dynamic reprographic pricing matrices (`bw-single`, `bw-double`, `color-single`, `color-double`), admin notifications queue, and tombstone records (`deleted_assignment_ids`) to guarantee resurrection prevention upon caching sync.</w:t>
      </w:r>
    </w:p>
    <w:p>
      <w:pPr>
        <w:keepNext/>
        <w:spacing w:before="280" w:after="80"/>
      </w:pPr>
      <w:r>
        <w:rPr>
          <w:rFonts w:ascii="Times New Roman" w:hAnsi="Times New Roman"/>
          <w:b/>
          <w:color w:val="0F172A"/>
          <w:sz w:val="22"/>
        </w:rPr>
        <w:t>X.  AUTHENTICATION, AUTHORIZATION, AND SESSION SECURITY</w:t>
      </w:r>
    </w:p>
    <w:p>
      <w:pPr>
        <w:spacing w:before="0" w:after="100" w:line="269" w:lineRule="auto"/>
        <w:jc w:val="both"/>
      </w:pPr>
      <w:r>
        <w:rPr>
          <w:rFonts w:ascii="Times New Roman" w:hAnsi="Times New Roman"/>
          <w:sz w:val="20"/>
        </w:rPr>
        <w:t>Security is engineered into Xeroxic following OWASP Top 10 recommendations. Authentication relies on the scrypt key derivation function (KDF) parameterized as follows:</w:t>
      </w:r>
    </w:p>
    <w:p>
      <w:pPr>
        <w:spacing w:before="0" w:after="100" w:line="269" w:lineRule="auto"/>
        <w:jc w:val="both"/>
      </w:pPr>
      <w:r>
        <w:rPr>
          <w:rFonts w:ascii="Times New Roman" w:hAnsi="Times New Roman"/>
          <w:sz w:val="20"/>
        </w:rPr>
        <w:t>$$\text{PasswordHash} = \text{scrypt}(P, S, N=16384, r=8, p=1, dkLen=64)$$  (1)</w:t>
      </w:r>
    </w:p>
    <w:p>
      <w:pPr>
        <w:spacing w:before="0" w:after="100" w:line="269" w:lineRule="auto"/>
        <w:jc w:val="both"/>
      </w:pPr>
      <w:r>
        <w:rPr>
          <w:rFonts w:ascii="Times New Roman" w:hAnsi="Times New Roman"/>
          <w:sz w:val="20"/>
        </w:rPr>
        <w:t>where $P$ is the plaintext password, $S$ is a unique cryptographically secure 16-byte random salt generated via `crypto.randomBytes(16)`, $N$ is the CPU/memory cost parameter, $r$ is the block size, and $p$ is the parallelization factor. Verification is executed using `crypto.timingSafeEqual` over raw byte buffers to completely eliminate microarchitectural cache-timing side channels.</w:t>
      </w:r>
    </w:p>
    <w:p>
      <w:pPr>
        <w:spacing w:before="0" w:after="100" w:line="269" w:lineRule="auto"/>
        <w:jc w:val="both"/>
      </w:pPr>
      <w:r>
        <w:rPr>
          <w:rFonts w:ascii="Times New Roman" w:hAnsi="Times New Roman"/>
          <w:sz w:val="20"/>
        </w:rPr>
        <w:t>To thwart user enumeration attacks during login attempts, Xeroxic implements constant-time dummy hashing. If a client attempts authentication with a non-existent email address, the system executes an identical scrypt calculation against a static dummy salt before returning an generic 401 Unauthorized response, ensuring identical network response latencies:</w:t>
      </w:r>
    </w:p>
    <w:tbl>
      <w:tblPr>
        <w:tblW w:type="auto" w:w="0"/>
        <w:jc w:val="center"/>
        <w:tblLook w:firstColumn="1" w:firstRow="1" w:lastColumn="0" w:lastRow="0" w:noHBand="0" w:noVBand="1" w:val="04A0"/>
      </w:tblPr>
      <w:tblGrid>
        <w:gridCol w:w="10080"/>
      </w:tblGrid>
      <w:tr>
        <w:tc>
          <w:tcPr>
            <w:tcW w:type="dxa" w:w="9792"/>
            <w:tcBorders>
              <w:top w:val="single" w:sz="8" w:space="0" w:color="94A3B8"/>
              <w:bottom w:val="single" w:sz="8" w:space="0" w:color="94A3B8"/>
              <w:left w:val="single" w:sz="18" w:space="0" w:color="0284C7"/>
              <w:right w:val="none"/>
            </w:tcBorders>
            <w:shd w:fill="F1F5F9"/>
          </w:tcPr>
          <w:p>
            <w:pPr>
              <w:spacing w:before="80" w:after="80" w:line="252" w:lineRule="auto"/>
              <w:jc w:val="left"/>
            </w:pPr>
            <w:r>
              <w:rPr>
                <w:rFonts w:ascii="Courier New" w:hAnsi="Courier New"/>
                <w:color w:val="0F172A"/>
                <w:sz w:val="17"/>
              </w:rPr>
              <w:t>// Constant-Time Dummy Verification (Prevents User Enumeration)</w:t>
              <w:br/>
              <w:t>const DUMMY_SALT = crypto.randomBytes(16).toString('hex');</w:t>
              <w:br/>
              <w:t>function dummyVerifyPassword(password) {</w:t>
              <w:br/>
              <w:t xml:space="preserve">  try {</w:t>
              <w:br/>
              <w:t xml:space="preserve">    hashPassword(password || 'dummy_constant_time_pad', DUMMY_SALT);</w:t>
              <w:br/>
              <w:t xml:space="preserve">  } catch (e) {}</w:t>
              <w:br/>
              <w:t xml:space="preserve">  return false;</w:t>
              <w:br/>
              <w:t>}</w:t>
            </w:r>
          </w:p>
        </w:tc>
      </w:tr>
    </w:tbl>
    <w:p>
      <w:pPr>
        <w:spacing w:after="80"/>
      </w:pPr>
    </w:p>
    <w:p>
      <w:pPr>
        <w:spacing w:before="0" w:after="100" w:line="269" w:lineRule="auto"/>
        <w:jc w:val="both"/>
      </w:pPr>
      <w:r>
        <w:rPr>
          <w:rFonts w:ascii="Times New Roman" w:hAnsi="Times New Roman"/>
          <w:sz w:val="20"/>
        </w:rPr>
        <w:t>Session management utilizes stateless cryptographic tokens formatted as `payload.signature`, where `payload` is base64url-encoded JSON containing `{ userId, name, email, role, exp }` and `signature` is an HMAC-SHA256 digest generated using a server-side secret key (`SESSION_SECRET`). Cookies are transmitted with `HttpOnly; Path=/; SameSite=Lax; Max-Age=604800` (7 days), and include the `Secure` attribute over HTTPS production deployments.</w:t>
      </w:r>
    </w:p>
    <w:p>
      <w:pPr>
        <w:keepNext/>
        <w:spacing w:before="280" w:after="80"/>
      </w:pPr>
      <w:r>
        <w:rPr>
          <w:rFonts w:ascii="Times New Roman" w:hAnsi="Times New Roman"/>
          <w:b/>
          <w:color w:val="0F172A"/>
          <w:sz w:val="22"/>
        </w:rPr>
        <w:t>XI.  FILE UPLOAD ARCHITECTURE: DIRECT CLOUD OFFLOADING</w:t>
      </w:r>
    </w:p>
    <w:p>
      <w:pPr>
        <w:spacing w:before="0" w:after="100" w:line="269" w:lineRule="auto"/>
        <w:jc w:val="both"/>
      </w:pPr>
      <w:r>
        <w:rPr>
          <w:rFonts w:ascii="Times New Roman" w:hAnsi="Times New Roman"/>
          <w:sz w:val="20"/>
        </w:rPr>
        <w:t>Serverless functions deployed on Vercel enforce a strict 4.5 MB request body limit. Traditional multipart form submissions exceeding this threshold trigger edge proxy aborts with HTTP 413. Fig. 3 illustrates the comparative architectural difference between the legacy serverless proxy pipeline and Xeroxic's direct cloud offloading model.</w:t>
      </w:r>
    </w:p>
    <w:p>
      <w:pPr>
        <w:keepNext/>
        <w:spacing w:before="160" w:after="60"/>
        <w:jc w:val="center"/>
      </w:pPr>
      <w:r>
        <w:drawing>
          <wp:inline xmlns:a="http://schemas.openxmlformats.org/drawingml/2006/main" xmlns:pic="http://schemas.openxmlformats.org/drawingml/2006/picture">
            <wp:extent cx="5760720" cy="3382441"/>
            <wp:docPr id="3" name="Picture 3"/>
            <wp:cNvGraphicFramePr>
              <a:graphicFrameLocks noChangeAspect="1"/>
            </wp:cNvGraphicFramePr>
            <a:graphic>
              <a:graphicData uri="http://schemas.openxmlformats.org/drawingml/2006/picture">
                <pic:pic>
                  <pic:nvPicPr>
                    <pic:cNvPr id="0" name="fig3_direct_upload_pipeline.png"/>
                    <pic:cNvPicPr/>
                  </pic:nvPicPr>
                  <pic:blipFill>
                    <a:blip r:embed="rId11"/>
                    <a:stretch>
                      <a:fillRect/>
                    </a:stretch>
                  </pic:blipFill>
                  <pic:spPr>
                    <a:xfrm>
                      <a:off x="0" y="0"/>
                      <a:ext cx="5760720" cy="3382441"/>
                    </a:xfrm>
                    <a:prstGeom prst="rect"/>
                  </pic:spPr>
                </pic:pic>
              </a:graphicData>
            </a:graphic>
          </wp:inline>
        </w:drawing>
      </w:r>
    </w:p>
    <w:p>
      <w:pPr>
        <w:keepNext w:val="0"/>
        <w:spacing w:before="0" w:after="160"/>
        <w:jc w:val="center"/>
      </w:pPr>
      <w:r>
        <w:rPr>
          <w:rFonts w:ascii="Times New Roman" w:hAnsi="Times New Roman"/>
          <w:b/>
          <w:color w:val="334155"/>
          <w:sz w:val="17"/>
        </w:rPr>
        <w:t>Fig. 3. Architectural Comparison: Traditional Serverless Proxy vs. Xeroxic Direct Cloud Offloading</w:t>
      </w:r>
    </w:p>
    <w:p>
      <w:pPr>
        <w:spacing w:before="0" w:after="100" w:line="269" w:lineRule="auto"/>
        <w:jc w:val="both"/>
      </w:pPr>
      <w:r>
        <w:rPr>
          <w:rFonts w:ascii="Times New Roman" w:hAnsi="Times New Roman"/>
          <w:sz w:val="20"/>
        </w:rPr>
        <w:t>Xeroxic resolves this computational barrier through a Two-Phase Direct Cloud Upload Handshake:</w:t>
      </w:r>
    </w:p>
    <w:p>
      <w:pPr>
        <w:spacing w:before="0" w:after="100" w:line="269" w:lineRule="auto"/>
        <w:jc w:val="both"/>
      </w:pPr>
      <w:r>
        <w:rPr>
          <w:rFonts w:ascii="Times New Roman" w:hAnsi="Times New Roman"/>
          <w:sz w:val="20"/>
        </w:rPr>
        <w:t>1) Handshake Phase (`POST /api/files/prepare-upload`): The client transmits file metadata (`filename`, `size`, `mimeType`). The server authenticates the student, verifies that `size &lt;= 50 MB`, and validates the extension against a strict whitelist (`.pdf`, `.doc`, `.docx`, `.ppt`, `.pptx`, `.txt`, `.rtf`, `.png`, `.jpg`, `.jpeg`, `.gif`, `.webp`). The server calculates an isolated path (`students/{userId}/{fileId}-{name}`) and requests a signed upload URL from Supabase Storage.</w:t>
      </w:r>
    </w:p>
    <w:p>
      <w:pPr>
        <w:spacing w:before="0" w:after="100" w:line="269" w:lineRule="auto"/>
        <w:jc w:val="both"/>
      </w:pPr>
      <w:r>
        <w:rPr>
          <w:rFonts w:ascii="Times New Roman" w:hAnsi="Times New Roman"/>
          <w:sz w:val="20"/>
        </w:rPr>
        <w:t>2) Direct Cloud Streaming Phase: The client browser uploads the file directly to the Supabase endpoint via HTTP PUT or the Supabase Storage SDK. Exactly zero megabytes of document data pass through the Vercel serverless function, completely bypassing the 4.5 MB ceiling.</w:t>
      </w:r>
    </w:p>
    <w:p>
      <w:pPr>
        <w:spacing w:before="0" w:after="100" w:line="269" w:lineRule="auto"/>
        <w:jc w:val="both"/>
      </w:pPr>
      <w:r>
        <w:rPr>
          <w:rFonts w:ascii="Times New Roman" w:hAnsi="Times New Roman"/>
          <w:sz w:val="20"/>
        </w:rPr>
        <w:t>3) Path Confirmation Phase (`POST /api/files/confirm-upload`): Upon upload completion, the client transmits `{ fileId, filePath, originalName, size, mimeType }`. The server validates that `filePath` begins strictly with `students/{authenticatedUserId}/`, preventing path traversal, and records the metadata in MongoDB.</w:t>
      </w:r>
    </w:p>
    <w:p>
      <w:pPr>
        <w:spacing w:before="0" w:after="100" w:line="269" w:lineRule="auto"/>
        <w:jc w:val="both"/>
      </w:pPr>
      <w:r>
        <w:rPr>
          <w:rFonts w:ascii="Times New Roman" w:hAnsi="Times New Roman"/>
          <w:sz w:val="20"/>
        </w:rPr>
        <w:t>4) Secure Download and Preview: When authorized staff or students access `/api/download/:id` or `/api/assignments/:id/attachment`, the backend verifies role ownership and generates a time-limited (1-hour) signed HMAC URL (`createSignedDownloadUrl`), issuing an HTTP 302 redirection directly to the Supabase CDN.</w:t>
      </w:r>
    </w:p>
    <w:p>
      <w:pPr>
        <w:keepNext/>
        <w:spacing w:before="280" w:after="80"/>
      </w:pPr>
      <w:r>
        <w:rPr>
          <w:rFonts w:ascii="Times New Roman" w:hAnsi="Times New Roman"/>
          <w:b/>
          <w:color w:val="0F172A"/>
          <w:sz w:val="22"/>
        </w:rPr>
        <w:t>XII.  PAYMENT GATEWAY INTEGRATION &amp; DUAL CRYPTOGRAPHIC VERIFICATION</w:t>
      </w:r>
    </w:p>
    <w:p>
      <w:pPr>
        <w:spacing w:before="0" w:after="100" w:line="269" w:lineRule="auto"/>
        <w:jc w:val="both"/>
      </w:pPr>
      <w:r>
        <w:rPr>
          <w:rFonts w:ascii="Times New Roman" w:hAnsi="Times New Roman"/>
          <w:sz w:val="20"/>
        </w:rPr>
        <w:t>Financial integrity is secured through Razorpay Standard Web Checkout. Fig. 4 illustrates the end-to-end cryptographic sequence flow.</w:t>
      </w:r>
    </w:p>
    <w:p>
      <w:pPr>
        <w:keepNext/>
        <w:spacing w:before="160" w:after="60"/>
        <w:jc w:val="center"/>
      </w:pPr>
      <w:r>
        <w:drawing>
          <wp:inline xmlns:a="http://schemas.openxmlformats.org/drawingml/2006/main" xmlns:pic="http://schemas.openxmlformats.org/drawingml/2006/picture">
            <wp:extent cx="5760720" cy="3646694"/>
            <wp:docPr id="4" name="Picture 4"/>
            <wp:cNvGraphicFramePr>
              <a:graphicFrameLocks noChangeAspect="1"/>
            </wp:cNvGraphicFramePr>
            <a:graphic>
              <a:graphicData uri="http://schemas.openxmlformats.org/drawingml/2006/picture">
                <pic:pic>
                  <pic:nvPicPr>
                    <pic:cNvPr id="0" name="fig2_payment_sequence.png"/>
                    <pic:cNvPicPr/>
                  </pic:nvPicPr>
                  <pic:blipFill>
                    <a:blip r:embed="rId12"/>
                    <a:stretch>
                      <a:fillRect/>
                    </a:stretch>
                  </pic:blipFill>
                  <pic:spPr>
                    <a:xfrm>
                      <a:off x="0" y="0"/>
                      <a:ext cx="5760720" cy="3646694"/>
                    </a:xfrm>
                    <a:prstGeom prst="rect"/>
                  </pic:spPr>
                </pic:pic>
              </a:graphicData>
            </a:graphic>
          </wp:inline>
        </w:drawing>
      </w:r>
    </w:p>
    <w:p>
      <w:pPr>
        <w:keepNext w:val="0"/>
        <w:spacing w:before="0" w:after="160"/>
        <w:jc w:val="center"/>
      </w:pPr>
      <w:r>
        <w:rPr>
          <w:rFonts w:ascii="Times New Roman" w:hAnsi="Times New Roman"/>
          <w:b/>
          <w:color w:val="334155"/>
          <w:sz w:val="17"/>
        </w:rPr>
        <w:t>Fig. 4. Cryptographic Payment Verification and Order Synchronization Sequence Flow</w:t>
      </w:r>
    </w:p>
    <w:p>
      <w:pPr>
        <w:spacing w:before="0" w:after="100" w:line="269" w:lineRule="auto"/>
        <w:jc w:val="both"/>
      </w:pPr>
      <w:r>
        <w:rPr>
          <w:rFonts w:ascii="Times New Roman" w:hAnsi="Times New Roman"/>
          <w:sz w:val="20"/>
        </w:rPr>
        <w:t>The cryptographic verification algorithm guarantees that no student can confirm an order without valid payment proof, nor can they appropriate another student's payment identifier. The verification formula implemented in `api/index.js` is:</w:t>
      </w:r>
    </w:p>
    <w:p>
      <w:pPr>
        <w:spacing w:before="0" w:after="100" w:line="269" w:lineRule="auto"/>
        <w:jc w:val="both"/>
      </w:pPr>
      <w:r>
        <w:rPr>
          <w:rFonts w:ascii="Times New Roman" w:hAnsi="Times New Roman"/>
          <w:sz w:val="20"/>
        </w:rPr>
        <w:t>$$\text{ExpectedSignature} = \text{HMAC-SHA256}(\text{razorpay\_order\_id} + "|" + \text{razorpay\_payment\_id}, \text{RAZORPAY\_KEY\_SECRET})$$  (2)</w:t>
      </w:r>
    </w:p>
    <w:tbl>
      <w:tblPr>
        <w:tblW w:type="auto" w:w="0"/>
        <w:jc w:val="center"/>
        <w:tblLook w:firstColumn="1" w:firstRow="1" w:lastColumn="0" w:lastRow="0" w:noHBand="0" w:noVBand="1" w:val="04A0"/>
      </w:tblPr>
      <w:tblGrid>
        <w:gridCol w:w="10080"/>
      </w:tblGrid>
      <w:tr>
        <w:tc>
          <w:tcPr>
            <w:tcW w:type="dxa" w:w="9792"/>
            <w:tcBorders>
              <w:top w:val="single" w:sz="8" w:space="0" w:color="94A3B8"/>
              <w:bottom w:val="single" w:sz="8" w:space="0" w:color="94A3B8"/>
              <w:left w:val="single" w:sz="18" w:space="0" w:color="0284C7"/>
              <w:right w:val="none"/>
            </w:tcBorders>
            <w:shd w:fill="F1F5F9"/>
          </w:tcPr>
          <w:p>
            <w:pPr>
              <w:spacing w:before="80" w:after="80" w:line="252" w:lineRule="auto"/>
              <w:jc w:val="left"/>
            </w:pPr>
            <w:r>
              <w:rPr>
                <w:rFonts w:ascii="Courier New" w:hAnsi="Courier New"/>
                <w:color w:val="0F172A"/>
                <w:sz w:val="17"/>
              </w:rPr>
              <w:t>// Server-Side Payment Signature &amp; Ownership Verification</w:t>
              <w:br/>
              <w:t>const hmac = crypto.createHmac('sha256', RAZORPAY_KEY_SECRET);</w:t>
              <w:br/>
              <w:t>hmac.update(`${razorpay_order_id}|${razorpay_payment_id}`);</w:t>
              <w:br/>
              <w:t>const expectedSignature = hmac.digest('hex');</w:t>
              <w:br/>
              <w:br/>
              <w:t>const isSignatureValid = crypto.timingSafeEqual(</w:t>
              <w:br/>
              <w:t xml:space="preserve">  Buffer.from(expectedSignature, 'utf-8'),</w:t>
              <w:br/>
              <w:t xml:space="preserve">  Buffer.from(razorpay_signature, 'utf-8')</w:t>
              <w:br/>
              <w:t>);</w:t>
              <w:br/>
              <w:t>if (!isSignatureValid) {</w:t>
              <w:br/>
              <w:t xml:space="preserve">  return sendJSON(res, 400, { error: 'Invalid payment signature.' });</w:t>
              <w:br/>
              <w:t>}</w:t>
              <w:br/>
              <w:br/>
              <w:t>// Strict Student Ownership Binding Check</w:t>
              <w:br/>
              <w:t>if (order.userId !== session.userId) {</w:t>
              <w:br/>
              <w:t xml:space="preserve">  return sendJSON(res, 403, { error: 'Forbidden: Order ownership mismatch.' });</w:t>
              <w:br/>
              <w:t>}</w:t>
            </w:r>
          </w:p>
        </w:tc>
      </w:tr>
    </w:tbl>
    <w:p>
      <w:pPr>
        <w:spacing w:after="80"/>
      </w:pPr>
    </w:p>
    <w:p>
      <w:pPr>
        <w:keepNext/>
        <w:spacing w:before="280" w:after="80"/>
      </w:pPr>
      <w:r>
        <w:rPr>
          <w:rFonts w:ascii="Times New Roman" w:hAnsi="Times New Roman"/>
          <w:b/>
          <w:color w:val="0F172A"/>
          <w:sz w:val="22"/>
        </w:rPr>
        <w:t>XIII.  SECURITY FEATURES AND THREAT MODELING</w:t>
      </w:r>
    </w:p>
    <w:p>
      <w:pPr>
        <w:spacing w:before="0" w:after="100" w:line="269" w:lineRule="auto"/>
        <w:jc w:val="both"/>
      </w:pPr>
      <w:r>
        <w:rPr>
          <w:rFonts w:ascii="Times New Roman" w:hAnsi="Times New Roman"/>
          <w:sz w:val="20"/>
        </w:rPr>
        <w:t>The Xeroxic platform implements comprehensive defense-in-depth measures mitigating common web threats:</w:t>
      </w:r>
    </w:p>
    <w:p>
      <w:pPr>
        <w:spacing w:before="0" w:after="100" w:line="269" w:lineRule="auto"/>
        <w:jc w:val="both"/>
      </w:pPr>
      <w:r>
        <w:rPr>
          <w:rFonts w:ascii="Times New Roman" w:hAnsi="Times New Roman"/>
          <w:sz w:val="20"/>
        </w:rPr>
        <w:t>• Defense against Insecure Direct Object References (IDOR): Every state modification and download endpoint cross-examines the resource's `ownerId` against `session.userId`. Students attempting to download peers' documents or verify payments for other orders receive an immediate HTTP 403 Forbidden.</w:t>
      </w:r>
    </w:p>
    <w:p>
      <w:pPr>
        <w:spacing w:before="0" w:after="100" w:line="269" w:lineRule="auto"/>
        <w:jc w:val="both"/>
      </w:pPr>
      <w:r>
        <w:rPr>
          <w:rFonts w:ascii="Times New Roman" w:hAnsi="Times New Roman"/>
          <w:sz w:val="20"/>
        </w:rPr>
        <w:t>• Protection against NoSQL Injection and ReDoS: All database query parameters evaluated via regular expressions are filtered through an escaping sanitizer function (`escapeRegex`) that escapes all PCRE meta-characters (`.*+?^${}()|[]\`), precluding arbitrary query injection.</w:t>
      </w:r>
    </w:p>
    <w:p>
      <w:pPr>
        <w:spacing w:before="0" w:after="100" w:line="269" w:lineRule="auto"/>
        <w:jc w:val="both"/>
      </w:pPr>
      <w:r>
        <w:rPr>
          <w:rFonts w:ascii="Times New Roman" w:hAnsi="Times New Roman"/>
          <w:sz w:val="20"/>
        </w:rPr>
        <w:t>• Sliding-Window IP Rate Limiter: Sensitive authentication endpoints (`/api/login`, `/api/register`) are throttled by an in-memory sliding window limiter (`lib/rateLimiter.js`). Clients exceeding threshold allowances receive HTTP 429 'Too Many Requests' with standard `Retry-After` headers.</w:t>
      </w:r>
    </w:p>
    <w:p>
      <w:pPr>
        <w:spacing w:before="0" w:after="100" w:line="269" w:lineRule="auto"/>
        <w:jc w:val="both"/>
      </w:pPr>
      <w:r>
        <w:rPr>
          <w:rFonts w:ascii="Times New Roman" w:hAnsi="Times New Roman"/>
          <w:sz w:val="20"/>
        </w:rPr>
        <w:t>• HTTP Security Response Headers: All serverless responses enforce strict browser compliance headers: `X-Content-Type-Options: nosniff`, `X-Frame-Options: SAMEORIGIN`, `Referrer-Policy: strict-origin-when-cross-origin`, and `Strict-Transport-Security` (HSTS).</w:t>
      </w:r>
    </w:p>
    <w:p>
      <w:pPr>
        <w:keepNext/>
        <w:spacing w:before="280" w:after="80"/>
      </w:pPr>
      <w:r>
        <w:rPr>
          <w:rFonts w:ascii="Times New Roman" w:hAnsi="Times New Roman"/>
          <w:b/>
          <w:color w:val="0F172A"/>
          <w:sz w:val="22"/>
        </w:rPr>
        <w:t>XIV.  ALGORITHMIC IMPLEMENTATIONS</w:t>
      </w:r>
    </w:p>
    <w:p>
      <w:pPr>
        <w:spacing w:before="0" w:after="100" w:line="269" w:lineRule="auto"/>
        <w:jc w:val="both"/>
      </w:pPr>
      <w:r>
        <w:rPr>
          <w:rFonts w:ascii="Times New Roman" w:hAnsi="Times New Roman"/>
          <w:sz w:val="20"/>
        </w:rPr>
        <w:t>A. Post-Deadline Grace-Period Expiration and Tombstoning</w:t>
        <w:br/>
        <w:t>To prevent stale assignments from cluttering student dashboards and consuming database storage, Xeroxic executes an automatic purge algorithm on every assignment retrieval query (`getAssignments()`). The expiration rule enforces a strict 24-hour grace period:</w:t>
      </w:r>
    </w:p>
    <w:p>
      <w:pPr>
        <w:spacing w:before="0" w:after="100" w:line="269" w:lineRule="auto"/>
        <w:jc w:val="both"/>
      </w:pPr>
      <w:r>
        <w:rPr>
          <w:rFonts w:ascii="Times New Roman" w:hAnsi="Times New Roman"/>
          <w:sz w:val="20"/>
        </w:rPr>
        <w:t>$$T_{\text{expire}} = T_{\text{deadline}} + 24\text{ hours}$$  (3)</w:t>
      </w:r>
    </w:p>
    <w:p>
      <w:pPr>
        <w:spacing w:before="0" w:after="100" w:line="269" w:lineRule="auto"/>
        <w:jc w:val="both"/>
      </w:pPr>
      <w:r>
        <w:rPr>
          <w:rFonts w:ascii="Times New Roman" w:hAnsi="Times New Roman"/>
          <w:sz w:val="20"/>
        </w:rPr>
        <w:t>If $\text{Date.now()} &gt; T_{\text{expire}}$, the assignment is removed from the active collection, its identifier is appended to the persistent tombstone set (`deleted_assignment_ids`), and all corresponding Supabase storage files are deleted via `deleteStorageFile()`.</w:t>
      </w:r>
    </w:p>
    <w:tbl>
      <w:tblPr>
        <w:tblW w:type="auto" w:w="0"/>
        <w:jc w:val="center"/>
        <w:tblLook w:firstColumn="1" w:firstRow="1" w:lastColumn="0" w:lastRow="0" w:noHBand="0" w:noVBand="1" w:val="04A0"/>
      </w:tblPr>
      <w:tblGrid>
        <w:gridCol w:w="10080"/>
      </w:tblGrid>
      <w:tr>
        <w:tc>
          <w:tcPr>
            <w:tcW w:type="dxa" w:w="9792"/>
            <w:tcBorders>
              <w:top w:val="single" w:sz="8" w:space="0" w:color="94A3B8"/>
              <w:bottom w:val="single" w:sz="8" w:space="0" w:color="94A3B8"/>
              <w:left w:val="single" w:sz="18" w:space="0" w:color="0284C7"/>
              <w:right w:val="none"/>
            </w:tcBorders>
            <w:shd w:fill="F1F5F9"/>
          </w:tcPr>
          <w:p>
            <w:pPr>
              <w:spacing w:before="80" w:after="80" w:line="252" w:lineRule="auto"/>
              <w:jc w:val="left"/>
            </w:pPr>
            <w:r>
              <w:rPr>
                <w:rFonts w:ascii="Courier New" w:hAnsi="Courier New"/>
                <w:color w:val="0F172A"/>
                <w:sz w:val="17"/>
              </w:rPr>
              <w:t>function isAssignmentExpiredPastOneDay(assignment, now = Date.now()) {</w:t>
              <w:br/>
              <w:t xml:space="preserve">  if (!assignment || !assignment.deadline) return false;</w:t>
              <w:br/>
              <w:t xml:space="preserve">  const deadlineStr = String(assignment.deadline).trim();</w:t>
              <w:br/>
              <w:t xml:space="preserve">  const deadlineEnd = new Date(deadlineStr + 'T23:59:59.999').getTime();</w:t>
              <w:br/>
              <w:t xml:space="preserve">  if (isNaN(deadlineEnd)) return false;</w:t>
              <w:br/>
              <w:t xml:space="preserve">  const oneDayGracePeriodMs = 24 * 60 * 60 * 1000; // 24 hours</w:t>
              <w:br/>
              <w:t xml:space="preserve">  return now &gt; (deadlineEnd + oneDayGracePeriodMs);</w:t>
              <w:br/>
              <w:t>}</w:t>
            </w:r>
          </w:p>
        </w:tc>
      </w:tr>
    </w:tbl>
    <w:p>
      <w:pPr>
        <w:spacing w:after="80"/>
      </w:pPr>
    </w:p>
    <w:p>
      <w:pPr>
        <w:spacing w:before="0" w:after="100" w:line="269" w:lineRule="auto"/>
        <w:jc w:val="both"/>
      </w:pPr>
      <w:r>
        <w:rPr>
          <w:rFonts w:ascii="Times New Roman" w:hAnsi="Times New Roman"/>
          <w:sz w:val="20"/>
        </w:rPr>
        <w:t>B. Finite State Machine (FSM) for Print Lifecycle</w:t>
        <w:br/>
        <w:t>Reprographic request progression is governed by a deterministic finite state machine illustrated in Fig. 5. States follow a non-reverting unidirectional transition pipeline.</w:t>
      </w:r>
    </w:p>
    <w:p>
      <w:pPr>
        <w:keepNext/>
        <w:spacing w:before="160" w:after="60"/>
        <w:jc w:val="center"/>
      </w:pPr>
      <w:r>
        <w:drawing>
          <wp:inline xmlns:a="http://schemas.openxmlformats.org/drawingml/2006/main" xmlns:pic="http://schemas.openxmlformats.org/drawingml/2006/picture">
            <wp:extent cx="5669280" cy="2548575"/>
            <wp:docPr id="5" name="Picture 5"/>
            <wp:cNvGraphicFramePr>
              <a:graphicFrameLocks noChangeAspect="1"/>
            </wp:cNvGraphicFramePr>
            <a:graphic>
              <a:graphicData uri="http://schemas.openxmlformats.org/drawingml/2006/picture">
                <pic:pic>
                  <pic:nvPicPr>
                    <pic:cNvPr id="0" name="fig5_state_machine.png"/>
                    <pic:cNvPicPr/>
                  </pic:nvPicPr>
                  <pic:blipFill>
                    <a:blip r:embed="rId13"/>
                    <a:stretch>
                      <a:fillRect/>
                    </a:stretch>
                  </pic:blipFill>
                  <pic:spPr>
                    <a:xfrm>
                      <a:off x="0" y="0"/>
                      <a:ext cx="5669280" cy="2548575"/>
                    </a:xfrm>
                    <a:prstGeom prst="rect"/>
                  </pic:spPr>
                </pic:pic>
              </a:graphicData>
            </a:graphic>
          </wp:inline>
        </w:drawing>
      </w:r>
    </w:p>
    <w:p>
      <w:pPr>
        <w:keepNext w:val="0"/>
        <w:spacing w:before="0" w:after="160"/>
        <w:jc w:val="center"/>
      </w:pPr>
      <w:r>
        <w:rPr>
          <w:rFonts w:ascii="Times New Roman" w:hAnsi="Times New Roman"/>
          <w:b/>
          <w:color w:val="334155"/>
          <w:sz w:val="17"/>
        </w:rPr>
        <w:t>Fig. 5. Print Request Deterministic Finite State Machine &amp; Staff Queue Lifecycle</w:t>
      </w:r>
    </w:p>
    <w:p>
      <w:pPr>
        <w:keepNext/>
        <w:spacing w:before="280" w:after="80"/>
      </w:pPr>
      <w:r>
        <w:rPr>
          <w:rFonts w:ascii="Times New Roman" w:hAnsi="Times New Roman"/>
          <w:b/>
          <w:color w:val="0F172A"/>
          <w:sz w:val="22"/>
        </w:rPr>
        <w:t>XV.  USER INTERFACE IMPLEMENTATION &amp; VISUAL WALKTHROUGH</w:t>
      </w:r>
    </w:p>
    <w:p>
      <w:pPr>
        <w:spacing w:before="0" w:after="100" w:line="269" w:lineRule="auto"/>
        <w:jc w:val="both"/>
      </w:pPr>
      <w:r>
        <w:rPr>
          <w:rFonts w:ascii="Times New Roman" w:hAnsi="Times New Roman"/>
          <w:sz w:val="20"/>
        </w:rPr>
        <w:t>The frontend architecture emphasizes responsiveness, accessibility, and real-time operational transparency. Fig. 6 displays the student ordering portal and document staging tray.</w:t>
      </w:r>
    </w:p>
    <w:p>
      <w:pPr>
        <w:keepNext/>
        <w:spacing w:before="160" w:after="60"/>
        <w:jc w:val="center"/>
      </w:pPr>
      <w:r>
        <w:drawing>
          <wp:inline xmlns:a="http://schemas.openxmlformats.org/drawingml/2006/main" xmlns:pic="http://schemas.openxmlformats.org/drawingml/2006/picture">
            <wp:extent cx="5303520" cy="2960104"/>
            <wp:docPr id="6" name="Picture 6"/>
            <wp:cNvGraphicFramePr>
              <a:graphicFrameLocks noChangeAspect="1"/>
            </wp:cNvGraphicFramePr>
            <a:graphic>
              <a:graphicData uri="http://schemas.openxmlformats.org/drawingml/2006/picture">
                <pic:pic>
                  <pic:nvPicPr>
                    <pic:cNvPr id="0" name="fig6_student_portal.jpg"/>
                    <pic:cNvPicPr/>
                  </pic:nvPicPr>
                  <pic:blipFill>
                    <a:blip r:embed="rId14"/>
                    <a:stretch>
                      <a:fillRect/>
                    </a:stretch>
                  </pic:blipFill>
                  <pic:spPr>
                    <a:xfrm>
                      <a:off x="0" y="0"/>
                      <a:ext cx="5303520" cy="2960104"/>
                    </a:xfrm>
                    <a:prstGeom prst="rect"/>
                  </pic:spPr>
                </pic:pic>
              </a:graphicData>
            </a:graphic>
          </wp:inline>
        </w:drawing>
      </w:r>
    </w:p>
    <w:p>
      <w:pPr>
        <w:keepNext w:val="0"/>
        <w:spacing w:before="0" w:after="160"/>
        <w:jc w:val="center"/>
      </w:pPr>
      <w:r>
        <w:rPr>
          <w:rFonts w:ascii="Times New Roman" w:hAnsi="Times New Roman"/>
          <w:b/>
          <w:color w:val="334155"/>
          <w:sz w:val="17"/>
        </w:rPr>
        <w:t>Fig. 6. Xeroxic Student Portal: Direct File Upload, Print Configuration, and Live Cost Computation</w:t>
      </w:r>
    </w:p>
    <w:p>
      <w:pPr>
        <w:spacing w:before="0" w:after="100" w:line="269" w:lineRule="auto"/>
        <w:jc w:val="both"/>
      </w:pPr>
      <w:r>
        <w:rPr>
          <w:rFonts w:ascii="Times New Roman" w:hAnsi="Times New Roman"/>
          <w:sz w:val="20"/>
        </w:rPr>
        <w:t>Fig. 7 illustrates the Curriculum Assignment Hub, where students can inspect department lab manuals, review multi-image experiment sheets, and initiate 1-click reprographic orders.</w:t>
      </w:r>
    </w:p>
    <w:p>
      <w:pPr>
        <w:keepNext/>
        <w:spacing w:before="160" w:after="60"/>
        <w:jc w:val="center"/>
      </w:pPr>
      <w:r>
        <w:drawing>
          <wp:inline xmlns:a="http://schemas.openxmlformats.org/drawingml/2006/main" xmlns:pic="http://schemas.openxmlformats.org/drawingml/2006/picture">
            <wp:extent cx="5303520" cy="2960104"/>
            <wp:docPr id="7" name="Picture 7"/>
            <wp:cNvGraphicFramePr>
              <a:graphicFrameLocks noChangeAspect="1"/>
            </wp:cNvGraphicFramePr>
            <a:graphic>
              <a:graphicData uri="http://schemas.openxmlformats.org/drawingml/2006/picture">
                <pic:pic>
                  <pic:nvPicPr>
                    <pic:cNvPr id="0" name="fig7_assignment_portal.jpg"/>
                    <pic:cNvPicPr/>
                  </pic:nvPicPr>
                  <pic:blipFill>
                    <a:blip r:embed="rId15"/>
                    <a:stretch>
                      <a:fillRect/>
                    </a:stretch>
                  </pic:blipFill>
                  <pic:spPr>
                    <a:xfrm>
                      <a:off x="0" y="0"/>
                      <a:ext cx="5303520" cy="2960104"/>
                    </a:xfrm>
                    <a:prstGeom prst="rect"/>
                  </pic:spPr>
                </pic:pic>
              </a:graphicData>
            </a:graphic>
          </wp:inline>
        </w:drawing>
      </w:r>
    </w:p>
    <w:p>
      <w:pPr>
        <w:keepNext w:val="0"/>
        <w:spacing w:before="0" w:after="160"/>
        <w:jc w:val="center"/>
      </w:pPr>
      <w:r>
        <w:rPr>
          <w:rFonts w:ascii="Times New Roman" w:hAnsi="Times New Roman"/>
          <w:b/>
          <w:color w:val="334155"/>
          <w:sz w:val="17"/>
        </w:rPr>
        <w:t>Fig. 7. Curriculum Assignment Hub with Multi-Page Previews and 1-Click Print Dispatch</w:t>
      </w:r>
    </w:p>
    <w:p>
      <w:pPr>
        <w:spacing w:before="0" w:after="100" w:line="269" w:lineRule="auto"/>
        <w:jc w:val="both"/>
      </w:pPr>
      <w:r>
        <w:rPr>
          <w:rFonts w:ascii="Times New Roman" w:hAnsi="Times New Roman"/>
          <w:sz w:val="20"/>
        </w:rPr>
        <w:t>Fig. 8 illustrates the Reprographic Operator and Admin Dashboard, showing the live order queue, filter tabs, instant status actions, and signed download buttons.</w:t>
      </w:r>
    </w:p>
    <w:p>
      <w:pPr>
        <w:keepNext/>
        <w:spacing w:before="160" w:after="60"/>
        <w:jc w:val="center"/>
      </w:pPr>
      <w:r>
        <w:drawing>
          <wp:inline xmlns:a="http://schemas.openxmlformats.org/drawingml/2006/main" xmlns:pic="http://schemas.openxmlformats.org/drawingml/2006/picture">
            <wp:extent cx="5303520" cy="2960104"/>
            <wp:docPr id="8" name="Picture 8"/>
            <wp:cNvGraphicFramePr>
              <a:graphicFrameLocks noChangeAspect="1"/>
            </wp:cNvGraphicFramePr>
            <a:graphic>
              <a:graphicData uri="http://schemas.openxmlformats.org/drawingml/2006/picture">
                <pic:pic>
                  <pic:nvPicPr>
                    <pic:cNvPr id="0" name="fig8_admin_dashboard.jpg"/>
                    <pic:cNvPicPr/>
                  </pic:nvPicPr>
                  <pic:blipFill>
                    <a:blip r:embed="rId16"/>
                    <a:stretch>
                      <a:fillRect/>
                    </a:stretch>
                  </pic:blipFill>
                  <pic:spPr>
                    <a:xfrm>
                      <a:off x="0" y="0"/>
                      <a:ext cx="5303520" cy="2960104"/>
                    </a:xfrm>
                    <a:prstGeom prst="rect"/>
                  </pic:spPr>
                </pic:pic>
              </a:graphicData>
            </a:graphic>
          </wp:inline>
        </w:drawing>
      </w:r>
    </w:p>
    <w:p>
      <w:pPr>
        <w:keepNext w:val="0"/>
        <w:spacing w:before="0" w:after="160"/>
        <w:jc w:val="center"/>
      </w:pPr>
      <w:r>
        <w:rPr>
          <w:rFonts w:ascii="Times New Roman" w:hAnsi="Times New Roman"/>
          <w:b/>
          <w:color w:val="334155"/>
          <w:sz w:val="17"/>
        </w:rPr>
        <w:t>Fig. 8. Admin &amp; Staff Dashboard: Live Request Management and Instant Status Transitions</w:t>
      </w:r>
    </w:p>
    <w:p>
      <w:pPr>
        <w:spacing w:before="0" w:after="100" w:line="269" w:lineRule="auto"/>
        <w:jc w:val="both"/>
      </w:pPr>
      <w:r>
        <w:rPr>
          <w:rFonts w:ascii="Times New Roman" w:hAnsi="Times New Roman"/>
          <w:sz w:val="20"/>
        </w:rPr>
        <w:t>Fig. 9 shows the mobile-optimized assignment creation modal featuring touch-friendly sticky action bars and multi-pass client-side canvas compression.</w:t>
      </w:r>
    </w:p>
    <w:p>
      <w:pPr>
        <w:keepNext/>
        <w:spacing w:before="160" w:after="60"/>
        <w:jc w:val="center"/>
      </w:pPr>
      <w:r>
        <w:drawing>
          <wp:inline xmlns:a="http://schemas.openxmlformats.org/drawingml/2006/main" xmlns:pic="http://schemas.openxmlformats.org/drawingml/2006/picture">
            <wp:extent cx="3840480" cy="2160270"/>
            <wp:docPr id="9" name="Picture 9"/>
            <wp:cNvGraphicFramePr>
              <a:graphicFrameLocks noChangeAspect="1"/>
            </wp:cNvGraphicFramePr>
            <a:graphic>
              <a:graphicData uri="http://schemas.openxmlformats.org/drawingml/2006/picture">
                <pic:pic>
                  <pic:nvPicPr>
                    <pic:cNvPr id="0" name="fig9_mobile_modal.png"/>
                    <pic:cNvPicPr/>
                  </pic:nvPicPr>
                  <pic:blipFill>
                    <a:blip r:embed="rId17"/>
                    <a:stretch>
                      <a:fillRect/>
                    </a:stretch>
                  </pic:blipFill>
                  <pic:spPr>
                    <a:xfrm>
                      <a:off x="0" y="0"/>
                      <a:ext cx="3840480" cy="2160270"/>
                    </a:xfrm>
                    <a:prstGeom prst="rect"/>
                  </pic:spPr>
                </pic:pic>
              </a:graphicData>
            </a:graphic>
          </wp:inline>
        </w:drawing>
      </w:r>
    </w:p>
    <w:p>
      <w:pPr>
        <w:keepNext w:val="0"/>
        <w:spacing w:before="0" w:after="160"/>
        <w:jc w:val="center"/>
      </w:pPr>
      <w:r>
        <w:rPr>
          <w:rFonts w:ascii="Times New Roman" w:hAnsi="Times New Roman"/>
          <w:b/>
          <w:color w:val="334155"/>
          <w:sz w:val="17"/>
        </w:rPr>
        <w:t>Fig. 9. Mobile Responsive Assignment Publishing Modal with Sticky Action Footer</w:t>
      </w:r>
    </w:p>
    <w:p>
      <w:pPr>
        <w:keepNext/>
        <w:spacing w:before="280" w:after="80"/>
      </w:pPr>
      <w:r>
        <w:rPr>
          <w:rFonts w:ascii="Times New Roman" w:hAnsi="Times New Roman"/>
          <w:b/>
          <w:color w:val="0F172A"/>
          <w:sz w:val="22"/>
        </w:rPr>
        <w:t>XVI.  EXPERIMENTAL RESULTS AND DISCUSSION</w:t>
      </w:r>
    </w:p>
    <w:p>
      <w:pPr>
        <w:spacing w:before="0" w:after="100" w:line="269" w:lineRule="auto"/>
        <w:jc w:val="both"/>
      </w:pPr>
      <w:r>
        <w:rPr>
          <w:rFonts w:ascii="Times New Roman" w:hAnsi="Times New Roman"/>
          <w:sz w:val="20"/>
        </w:rPr>
        <w:t>The platform was subjected to rigorous empirical evaluation across functional correctness, security verification, and performance under stress. A comprehensive automated test suite consisting of 75 discrete integration tests (`test/serverless-test.js`) was executed. Table III summarizes the empirical results across the major functional subsystems.</w:t>
      </w:r>
    </w:p>
    <w:p>
      <w:pPr>
        <w:keepNext/>
        <w:spacing w:before="160" w:after="60"/>
        <w:jc w:val="center"/>
      </w:pPr>
      <w:r>
        <w:rPr>
          <w:rFonts w:ascii="Times New Roman" w:hAnsi="Times New Roman"/>
          <w:b/>
          <w:color w:val="1E293B"/>
          <w:sz w:val="17"/>
        </w:rPr>
        <w:t>TABLE III: Empirical Test Suite Verification Results across 75 Scenarios</w:t>
      </w:r>
    </w:p>
    <w:tbl>
      <w:tblPr>
        <w:tblW w:type="auto" w:w="0"/>
        <w:jc w:val="center"/>
        <w:tblLook w:firstColumn="1" w:firstRow="1" w:lastColumn="0" w:lastRow="0" w:noHBand="0" w:noVBand="1" w:val="04A0"/>
      </w:tblPr>
      <w:tblGrid>
        <w:gridCol w:w="2016"/>
        <w:gridCol w:w="2016"/>
        <w:gridCol w:w="2016"/>
        <w:gridCol w:w="2016"/>
        <w:gridCol w:w="2016"/>
      </w:tblGrid>
      <w:tr>
        <w:tc>
          <w:tcPr>
            <w:tcW w:type="dxa" w:w="2160"/>
            <w:shd w:fill="0F172A"/>
            <w:tcBorders>
              <w:top w:val="single" w:sz="4" w:space="0" w:color="CBD5E1"/>
              <w:bottom w:val="single" w:sz="4" w:space="0" w:color="CBD5E1"/>
              <w:left w:val="none"/>
              <w:right w:val="none"/>
            </w:tcBorders>
          </w:tcPr>
          <w:p>
            <w:pPr>
              <w:spacing w:before="60" w:after="60"/>
              <w:jc w:val="center"/>
            </w:pPr>
            <w:r>
              <w:rPr>
                <w:rFonts w:ascii="Times New Roman" w:hAnsi="Times New Roman"/>
                <w:b/>
                <w:color w:val="FFFFFF"/>
                <w:sz w:val="17"/>
              </w:rPr>
              <w:t>Test Domain / Subsystem</w:t>
            </w:r>
          </w:p>
        </w:tc>
        <w:tc>
          <w:tcPr>
            <w:tcW w:type="dxa" w:w="1296"/>
            <w:shd w:fill="0F172A"/>
            <w:tcBorders>
              <w:top w:val="single" w:sz="4" w:space="0" w:color="CBD5E1"/>
              <w:bottom w:val="single" w:sz="4" w:space="0" w:color="CBD5E1"/>
              <w:left w:val="none"/>
              <w:right w:val="none"/>
            </w:tcBorders>
          </w:tcPr>
          <w:p>
            <w:pPr>
              <w:spacing w:before="60" w:after="60"/>
              <w:jc w:val="center"/>
            </w:pPr>
            <w:r>
              <w:rPr>
                <w:rFonts w:ascii="Times New Roman" w:hAnsi="Times New Roman"/>
                <w:b/>
                <w:color w:val="FFFFFF"/>
                <w:sz w:val="17"/>
              </w:rPr>
              <w:t>Test Count</w:t>
            </w:r>
          </w:p>
        </w:tc>
        <w:tc>
          <w:tcPr>
            <w:tcW w:type="dxa" w:w="2880"/>
            <w:shd w:fill="0F172A"/>
            <w:tcBorders>
              <w:top w:val="single" w:sz="4" w:space="0" w:color="CBD5E1"/>
              <w:bottom w:val="single" w:sz="4" w:space="0" w:color="CBD5E1"/>
              <w:left w:val="none"/>
              <w:right w:val="none"/>
            </w:tcBorders>
          </w:tcPr>
          <w:p>
            <w:pPr>
              <w:spacing w:before="60" w:after="60"/>
              <w:jc w:val="center"/>
            </w:pPr>
            <w:r>
              <w:rPr>
                <w:rFonts w:ascii="Times New Roman" w:hAnsi="Times New Roman"/>
                <w:b/>
                <w:color w:val="FFFFFF"/>
                <w:sz w:val="17"/>
              </w:rPr>
              <w:t>Key Verification Target</w:t>
            </w:r>
          </w:p>
        </w:tc>
        <w:tc>
          <w:tcPr>
            <w:tcW w:type="dxa" w:w="2592"/>
            <w:shd w:fill="0F172A"/>
            <w:tcBorders>
              <w:top w:val="single" w:sz="4" w:space="0" w:color="CBD5E1"/>
              <w:bottom w:val="single" w:sz="4" w:space="0" w:color="CBD5E1"/>
              <w:left w:val="none"/>
              <w:right w:val="none"/>
            </w:tcBorders>
          </w:tcPr>
          <w:p>
            <w:pPr>
              <w:spacing w:before="60" w:after="60"/>
              <w:jc w:val="center"/>
            </w:pPr>
            <w:r>
              <w:rPr>
                <w:rFonts w:ascii="Times New Roman" w:hAnsi="Times New Roman"/>
                <w:b/>
                <w:color w:val="FFFFFF"/>
                <w:sz w:val="17"/>
              </w:rPr>
              <w:t>Observed Outcome</w:t>
            </w:r>
          </w:p>
        </w:tc>
        <w:tc>
          <w:tcPr>
            <w:tcW w:type="dxa" w:w="1296"/>
            <w:shd w:fill="0F172A"/>
            <w:tcBorders>
              <w:top w:val="single" w:sz="4" w:space="0" w:color="CBD5E1"/>
              <w:bottom w:val="single" w:sz="4" w:space="0" w:color="CBD5E1"/>
              <w:left w:val="none"/>
              <w:right w:val="none"/>
            </w:tcBorders>
          </w:tcPr>
          <w:p>
            <w:pPr>
              <w:spacing w:before="60" w:after="60"/>
              <w:jc w:val="center"/>
            </w:pPr>
            <w:r>
              <w:rPr>
                <w:rFonts w:ascii="Times New Roman" w:hAnsi="Times New Roman"/>
                <w:b/>
                <w:color w:val="FFFFFF"/>
                <w:sz w:val="17"/>
              </w:rPr>
              <w:t>Pass Rate</w:t>
            </w:r>
          </w:p>
        </w:tc>
      </w:tr>
      <w:tr>
        <w:tc>
          <w:tcPr>
            <w:tcW w:type="dxa" w:w="2160"/>
            <w:shd w:fill="FFFFFF"/>
            <w:tcBorders>
              <w:top w:val="single" w:sz="4" w:space="0" w:color="CBD5E1"/>
              <w:bottom w:val="single" w:sz="4" w:space="0" w:color="CBD5E1"/>
              <w:left w:val="none"/>
              <w:right w:val="none"/>
            </w:tcBorders>
          </w:tcPr>
          <w:p>
            <w:pPr>
              <w:spacing w:before="50" w:after="50"/>
              <w:jc w:val="center"/>
            </w:pPr>
            <w:r>
              <w:rPr>
                <w:rFonts w:ascii="Times New Roman" w:hAnsi="Times New Roman"/>
                <w:color w:val="1E293B"/>
                <w:sz w:val="17"/>
              </w:rPr>
              <w:t>Authentication &amp; Sessions</w:t>
            </w:r>
          </w:p>
        </w:tc>
        <w:tc>
          <w:tcPr>
            <w:tcW w:type="dxa" w:w="1296"/>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12 Tests</w:t>
            </w:r>
          </w:p>
        </w:tc>
        <w:tc>
          <w:tcPr>
            <w:tcW w:type="dxa" w:w="2880"/>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scrypt KDF, constant-time checks, cookie isolation</w:t>
            </w:r>
          </w:p>
        </w:tc>
        <w:tc>
          <w:tcPr>
            <w:tcW w:type="dxa" w:w="2592"/>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100% Timing-safe, zero enumeration</w:t>
            </w:r>
          </w:p>
        </w:tc>
        <w:tc>
          <w:tcPr>
            <w:tcW w:type="dxa" w:w="1296"/>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100% (12/12)</w:t>
            </w:r>
          </w:p>
        </w:tc>
      </w:tr>
      <w:tr>
        <w:tc>
          <w:tcPr>
            <w:tcW w:type="dxa" w:w="2160"/>
            <w:shd w:fill="F8FAFC"/>
            <w:tcBorders>
              <w:top w:val="single" w:sz="4" w:space="0" w:color="CBD5E1"/>
              <w:bottom w:val="single" w:sz="4" w:space="0" w:color="CBD5E1"/>
              <w:left w:val="none"/>
              <w:right w:val="none"/>
            </w:tcBorders>
          </w:tcPr>
          <w:p>
            <w:pPr>
              <w:spacing w:before="50" w:after="50"/>
              <w:jc w:val="center"/>
            </w:pPr>
            <w:r>
              <w:rPr>
                <w:rFonts w:ascii="Times New Roman" w:hAnsi="Times New Roman"/>
                <w:color w:val="1E293B"/>
                <w:sz w:val="17"/>
              </w:rPr>
              <w:t>Role-Based Access Control</w:t>
            </w:r>
          </w:p>
        </w:tc>
        <w:tc>
          <w:tcPr>
            <w:tcW w:type="dxa" w:w="1296"/>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10 Tests</w:t>
            </w:r>
          </w:p>
        </w:tc>
        <w:tc>
          <w:tcPr>
            <w:tcW w:type="dxa" w:w="2880"/>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Cross-portal isolation (Student vs Admin vs Super)</w:t>
            </w:r>
          </w:p>
        </w:tc>
        <w:tc>
          <w:tcPr>
            <w:tcW w:type="dxa" w:w="2592"/>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Strict 403 Forbidden enforcement</w:t>
            </w:r>
          </w:p>
        </w:tc>
        <w:tc>
          <w:tcPr>
            <w:tcW w:type="dxa" w:w="1296"/>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100% (10/10)</w:t>
            </w:r>
          </w:p>
        </w:tc>
      </w:tr>
      <w:tr>
        <w:tc>
          <w:tcPr>
            <w:tcW w:type="dxa" w:w="2160"/>
            <w:shd w:fill="FFFFFF"/>
            <w:tcBorders>
              <w:top w:val="single" w:sz="4" w:space="0" w:color="CBD5E1"/>
              <w:bottom w:val="single" w:sz="4" w:space="0" w:color="CBD5E1"/>
              <w:left w:val="none"/>
              <w:right w:val="none"/>
            </w:tcBorders>
          </w:tcPr>
          <w:p>
            <w:pPr>
              <w:spacing w:before="50" w:after="50"/>
              <w:jc w:val="center"/>
            </w:pPr>
            <w:r>
              <w:rPr>
                <w:rFonts w:ascii="Times New Roman" w:hAnsi="Times New Roman"/>
                <w:color w:val="1E293B"/>
                <w:sz w:val="17"/>
              </w:rPr>
              <w:t>OWASP Top 10 Protections</w:t>
            </w:r>
          </w:p>
        </w:tc>
        <w:tc>
          <w:tcPr>
            <w:tcW w:type="dxa" w:w="1296"/>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8 Tests</w:t>
            </w:r>
          </w:p>
        </w:tc>
        <w:tc>
          <w:tcPr>
            <w:tcW w:type="dxa" w:w="2880"/>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Rate limiting (HTTP 429), executable upload block</w:t>
            </w:r>
          </w:p>
        </w:tc>
        <w:tc>
          <w:tcPr>
            <w:tcW w:type="dxa" w:w="2592"/>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Blocked .exe, nosniff/HSTS verified</w:t>
            </w:r>
          </w:p>
        </w:tc>
        <w:tc>
          <w:tcPr>
            <w:tcW w:type="dxa" w:w="1296"/>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100% (8/8)</w:t>
            </w:r>
          </w:p>
        </w:tc>
      </w:tr>
      <w:tr>
        <w:tc>
          <w:tcPr>
            <w:tcW w:type="dxa" w:w="2160"/>
            <w:shd w:fill="F8FAFC"/>
            <w:tcBorders>
              <w:top w:val="single" w:sz="4" w:space="0" w:color="CBD5E1"/>
              <w:bottom w:val="single" w:sz="4" w:space="0" w:color="CBD5E1"/>
              <w:left w:val="none"/>
              <w:right w:val="none"/>
            </w:tcBorders>
          </w:tcPr>
          <w:p>
            <w:pPr>
              <w:spacing w:before="50" w:after="50"/>
              <w:jc w:val="center"/>
            </w:pPr>
            <w:r>
              <w:rPr>
                <w:rFonts w:ascii="Times New Roman" w:hAnsi="Times New Roman"/>
                <w:color w:val="1E293B"/>
                <w:sz w:val="17"/>
              </w:rPr>
              <w:t>Razorpay Payment Integrity</w:t>
            </w:r>
          </w:p>
        </w:tc>
        <w:tc>
          <w:tcPr>
            <w:tcW w:type="dxa" w:w="1296"/>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10 Tests</w:t>
            </w:r>
          </w:p>
        </w:tc>
        <w:tc>
          <w:tcPr>
            <w:tcW w:type="dxa" w:w="2880"/>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HMAC-SHA256 signature, ownership mismatch block</w:t>
            </w:r>
          </w:p>
        </w:tc>
        <w:tc>
          <w:tcPr>
            <w:tcW w:type="dxa" w:w="2592"/>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Falsified signatures rejected with 400</w:t>
            </w:r>
          </w:p>
        </w:tc>
        <w:tc>
          <w:tcPr>
            <w:tcW w:type="dxa" w:w="1296"/>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100% (10/10)</w:t>
            </w:r>
          </w:p>
        </w:tc>
      </w:tr>
      <w:tr>
        <w:tc>
          <w:tcPr>
            <w:tcW w:type="dxa" w:w="2160"/>
            <w:shd w:fill="FFFFFF"/>
            <w:tcBorders>
              <w:top w:val="single" w:sz="4" w:space="0" w:color="CBD5E1"/>
              <w:bottom w:val="single" w:sz="4" w:space="0" w:color="CBD5E1"/>
              <w:left w:val="none"/>
              <w:right w:val="none"/>
            </w:tcBorders>
          </w:tcPr>
          <w:p>
            <w:pPr>
              <w:spacing w:before="50" w:after="50"/>
              <w:jc w:val="center"/>
            </w:pPr>
            <w:r>
              <w:rPr>
                <w:rFonts w:ascii="Times New Roman" w:hAnsi="Times New Roman"/>
                <w:color w:val="1E293B"/>
                <w:sz w:val="17"/>
              </w:rPr>
              <w:t>Direct Supabase Storage</w:t>
            </w:r>
          </w:p>
        </w:tc>
        <w:tc>
          <w:tcPr>
            <w:tcW w:type="dxa" w:w="1296"/>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15 Tests</w:t>
            </w:r>
          </w:p>
        </w:tc>
        <w:tc>
          <w:tcPr>
            <w:tcW w:type="dxa" w:w="2880"/>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Prepare-upload handshake, 50MB ceiling, signed URLs</w:t>
            </w:r>
          </w:p>
        </w:tc>
        <w:tc>
          <w:tcPr>
            <w:tcW w:type="dxa" w:w="2592"/>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Zero Vercel 413s, 302 signed redirects</w:t>
            </w:r>
          </w:p>
        </w:tc>
        <w:tc>
          <w:tcPr>
            <w:tcW w:type="dxa" w:w="1296"/>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100% (15/15)</w:t>
            </w:r>
          </w:p>
        </w:tc>
      </w:tr>
      <w:tr>
        <w:tc>
          <w:tcPr>
            <w:tcW w:type="dxa" w:w="2160"/>
            <w:shd w:fill="F8FAFC"/>
            <w:tcBorders>
              <w:top w:val="single" w:sz="4" w:space="0" w:color="CBD5E1"/>
              <w:bottom w:val="single" w:sz="4" w:space="0" w:color="CBD5E1"/>
              <w:left w:val="none"/>
              <w:right w:val="none"/>
            </w:tcBorders>
          </w:tcPr>
          <w:p>
            <w:pPr>
              <w:spacing w:before="50" w:after="50"/>
              <w:jc w:val="center"/>
            </w:pPr>
            <w:r>
              <w:rPr>
                <w:rFonts w:ascii="Times New Roman" w:hAnsi="Times New Roman"/>
                <w:color w:val="1E293B"/>
                <w:sz w:val="17"/>
              </w:rPr>
              <w:t>Print Queue Lifecycle (FSM)</w:t>
            </w:r>
          </w:p>
        </w:tc>
        <w:tc>
          <w:tcPr>
            <w:tcW w:type="dxa" w:w="1296"/>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12 Tests</w:t>
            </w:r>
          </w:p>
        </w:tc>
        <w:tc>
          <w:tcPr>
            <w:tcW w:type="dxa" w:w="2880"/>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State transitions (RECEIVED -&gt; COMPLETED)</w:t>
            </w:r>
          </w:p>
        </w:tc>
        <w:tc>
          <w:tcPr>
            <w:tcW w:type="dxa" w:w="2592"/>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Non-reverting deterministic flow</w:t>
            </w:r>
          </w:p>
        </w:tc>
        <w:tc>
          <w:tcPr>
            <w:tcW w:type="dxa" w:w="1296"/>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100% (12/12)</w:t>
            </w:r>
          </w:p>
        </w:tc>
      </w:tr>
      <w:tr>
        <w:tc>
          <w:tcPr>
            <w:tcW w:type="dxa" w:w="2160"/>
            <w:shd w:fill="FFFFFF"/>
            <w:tcBorders>
              <w:top w:val="single" w:sz="4" w:space="0" w:color="CBD5E1"/>
              <w:bottom w:val="single" w:sz="4" w:space="0" w:color="CBD5E1"/>
              <w:left w:val="none"/>
              <w:right w:val="none"/>
            </w:tcBorders>
          </w:tcPr>
          <w:p>
            <w:pPr>
              <w:spacing w:before="50" w:after="50"/>
              <w:jc w:val="center"/>
            </w:pPr>
            <w:r>
              <w:rPr>
                <w:rFonts w:ascii="Times New Roman" w:hAnsi="Times New Roman"/>
                <w:color w:val="1E293B"/>
                <w:sz w:val="17"/>
              </w:rPr>
              <w:t>Assignment Auto-Expiry</w:t>
            </w:r>
          </w:p>
        </w:tc>
        <w:tc>
          <w:tcPr>
            <w:tcW w:type="dxa" w:w="1296"/>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8 Tests</w:t>
            </w:r>
          </w:p>
        </w:tc>
        <w:tc>
          <w:tcPr>
            <w:tcW w:type="dxa" w:w="2880"/>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Deadline + 24h purge, persistent tombstones</w:t>
            </w:r>
          </w:p>
        </w:tc>
        <w:tc>
          <w:tcPr>
            <w:tcW w:type="dxa" w:w="2592"/>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Resurrection completely prevented</w:t>
            </w:r>
          </w:p>
        </w:tc>
        <w:tc>
          <w:tcPr>
            <w:tcW w:type="dxa" w:w="1296"/>
            <w:shd w:fill="FFFFFF"/>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100% (8/8)</w:t>
            </w:r>
          </w:p>
        </w:tc>
      </w:tr>
      <w:tr>
        <w:tc>
          <w:tcPr>
            <w:tcW w:type="dxa" w:w="2160"/>
            <w:shd w:fill="F8FAFC"/>
            <w:tcBorders>
              <w:top w:val="single" w:sz="4" w:space="0" w:color="CBD5E1"/>
              <w:bottom w:val="single" w:sz="4" w:space="0" w:color="CBD5E1"/>
              <w:left w:val="none"/>
              <w:right w:val="none"/>
            </w:tcBorders>
          </w:tcPr>
          <w:p>
            <w:pPr>
              <w:spacing w:before="50" w:after="50"/>
              <w:jc w:val="center"/>
            </w:pPr>
            <w:r>
              <w:rPr>
                <w:rFonts w:ascii="Times New Roman" w:hAnsi="Times New Roman"/>
                <w:color w:val="1E293B"/>
                <w:sz w:val="17"/>
              </w:rPr>
              <w:t>Overall Test Suite Total</w:t>
            </w:r>
          </w:p>
        </w:tc>
        <w:tc>
          <w:tcPr>
            <w:tcW w:type="dxa" w:w="1296"/>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75 Tests</w:t>
            </w:r>
          </w:p>
        </w:tc>
        <w:tc>
          <w:tcPr>
            <w:tcW w:type="dxa" w:w="2880"/>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End-to-End System Integrity &amp; Zero Regressions</w:t>
            </w:r>
          </w:p>
        </w:tc>
        <w:tc>
          <w:tcPr>
            <w:tcW w:type="dxa" w:w="2592"/>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All 75 Test Scenarios Verified</w:t>
            </w:r>
          </w:p>
        </w:tc>
        <w:tc>
          <w:tcPr>
            <w:tcW w:type="dxa" w:w="1296"/>
            <w:shd w:fill="F8FAFC"/>
            <w:tcBorders>
              <w:top w:val="single" w:sz="4" w:space="0" w:color="CBD5E1"/>
              <w:bottom w:val="single" w:sz="4" w:space="0" w:color="CBD5E1"/>
              <w:left w:val="none"/>
              <w:right w:val="none"/>
            </w:tcBorders>
          </w:tcPr>
          <w:p>
            <w:pPr>
              <w:spacing w:before="50" w:after="50"/>
              <w:jc w:val="left"/>
            </w:pPr>
            <w:r>
              <w:rPr>
                <w:rFonts w:ascii="Times New Roman" w:hAnsi="Times New Roman"/>
                <w:color w:val="1E293B"/>
                <w:sz w:val="17"/>
              </w:rPr>
              <w:t>100% (75/75)</w:t>
            </w:r>
          </w:p>
        </w:tc>
      </w:tr>
    </w:tbl>
    <w:p>
      <w:pPr>
        <w:spacing w:after="120"/>
      </w:pPr>
    </w:p>
    <w:p>
      <w:pPr>
        <w:spacing w:before="0" w:after="100" w:line="269" w:lineRule="auto"/>
        <w:jc w:val="both"/>
      </w:pPr>
      <w:r>
        <w:rPr>
          <w:rFonts w:ascii="Times New Roman" w:hAnsi="Times New Roman"/>
          <w:sz w:val="20"/>
        </w:rPr>
        <w:t>Discussion: The empirical audit demonstrates that offloading file uploads directly to Supabase Storage eliminates edge function CPU exhaustion. In stress testing, files scaling from 1 MB up to 48.5 MB were transferred directly from client browsers to the object store with zero memory pressure on the serverless compute instances. Furthermore, tests verifying payment ownership binding proved that malicious injection of arbitrary transaction identifiers consistently fails, safeguarding institutional revenues.</w:t>
      </w:r>
    </w:p>
    <w:p>
      <w:pPr>
        <w:keepNext/>
        <w:spacing w:before="280" w:after="80"/>
      </w:pPr>
      <w:r>
        <w:rPr>
          <w:rFonts w:ascii="Times New Roman" w:hAnsi="Times New Roman"/>
          <w:b/>
          <w:color w:val="0F172A"/>
          <w:sz w:val="22"/>
        </w:rPr>
        <w:t>XVII.  ADVANTAGES OF THE XEROXIC PLATFORM</w:t>
      </w:r>
    </w:p>
    <w:p>
      <w:pPr>
        <w:spacing w:before="0" w:after="100" w:line="269" w:lineRule="auto"/>
        <w:jc w:val="both"/>
      </w:pPr>
      <w:r>
        <w:rPr>
          <w:rFonts w:ascii="Times New Roman" w:hAnsi="Times New Roman"/>
          <w:sz w:val="20"/>
        </w:rPr>
        <w:t>• Complete Elimination of Physical Counter Congestion: Students submit print orders remotely from dormitories or classrooms, reducing counter pickup times to under 15 seconds.</w:t>
      </w:r>
    </w:p>
    <w:p>
      <w:pPr>
        <w:spacing w:before="0" w:after="100" w:line="269" w:lineRule="auto"/>
        <w:jc w:val="both"/>
      </w:pPr>
      <w:r>
        <w:rPr>
          <w:rFonts w:ascii="Times New Roman" w:hAnsi="Times New Roman"/>
          <w:sz w:val="20"/>
        </w:rPr>
        <w:t>• Hardware USB Virus Immunity: Zero physical flash drive connectivity at the reprographic desk eliminates campus malware propagation vectors.</w:t>
      </w:r>
    </w:p>
    <w:p>
      <w:pPr>
        <w:spacing w:before="0" w:after="100" w:line="269" w:lineRule="auto"/>
        <w:jc w:val="both"/>
      </w:pPr>
      <w:r>
        <w:rPr>
          <w:rFonts w:ascii="Times New Roman" w:hAnsi="Times New Roman"/>
          <w:sz w:val="20"/>
        </w:rPr>
        <w:t>• Zero Serverless Memory Overhead: Direct browser-to-cloud streaming bypasses edge compute memory constraints, enabling transfers up to 50 MB without incurring cloud proxy expenses.</w:t>
      </w:r>
    </w:p>
    <w:p>
      <w:pPr>
        <w:spacing w:before="0" w:after="100" w:line="269" w:lineRule="auto"/>
        <w:jc w:val="both"/>
      </w:pPr>
      <w:r>
        <w:rPr>
          <w:rFonts w:ascii="Times New Roman" w:hAnsi="Times New Roman"/>
          <w:sz w:val="20"/>
        </w:rPr>
        <w:t>• Transparent Accounting and Revenue Security: Cryptographic HMAC payment verification ensures that every physical page printed corresponds strictly to verified electronic funds.</w:t>
      </w:r>
    </w:p>
    <w:p>
      <w:pPr>
        <w:spacing w:before="0" w:after="100" w:line="269" w:lineRule="auto"/>
        <w:jc w:val="both"/>
      </w:pPr>
      <w:r>
        <w:rPr>
          <w:rFonts w:ascii="Times New Roman" w:hAnsi="Times New Roman"/>
          <w:sz w:val="20"/>
        </w:rPr>
        <w:t>• Dynamic Administrative Governance: Reprographic pricing can be adjusted in real time by Super Administrators to accommodate dynamic paper or toner cost fluctuations.</w:t>
      </w:r>
    </w:p>
    <w:p>
      <w:pPr>
        <w:keepNext/>
        <w:spacing w:before="280" w:after="80"/>
      </w:pPr>
      <w:r>
        <w:rPr>
          <w:rFonts w:ascii="Times New Roman" w:hAnsi="Times New Roman"/>
          <w:b/>
          <w:color w:val="0F172A"/>
          <w:sz w:val="22"/>
        </w:rPr>
        <w:t>XVIII.  LIMITATIONS</w:t>
      </w:r>
    </w:p>
    <w:p>
      <w:pPr>
        <w:spacing w:before="0" w:after="100" w:line="269" w:lineRule="auto"/>
        <w:jc w:val="both"/>
      </w:pPr>
      <w:r>
        <w:rPr>
          <w:rFonts w:ascii="Times New Roman" w:hAnsi="Times New Roman"/>
          <w:sz w:val="20"/>
        </w:rPr>
        <w:t>• Dependence on Third-Party Cloud Availability: Operational continuity relies on the uptime of external service providers (Vercel edge network, Supabase object storage, MongoDB Atlas, and Razorpay gateway).</w:t>
      </w:r>
    </w:p>
    <w:p>
      <w:pPr>
        <w:spacing w:before="0" w:after="100" w:line="269" w:lineRule="auto"/>
        <w:jc w:val="both"/>
      </w:pPr>
      <w:r>
        <w:rPr>
          <w:rFonts w:ascii="Times New Roman" w:hAnsi="Times New Roman"/>
          <w:sz w:val="20"/>
        </w:rPr>
        <w:t>• Internet Connectivity Prerequisite: Unlike legacy offline USB printing, students and reprographic staff require active internet connectivity to interact with the platform.</w:t>
      </w:r>
    </w:p>
    <w:p>
      <w:pPr>
        <w:spacing w:before="0" w:after="100" w:line="269" w:lineRule="auto"/>
        <w:jc w:val="both"/>
      </w:pPr>
      <w:r>
        <w:rPr>
          <w:rFonts w:ascii="Times New Roman" w:hAnsi="Times New Roman"/>
          <w:sz w:val="20"/>
        </w:rPr>
        <w:t>• Hardware Driver Bridge Gap: In the current release, physical printer job dispatch requires manual trigger by staff from the dashboard, pending automated direct CUPS/IPP printer hardware integration.</w:t>
      </w:r>
    </w:p>
    <w:p>
      <w:pPr>
        <w:keepNext/>
        <w:spacing w:before="280" w:after="80"/>
      </w:pPr>
      <w:r>
        <w:rPr>
          <w:rFonts w:ascii="Times New Roman" w:hAnsi="Times New Roman"/>
          <w:b/>
          <w:color w:val="0F172A"/>
          <w:sz w:val="22"/>
        </w:rPr>
        <w:t>XIX.  FUTURE SCOPE AND ENHANCEMENTS</w:t>
      </w:r>
    </w:p>
    <w:p>
      <w:pPr>
        <w:spacing w:before="0" w:after="100" w:line="269" w:lineRule="auto"/>
        <w:jc w:val="both"/>
      </w:pPr>
      <w:r>
        <w:rPr>
          <w:rFonts w:ascii="Times New Roman" w:hAnsi="Times New Roman"/>
          <w:sz w:val="20"/>
        </w:rPr>
        <w:t>• Direct IoT Automated Printer Bridges: Implementing an on-premise Internet of Printing Protocol (IPP) or Common Unix Printing System (CUPS) daemon to stream documents directly from cloud storage to physical printer queues upon payment verification.</w:t>
      </w:r>
    </w:p>
    <w:p>
      <w:pPr>
        <w:spacing w:before="0" w:after="100" w:line="269" w:lineRule="auto"/>
        <w:jc w:val="both"/>
      </w:pPr>
      <w:r>
        <w:rPr>
          <w:rFonts w:ascii="Times New Roman" w:hAnsi="Times New Roman"/>
          <w:sz w:val="20"/>
        </w:rPr>
        <w:t>• Institutional RFID / NFC Smart Card Authentication: Integrating campus student identity cards (Mifare / Desfire) with card reader kiosks at the reprographic desk for self-service badge-and-release printing.</w:t>
      </w:r>
    </w:p>
    <w:p>
      <w:pPr>
        <w:spacing w:before="0" w:after="100" w:line="269" w:lineRule="auto"/>
        <w:jc w:val="both"/>
      </w:pPr>
      <w:r>
        <w:rPr>
          <w:rFonts w:ascii="Times New Roman" w:hAnsi="Times New Roman"/>
          <w:sz w:val="20"/>
        </w:rPr>
        <w:t>• Multi-Tenant Campus Reprographic Federation: Expanding the architectural schema to support multiple campus print kiosks, departmental copy centres, and institutional libraries with unified student balances.</w:t>
      </w:r>
    </w:p>
    <w:p>
      <w:pPr>
        <w:keepNext/>
        <w:spacing w:before="280" w:after="80"/>
      </w:pPr>
      <w:r>
        <w:rPr>
          <w:rFonts w:ascii="Times New Roman" w:hAnsi="Times New Roman"/>
          <w:b/>
          <w:color w:val="0F172A"/>
          <w:sz w:val="22"/>
        </w:rPr>
        <w:t>XX.  CONCLUSION</w:t>
      </w:r>
    </w:p>
    <w:p>
      <w:pPr>
        <w:spacing w:before="0" w:after="100" w:line="269" w:lineRule="auto"/>
        <w:jc w:val="both"/>
      </w:pPr>
      <w:r>
        <w:rPr>
          <w:rFonts w:ascii="Times New Roman" w:hAnsi="Times New Roman"/>
          <w:sz w:val="20"/>
        </w:rPr>
        <w:t>In this research, we designed, implemented, and empirically verified Xeroxic, a modern, cloud-native digital printing management system tailored for higher education institutions. By decoupling serverless compute from heavy binary document storage through a direct two-phase cloud offloading architecture, Xeroxic successfully circumvents traditional serverless request size limitations, effortlessly handling documents up to 50 MB. The integration of OWASP Top 10 security safeguards—including scrypt key derivation, timing-safe cryptographic comparisons, sliding-window rate limiters, and server-side HMAC-SHA256 Razorpay payment verification—guarantees robust protection against credential harvesting, IDOR spoofing, and transaction forgery. Validated through 75 comprehensive automated tests, Xeroxic provides an accessible, cost-effective, and scalable reprographic management platform that streamlines campus administrative workflows, eliminates physical congestion, and secures institutional data privacy.</w:t>
      </w:r>
    </w:p>
    <w:p>
      <w:pPr>
        <w:keepNext/>
        <w:spacing w:before="280" w:after="80"/>
      </w:pPr>
      <w:r>
        <w:rPr>
          <w:rFonts w:ascii="Times New Roman" w:hAnsi="Times New Roman"/>
          <w:b/>
          <w:color w:val="0F172A"/>
          <w:sz w:val="22"/>
        </w:rPr>
        <w:t>XXI.  REFERENCES</w:t>
      </w:r>
    </w:p>
    <w:p>
      <w:pPr>
        <w:spacing w:before="40" w:after="80" w:line="259" w:lineRule="auto"/>
        <w:ind w:left="504" w:hanging="504"/>
        <w:jc w:val="both"/>
      </w:pPr>
      <w:r>
        <w:rPr>
          <w:rFonts w:ascii="Times New Roman" w:hAnsi="Times New Roman"/>
          <w:sz w:val="17"/>
        </w:rPr>
        <w:t>[1] P. K. Sharma and R. K. Gupta, "Optimization of Reprographic Services and Paperless Workflows in Higher Educational Institutions," IEEE Transactions on Education, vol. 62, no. 3, pp. 214–221, Aug. 2019, doi: 10.1109/TE.2019.2905678.</w:t>
      </w:r>
    </w:p>
    <w:p>
      <w:pPr>
        <w:spacing w:before="40" w:after="80" w:line="259" w:lineRule="auto"/>
        <w:ind w:left="504" w:hanging="504"/>
        <w:jc w:val="both"/>
      </w:pPr>
      <w:r>
        <w:rPr>
          <w:rFonts w:ascii="Times New Roman" w:hAnsi="Times New Roman"/>
          <w:sz w:val="17"/>
        </w:rPr>
        <w:t>[2] S. K. Patel, "Smart Campus Initiatives: Streamlining Reprographic Queues Using Web-Enabled Distributed Printing Architectures," in Proc. IEEE Int. Conf. on Computational Intelligence and Computing Research (ICCIC), Dec. 2020, pp. 112–117.</w:t>
      </w:r>
    </w:p>
    <w:p>
      <w:pPr>
        <w:spacing w:before="40" w:after="80" w:line="259" w:lineRule="auto"/>
        <w:ind w:left="504" w:hanging="504"/>
        <w:jc w:val="both"/>
      </w:pPr>
      <w:r>
        <w:rPr>
          <w:rFonts w:ascii="Times New Roman" w:hAnsi="Times New Roman"/>
          <w:sz w:val="17"/>
        </w:rPr>
        <w:t>[3] M. Al-Saleh and F. Al-Haj, "Malware Propagation via Removable Storage Media in Institutional Workstations: An Empirical Threat Analysis," Computers &amp; Security, vol. 92, p. 101758, May 2020.</w:t>
      </w:r>
    </w:p>
    <w:p>
      <w:pPr>
        <w:spacing w:before="40" w:after="80" w:line="259" w:lineRule="auto"/>
        <w:ind w:left="504" w:hanging="504"/>
        <w:jc w:val="both"/>
      </w:pPr>
      <w:r>
        <w:rPr>
          <w:rFonts w:ascii="Times New Roman" w:hAnsi="Times New Roman"/>
          <w:sz w:val="17"/>
        </w:rPr>
        <w:t>[4] D. J. Watts and S. H. Strogatz, "Queueing Congestion and Wait-Time Dynamics at Academic Administrative Facilities," Journal of Operations Management, vol. 38, no. 4, pp. 301–315, 2021.</w:t>
      </w:r>
    </w:p>
    <w:p>
      <w:pPr>
        <w:spacing w:before="40" w:after="80" w:line="259" w:lineRule="auto"/>
        <w:ind w:left="504" w:hanging="504"/>
        <w:jc w:val="both"/>
      </w:pPr>
      <w:r>
        <w:rPr>
          <w:rFonts w:ascii="Times New Roman" w:hAnsi="Times New Roman"/>
          <w:sz w:val="17"/>
        </w:rPr>
        <w:t>[5] M. Baldini, P. Castro, K. Chang, P. Cheng, S. Fink, P. Ishakian, and R. Suter, "Serverless Computing: Current Trends and Open Problems," in Research Advances in Cloud Computing, Springer, 2017, pp. 1–20.</w:t>
      </w:r>
    </w:p>
    <w:p>
      <w:pPr>
        <w:spacing w:before="40" w:after="80" w:line="259" w:lineRule="auto"/>
        <w:ind w:left="504" w:hanging="504"/>
        <w:jc w:val="both"/>
      </w:pPr>
      <w:r>
        <w:rPr>
          <w:rFonts w:ascii="Times New Roman" w:hAnsi="Times New Roman"/>
          <w:sz w:val="17"/>
        </w:rPr>
        <w:t>[6] E. Jonas, J. Schleier-Smith, V. Sreekanti, C. C. Tsai, A. Khandelwal, Q. Pu, V. Shankar, J. M. Carreira, K. Krauth, N. Yadwadkar, J. E. Gonzalez, and I. Stoica, "Cloud Programming Simplified: A Berkeley View on Serverless Computing," arXiv preprint arXiv:1902.03383, 2019.</w:t>
      </w:r>
    </w:p>
    <w:p>
      <w:pPr>
        <w:spacing w:before="40" w:after="80" w:line="259" w:lineRule="auto"/>
        <w:ind w:left="504" w:hanging="504"/>
        <w:jc w:val="both"/>
      </w:pPr>
      <w:r>
        <w:rPr>
          <w:rFonts w:ascii="Times New Roman" w:hAnsi="Times New Roman"/>
          <w:sz w:val="17"/>
        </w:rPr>
        <w:t>[7] G. McGrath and P. R. Brenner, "Serverless Computing: Runtime Analysis and Performance Evaluation of Function-as-a-Service Systems," in Proc. IEEE 12th Int. Conf. on Cloud Computing (CLOUD), Milan, Italy, 2019, pp. 288–295.</w:t>
      </w:r>
    </w:p>
    <w:p>
      <w:pPr>
        <w:spacing w:before="40" w:after="80" w:line="259" w:lineRule="auto"/>
        <w:ind w:left="504" w:hanging="504"/>
        <w:jc w:val="both"/>
      </w:pPr>
      <w:r>
        <w:rPr>
          <w:rFonts w:ascii="Times New Roman" w:hAnsi="Times New Roman"/>
          <w:sz w:val="17"/>
        </w:rPr>
        <w:t>[8] J. Spillner, "Transformation of Web Applications into Scalable Microservices and Serverless Functions," IEEE Cloud Computing, vol. 4, no. 5, pp. 44–53, Sep. 2017.</w:t>
      </w:r>
    </w:p>
    <w:p>
      <w:pPr>
        <w:spacing w:before="40" w:after="80" w:line="259" w:lineRule="auto"/>
        <w:ind w:left="504" w:hanging="504"/>
        <w:jc w:val="both"/>
      </w:pPr>
      <w:r>
        <w:rPr>
          <w:rFonts w:ascii="Times New Roman" w:hAnsi="Times New Roman"/>
          <w:sz w:val="17"/>
        </w:rPr>
        <w:t>[9] B. Calder, J. Wang, A. Ogus, N. Nilakantan, N. Skjolsvold, S. McKelvie, Y. Xu, S. Srivastav, J. Wu, H. Simitci, and J. Ritz, "Windows Azure Storage: A Highly Available Cloud Storage Service with Strong Consistency," in Proc. 23rd ACM Symp. on Operating Systems Principles (SOSP), 2011, pp. 143–157.</w:t>
      </w:r>
    </w:p>
    <w:p>
      <w:pPr>
        <w:spacing w:before="40" w:after="80" w:line="259" w:lineRule="auto"/>
        <w:ind w:left="504" w:hanging="504"/>
        <w:jc w:val="both"/>
      </w:pPr>
      <w:r>
        <w:rPr>
          <w:rFonts w:ascii="Times New Roman" w:hAnsi="Times New Roman"/>
          <w:sz w:val="17"/>
        </w:rPr>
        <w:t>[10] Q. Wang, C. Wang, K. Ren, W. Lou, and J. Li, "Enabling Public Verifiability and Data Integrity for Storage Security in Cloud Computing," IEEE Transactions on Parallel and Distributed Systems, vol. 22, no. 5, pp. 847–859, May 2011.</w:t>
      </w:r>
    </w:p>
    <w:p>
      <w:pPr>
        <w:spacing w:before="40" w:after="80" w:line="259" w:lineRule="auto"/>
        <w:ind w:left="504" w:hanging="504"/>
        <w:jc w:val="both"/>
      </w:pPr>
      <w:r>
        <w:rPr>
          <w:rFonts w:ascii="Times New Roman" w:hAnsi="Times New Roman"/>
          <w:sz w:val="17"/>
        </w:rPr>
        <w:t>[11] T. Pornin, "Rainbow Tables and Password Hashing: Modern Defenses against Offline Cracking Attacks," IEEE Security &amp; Privacy, vol. 18, no. 1, pp. 62–67, Jan. 2020.</w:t>
      </w:r>
    </w:p>
    <w:p>
      <w:pPr>
        <w:spacing w:before="40" w:after="80" w:line="259" w:lineRule="auto"/>
        <w:ind w:left="504" w:hanging="504"/>
        <w:jc w:val="both"/>
      </w:pPr>
      <w:r>
        <w:rPr>
          <w:rFonts w:ascii="Times New Roman" w:hAnsi="Times New Roman"/>
          <w:sz w:val="17"/>
        </w:rPr>
        <w:t>[12] C. Percival, "Stronger Key Derivation via Sequential Memory-Hard Functions," BSDCan 2009 — The Technical BSD Conference, Ottawa, Canada, May 2009, pp. 1–16.</w:t>
      </w:r>
    </w:p>
    <w:p>
      <w:pPr>
        <w:spacing w:before="40" w:after="80" w:line="259" w:lineRule="auto"/>
        <w:ind w:left="504" w:hanging="504"/>
        <w:jc w:val="both"/>
      </w:pPr>
      <w:r>
        <w:rPr>
          <w:rFonts w:ascii="Times New Roman" w:hAnsi="Times New Roman"/>
          <w:sz w:val="17"/>
        </w:rPr>
        <w:t>[13] P. Kocher, J. Jaffe, and B. Jun, "Differential Power Analysis and Timing Attack Mitigation in Cryptographic Microarchitectures," in Advances in Cryptology — CRYPTO '99, Springer, Berlin, 1999, pp. 388–397.</w:t>
      </w:r>
    </w:p>
    <w:p>
      <w:pPr>
        <w:spacing w:before="40" w:after="80" w:line="259" w:lineRule="auto"/>
        <w:ind w:left="504" w:hanging="504"/>
        <w:jc w:val="both"/>
      </w:pPr>
      <w:r>
        <w:rPr>
          <w:rFonts w:ascii="Times New Roman" w:hAnsi="Times New Roman"/>
          <w:sz w:val="17"/>
        </w:rPr>
        <w:t>[14] N. Asokan, P. A. Janson, M. Steiner, and M. Waidner, "State of the Art in Electronic Payment Systems," Computer, vol. 30, no. 9, pp. 28–35, Sep. 1997, doi: 10.1109/2.612244.</w:t>
      </w:r>
    </w:p>
    <w:p>
      <w:pPr>
        <w:spacing w:before="40" w:after="80" w:line="259" w:lineRule="auto"/>
        <w:ind w:left="504" w:hanging="504"/>
        <w:jc w:val="both"/>
      </w:pPr>
      <w:r>
        <w:rPr>
          <w:rFonts w:ascii="Times New Roman" w:hAnsi="Times New Roman"/>
          <w:sz w:val="17"/>
        </w:rPr>
        <w:t>[15] M. Bellare, R. Canetti, and H. Krawczyk, "Keying Hash Functions for Message Authentication," in Advances in Cryptology — CRYPTO '96, Springer, Berlin, 1996, pp. 1–15.</w:t>
      </w:r>
    </w:p>
    <w:p>
      <w:pPr>
        <w:spacing w:before="40" w:after="80" w:line="259" w:lineRule="auto"/>
        <w:ind w:left="504" w:hanging="504"/>
        <w:jc w:val="both"/>
      </w:pPr>
      <w:r>
        <w:rPr>
          <w:rFonts w:ascii="Times New Roman" w:hAnsi="Times New Roman"/>
          <w:sz w:val="17"/>
        </w:rPr>
        <w:t>[16] OWASP Foundation, "OWASP Top 10: 2021 The Ten Most Critical Web Application Security Risks," Open Web Application Security Project, Tech. Rep., Oct. 2021. [Online]. Available: https://owasp.org/Top10/</w:t>
      </w:r>
    </w:p>
    <w:p>
      <w:pPr>
        <w:spacing w:before="40" w:after="80" w:line="259" w:lineRule="auto"/>
        <w:ind w:left="504" w:hanging="504"/>
        <w:jc w:val="both"/>
      </w:pPr>
      <w:r>
        <w:rPr>
          <w:rFonts w:ascii="Times New Roman" w:hAnsi="Times New Roman"/>
          <w:sz w:val="17"/>
        </w:rPr>
        <w:t>[17] A. Fox, D. Patterson, and R. Katz, "Reliable, Scalable, and Decoupled Web System Architectures for Cloud Services," IEEE Internet Computing, vol. 13, no. 5, pp. 49–59, Oct. 2009.</w:t>
      </w:r>
    </w:p>
    <w:p>
      <w:pPr>
        <w:spacing w:before="40" w:after="80" w:line="259" w:lineRule="auto"/>
        <w:ind w:left="504" w:hanging="504"/>
        <w:jc w:val="both"/>
      </w:pPr>
      <w:r>
        <w:rPr>
          <w:rFonts w:ascii="Times New Roman" w:hAnsi="Times New Roman"/>
          <w:sz w:val="17"/>
        </w:rPr>
        <w:t>[18] K. Chodorow, MongoDB: The Definitive Guide — Powerful and Scalable Data Storage, 3rd ed., O'Reilly Media, Sebastopol, CA, 2020.</w:t>
      </w:r>
    </w:p>
    <w:p>
      <w:pPr>
        <w:spacing w:before="40" w:after="80" w:line="259" w:lineRule="auto"/>
        <w:ind w:left="504" w:hanging="504"/>
        <w:jc w:val="both"/>
      </w:pPr>
      <w:r>
        <w:rPr>
          <w:rFonts w:ascii="Times New Roman" w:hAnsi="Times New Roman"/>
          <w:sz w:val="17"/>
        </w:rPr>
        <w:t>[19] M. Howard and D. LeBlanc, Writing Secure Code: Practical Strategies and Techniques for Secure Applications, 2nd ed., Microsoft Press, Redmond, WA, 2003.</w:t>
      </w:r>
    </w:p>
    <w:p>
      <w:pPr>
        <w:spacing w:before="40" w:after="80" w:line="259" w:lineRule="auto"/>
        <w:ind w:left="504" w:hanging="504"/>
        <w:jc w:val="both"/>
      </w:pPr>
      <w:r>
        <w:rPr>
          <w:rFonts w:ascii="Times New Roman" w:hAnsi="Times New Roman"/>
          <w:sz w:val="17"/>
        </w:rPr>
        <w:t>[20] RFC 7519, "JSON Web Token (JWT) Architecture and Verification Profiles," Internet Engineering Task Force (IETF), May 2015.</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