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6DBDA" w14:textId="1A7D22E3" w:rsidR="00B31DAD" w:rsidRDefault="00512129">
      <w:r>
        <w:rPr>
          <w:rFonts w:hint="eastAsia"/>
        </w:rPr>
        <w:t>3</w:t>
      </w:r>
      <w:r>
        <w:t xml:space="preserve">. </w:t>
      </w:r>
      <w:r>
        <w:rPr>
          <w:rFonts w:hint="eastAsia"/>
        </w:rPr>
        <w:t>固定音高乐器和非固定音高</w:t>
      </w:r>
    </w:p>
    <w:p w14:paraId="4DB027D2" w14:textId="39C00E57" w:rsidR="00512129" w:rsidRDefault="00512129">
      <w:r>
        <w:t>3.</w:t>
      </w:r>
      <w:r>
        <w:rPr>
          <w:rFonts w:hint="eastAsia"/>
        </w:rPr>
        <w:t>1</w:t>
      </w:r>
      <w:r>
        <w:t xml:space="preserve"> </w:t>
      </w:r>
      <w:r w:rsidR="009E0C7B">
        <w:rPr>
          <w:rFonts w:hint="eastAsia"/>
        </w:rPr>
        <w:t>固定音高与非固定音高乐器简述</w:t>
      </w:r>
    </w:p>
    <w:p w14:paraId="0950854D" w14:textId="38117416" w:rsidR="009E0C7B" w:rsidRDefault="009E0C7B" w:rsidP="009E0C7B">
      <w:pPr>
        <w:ind w:firstLine="420"/>
        <w:rPr>
          <w:rFonts w:ascii="Arial" w:hAnsi="Arial" w:cs="Arial"/>
          <w:color w:val="333333"/>
          <w:sz w:val="20"/>
          <w:szCs w:val="20"/>
          <w:shd w:val="clear" w:color="auto" w:fill="FFFFFF"/>
        </w:rPr>
      </w:pPr>
      <w:r>
        <w:rPr>
          <w:rFonts w:hint="eastAsia"/>
        </w:rPr>
        <w:t>固定音高乐器的音高是通过不同方法实现的，例如</w:t>
      </w:r>
      <w:proofErr w:type="gramStart"/>
      <w:r>
        <w:rPr>
          <w:rFonts w:ascii="Arial" w:hAnsi="Arial" w:cs="Arial"/>
          <w:color w:val="333333"/>
          <w:sz w:val="20"/>
          <w:szCs w:val="20"/>
          <w:shd w:val="clear" w:color="auto" w:fill="FFFFFF"/>
        </w:rPr>
        <w:t>膜鸣类</w:t>
      </w:r>
      <w:proofErr w:type="gramEnd"/>
      <w:r>
        <w:rPr>
          <w:rFonts w:ascii="Arial" w:hAnsi="Arial" w:cs="Arial" w:hint="eastAsia"/>
          <w:color w:val="333333"/>
          <w:sz w:val="20"/>
          <w:szCs w:val="20"/>
          <w:shd w:val="clear" w:color="auto" w:fill="FFFFFF"/>
        </w:rPr>
        <w:t>乐器可以通过改变被撞击表面的张力来实现；木槌打击乐器通过改变自身密度，尺寸等物理性质来调节不同音高；而对于其它打击乐器则可以通过控制空气的改变量从而达到控制音高的目的。</w:t>
      </w:r>
    </w:p>
    <w:p w14:paraId="076B3D0B" w14:textId="7A2070E9" w:rsidR="009E0C7B" w:rsidRDefault="009E0C7B" w:rsidP="009E0C7B">
      <w:pPr>
        <w:ind w:firstLine="420"/>
      </w:pPr>
      <w:r>
        <w:rPr>
          <w:rFonts w:hint="eastAsia"/>
        </w:rPr>
        <w:t>而对于非调音的打击乐器，例如</w:t>
      </w:r>
      <w:r w:rsidR="00A93429">
        <w:rPr>
          <w:rFonts w:hint="eastAsia"/>
        </w:rPr>
        <w:t>小鼓</w:t>
      </w:r>
      <w:r>
        <w:rPr>
          <w:rFonts w:hint="eastAsia"/>
        </w:rPr>
        <w:t>，其通过演奏者进行调音，但这种调音与特定的音高无关。</w:t>
      </w:r>
    </w:p>
    <w:p w14:paraId="49988DBC" w14:textId="2A6A8A3A" w:rsidR="00736652" w:rsidRDefault="00736652" w:rsidP="009E0C7B">
      <w:pPr>
        <w:ind w:firstLine="420"/>
      </w:pPr>
      <w:r>
        <w:rPr>
          <w:rFonts w:hint="eastAsia"/>
        </w:rPr>
        <w:t>非固定音高打击乐器通常情况下</w:t>
      </w:r>
      <w:r w:rsidR="00301030">
        <w:rPr>
          <w:rFonts w:hint="eastAsia"/>
        </w:rPr>
        <w:t>在乐队中由于节奏强调，其声音与音乐的旋律无关。在管弦乐团内，非固定音高打击乐器被成为辅助打击乐器，典型的例子是小鼓，它被成为非固定音高乐器原因有三点：</w:t>
      </w:r>
    </w:p>
    <w:p w14:paraId="5445AE1B" w14:textId="7A9BFDA8" w:rsidR="00301030" w:rsidRDefault="00301030" w:rsidP="00301030">
      <w:pPr>
        <w:pStyle w:val="a9"/>
        <w:numPr>
          <w:ilvl w:val="0"/>
          <w:numId w:val="3"/>
        </w:numPr>
        <w:ind w:firstLineChars="0"/>
      </w:pPr>
      <w:r>
        <w:rPr>
          <w:rFonts w:hint="eastAsia"/>
        </w:rPr>
        <w:t>小鼓产生的声音类似于覆盖了一定频率的白噪声</w:t>
      </w:r>
    </w:p>
    <w:p w14:paraId="79E2336A" w14:textId="2A6C8C98" w:rsidR="00301030" w:rsidRDefault="00301030" w:rsidP="00301030">
      <w:pPr>
        <w:pStyle w:val="a9"/>
        <w:numPr>
          <w:ilvl w:val="0"/>
          <w:numId w:val="3"/>
        </w:numPr>
        <w:ind w:firstLineChars="0"/>
      </w:pPr>
      <w:proofErr w:type="gramStart"/>
      <w:r>
        <w:rPr>
          <w:rFonts w:hint="eastAsia"/>
        </w:rPr>
        <w:t>鼓头产生</w:t>
      </w:r>
      <w:proofErr w:type="gramEnd"/>
      <w:r>
        <w:rPr>
          <w:rFonts w:hint="eastAsia"/>
        </w:rPr>
        <w:t>了不和谐的声音</w:t>
      </w:r>
    </w:p>
    <w:p w14:paraId="215A6169" w14:textId="38B486AC" w:rsidR="00301030" w:rsidRDefault="00301030" w:rsidP="00301030">
      <w:pPr>
        <w:pStyle w:val="a9"/>
        <w:numPr>
          <w:ilvl w:val="0"/>
          <w:numId w:val="3"/>
        </w:numPr>
        <w:ind w:firstLineChars="0"/>
      </w:pPr>
      <w:r>
        <w:rPr>
          <w:rFonts w:hint="eastAsia"/>
        </w:rPr>
        <w:t>小鼓产生声音的最强频率与其他乐器的音调无关</w:t>
      </w:r>
    </w:p>
    <w:p w14:paraId="009F5838" w14:textId="4F7674D6" w:rsidR="00301030" w:rsidRDefault="00301030" w:rsidP="00301030">
      <w:pPr>
        <w:ind w:left="420"/>
      </w:pPr>
      <w:r>
        <w:rPr>
          <w:rFonts w:hint="eastAsia"/>
        </w:rPr>
        <w:t>因此可以归纳一</w:t>
      </w:r>
      <w:r w:rsidR="009470AA">
        <w:rPr>
          <w:rFonts w:hint="eastAsia"/>
        </w:rPr>
        <w:t>种声音作为</w:t>
      </w:r>
      <w:r>
        <w:rPr>
          <w:rFonts w:hint="eastAsia"/>
        </w:rPr>
        <w:t>非固定音高</w:t>
      </w:r>
      <w:r w:rsidR="009470AA">
        <w:rPr>
          <w:rFonts w:hint="eastAsia"/>
        </w:rPr>
        <w:t>的</w:t>
      </w:r>
      <w:r>
        <w:rPr>
          <w:rFonts w:hint="eastAsia"/>
        </w:rPr>
        <w:t>主要特征：</w:t>
      </w:r>
    </w:p>
    <w:p w14:paraId="51D0AFC7" w14:textId="56E49AC2" w:rsidR="00301030" w:rsidRDefault="009470AA" w:rsidP="00301030">
      <w:pPr>
        <w:pStyle w:val="a9"/>
        <w:numPr>
          <w:ilvl w:val="0"/>
          <w:numId w:val="4"/>
        </w:numPr>
        <w:ind w:firstLineChars="0"/>
      </w:pPr>
      <w:r>
        <w:rPr>
          <w:rFonts w:hint="eastAsia"/>
        </w:rPr>
        <w:t>声音缺少大量能够产生音高的基本频率，例如噪音</w:t>
      </w:r>
    </w:p>
    <w:p w14:paraId="1B11F7B8" w14:textId="44FADB1F" w:rsidR="009470AA" w:rsidRDefault="009470AA" w:rsidP="00301030">
      <w:pPr>
        <w:pStyle w:val="a9"/>
        <w:numPr>
          <w:ilvl w:val="0"/>
          <w:numId w:val="4"/>
        </w:numPr>
        <w:ind w:firstLineChars="0"/>
      </w:pPr>
      <w:r>
        <w:rPr>
          <w:rFonts w:hint="eastAsia"/>
        </w:rPr>
        <w:t>声音不和谐，是声音的混合，包含一些频率不成比率的泛音。相比之下，振动弦的泛音成简单的整数</w:t>
      </w:r>
      <w:proofErr w:type="gramStart"/>
      <w:r>
        <w:rPr>
          <w:rFonts w:hint="eastAsia"/>
        </w:rPr>
        <w:t>倍</w:t>
      </w:r>
      <w:proofErr w:type="gramEnd"/>
      <w:r>
        <w:rPr>
          <w:rFonts w:hint="eastAsia"/>
        </w:rPr>
        <w:t>。</w:t>
      </w:r>
    </w:p>
    <w:p w14:paraId="36B91FC2" w14:textId="1DE6FEC4" w:rsidR="009470AA" w:rsidRDefault="009470AA" w:rsidP="00301030">
      <w:pPr>
        <w:pStyle w:val="a9"/>
        <w:numPr>
          <w:ilvl w:val="0"/>
          <w:numId w:val="4"/>
        </w:numPr>
        <w:ind w:firstLineChars="0"/>
      </w:pPr>
      <w:r>
        <w:rPr>
          <w:rFonts w:hint="eastAsia"/>
        </w:rPr>
        <w:t>虽然能够听出相对音高，但</w:t>
      </w:r>
      <w:r>
        <w:rPr>
          <w:rFonts w:hint="eastAsia"/>
        </w:rPr>
        <w:t>基本频率在音乐中与其他的</w:t>
      </w:r>
      <w:r>
        <w:rPr>
          <w:rFonts w:hint="eastAsia"/>
        </w:rPr>
        <w:t>乐器</w:t>
      </w:r>
      <w:r>
        <w:rPr>
          <w:rFonts w:hint="eastAsia"/>
        </w:rPr>
        <w:t>声音无关</w:t>
      </w:r>
      <w:r>
        <w:rPr>
          <w:rFonts w:hint="eastAsia"/>
        </w:rPr>
        <w:t>。</w:t>
      </w:r>
    </w:p>
    <w:p w14:paraId="1ABF9E35" w14:textId="41C89070" w:rsidR="005F4F3A" w:rsidRDefault="005F4F3A" w:rsidP="005F4F3A">
      <w:pPr>
        <w:ind w:firstLineChars="200" w:firstLine="420"/>
      </w:pPr>
      <w:r>
        <w:rPr>
          <w:rFonts w:hint="eastAsia"/>
        </w:rPr>
        <w:t>然而，对于很多非固定音高的打击乐器，却也能够产生可辨识基本频率的声音，因此有时也可以作为确定音高的打击乐器。例如用普通的鼓槌演奏出的鼓声是非确定音高的，但使用定音鼓和定音鼓槌演奏的却是确定音高的。</w:t>
      </w:r>
    </w:p>
    <w:p w14:paraId="4659ECC2" w14:textId="53E337EC" w:rsidR="003E1AFE" w:rsidRDefault="003E1AFE" w:rsidP="005F4F3A">
      <w:pPr>
        <w:ind w:firstLineChars="200" w:firstLine="420"/>
        <w:rPr>
          <w:rFonts w:hint="eastAsia"/>
        </w:rPr>
      </w:pPr>
      <w:r>
        <w:rPr>
          <w:rFonts w:hint="eastAsia"/>
        </w:rPr>
        <w:t>相应的，某些固定音高乐器也能够产生非固定音高，例如一个故意在琴弦上放置了物品的钢琴</w:t>
      </w:r>
      <w:r w:rsidR="009E7880">
        <w:rPr>
          <w:rFonts w:hint="eastAsia"/>
        </w:rPr>
        <w:t>，或者</w:t>
      </w:r>
      <w:r w:rsidR="004D071D">
        <w:rPr>
          <w:rFonts w:hint="eastAsia"/>
        </w:rPr>
        <w:t>应用</w:t>
      </w:r>
      <w:r w:rsidR="004D071D">
        <w:rPr>
          <w:rFonts w:ascii="Arial" w:hAnsi="Arial" w:cs="Arial"/>
          <w:color w:val="202122"/>
          <w:szCs w:val="21"/>
          <w:shd w:val="clear" w:color="auto" w:fill="FFFFFF"/>
        </w:rPr>
        <w:t>Golpe</w:t>
      </w:r>
      <w:r w:rsidR="004D071D">
        <w:rPr>
          <w:rFonts w:hint="eastAsia"/>
        </w:rPr>
        <w:t>技术的费拉明戈音乐</w:t>
      </w:r>
    </w:p>
    <w:p w14:paraId="70BE5F2D" w14:textId="0E5E69CD" w:rsidR="009470AA" w:rsidRDefault="005F4F3A" w:rsidP="005F4F3A">
      <w:pPr>
        <w:ind w:firstLineChars="200" w:firstLine="420"/>
        <w:rPr>
          <w:rFonts w:hint="eastAsia"/>
        </w:rPr>
      </w:pPr>
      <w:r>
        <w:rPr>
          <w:rFonts w:hint="eastAsia"/>
        </w:rPr>
        <w:t>可以看出，二者其实并没有明确的界线。</w:t>
      </w:r>
    </w:p>
    <w:p w14:paraId="325B37FC" w14:textId="205308D2" w:rsidR="00A93429" w:rsidRDefault="00D20301" w:rsidP="00D20301">
      <w:pPr>
        <w:jc w:val="center"/>
      </w:pPr>
      <w:r>
        <w:rPr>
          <w:noProof/>
        </w:rPr>
        <w:drawing>
          <wp:inline distT="0" distB="0" distL="0" distR="0" wp14:anchorId="657D94F0" wp14:editId="4CE24A8E">
            <wp:extent cx="3619500" cy="14713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9682" cy="1479581"/>
                    </a:xfrm>
                    <a:prstGeom prst="rect">
                      <a:avLst/>
                    </a:prstGeom>
                    <a:noFill/>
                    <a:ln>
                      <a:noFill/>
                    </a:ln>
                  </pic:spPr>
                </pic:pic>
              </a:graphicData>
            </a:graphic>
          </wp:inline>
        </w:drawing>
      </w:r>
    </w:p>
    <w:p w14:paraId="2C8634F6" w14:textId="52F03B21" w:rsidR="00D20301" w:rsidRDefault="00D20301" w:rsidP="00D20301">
      <w:pPr>
        <w:jc w:val="center"/>
        <w:rPr>
          <w:rFonts w:hint="eastAsia"/>
        </w:rPr>
      </w:pPr>
      <w:r>
        <w:rPr>
          <w:rFonts w:hint="eastAsia"/>
        </w:rPr>
        <w:t>三种介于固定音高和非固定音高之间的乐器</w:t>
      </w:r>
      <w:bookmarkStart w:id="0" w:name="_GoBack"/>
      <w:bookmarkEnd w:id="0"/>
    </w:p>
    <w:p w14:paraId="386E4C27" w14:textId="77777777" w:rsidR="00D20301" w:rsidRDefault="00D20301" w:rsidP="00A93429">
      <w:pPr>
        <w:rPr>
          <w:rFonts w:hint="eastAsia"/>
        </w:rPr>
      </w:pPr>
    </w:p>
    <w:p w14:paraId="688790D6" w14:textId="4A79DA5F" w:rsidR="00A93429" w:rsidRDefault="00A93429" w:rsidP="00A93429">
      <w:r>
        <w:rPr>
          <w:rFonts w:hint="eastAsia"/>
        </w:rPr>
        <w:t>3</w:t>
      </w:r>
      <w:r>
        <w:t xml:space="preserve">.2 </w:t>
      </w:r>
      <w:r>
        <w:rPr>
          <w:rFonts w:hint="eastAsia"/>
        </w:rPr>
        <w:t>乐器分类：</w:t>
      </w:r>
    </w:p>
    <w:p w14:paraId="3FBB54B7" w14:textId="2DAD95D7" w:rsidR="00A93429" w:rsidRDefault="00A93429" w:rsidP="00A93429">
      <w:pPr>
        <w:ind w:firstLine="420"/>
      </w:pPr>
      <w:r>
        <w:rPr>
          <w:rFonts w:hint="eastAsia"/>
        </w:rPr>
        <w:t>固定音高乐器：一部分打击乐器，如定音鼓，钟琴；</w:t>
      </w:r>
      <w:r>
        <w:rPr>
          <w:rFonts w:ascii="Arial" w:hAnsi="Arial" w:cs="Arial" w:hint="eastAsia"/>
          <w:color w:val="333333"/>
          <w:sz w:val="20"/>
          <w:szCs w:val="20"/>
          <w:shd w:val="clear" w:color="auto" w:fill="FFFFFF"/>
        </w:rPr>
        <w:t>木槌打击乐器，如钟琴，钟音条；键盘类乐器，如管钟；可以产生不同音高的旋律打击乐器。</w:t>
      </w:r>
    </w:p>
    <w:p w14:paraId="054C4D52" w14:textId="02A1EDE6" w:rsidR="00A93429" w:rsidRDefault="00A93429" w:rsidP="00A93429">
      <w:pPr>
        <w:ind w:firstLine="420"/>
      </w:pPr>
      <w:r>
        <w:rPr>
          <w:rFonts w:hint="eastAsia"/>
        </w:rPr>
        <w:t>非固定音高乐器：一部分打击乐器，如小鼓</w:t>
      </w:r>
    </w:p>
    <w:p w14:paraId="0F61F7DF" w14:textId="60B1E9F9" w:rsidR="00A93429" w:rsidRDefault="00A93429" w:rsidP="00A93429">
      <w:pPr>
        <w:ind w:firstLine="420"/>
      </w:pPr>
      <w:r>
        <w:rPr>
          <w:rFonts w:hint="eastAsia"/>
        </w:rPr>
        <w:t>有时可用于固定音高乐器，有时用于非固定音高：钟类乐器</w:t>
      </w:r>
      <w:r w:rsidR="00FA397E">
        <w:rPr>
          <w:rFonts w:hint="eastAsia"/>
        </w:rPr>
        <w:t>，例如林肯大教堂上的两个非固定音高钟和一个固定音高钟。</w:t>
      </w:r>
    </w:p>
    <w:p w14:paraId="0BA31D2F" w14:textId="237742F5" w:rsidR="003B2087" w:rsidRDefault="003B2087" w:rsidP="00A93429">
      <w:pPr>
        <w:ind w:firstLine="420"/>
      </w:pPr>
    </w:p>
    <w:p w14:paraId="315078C9" w14:textId="6C39BF20" w:rsidR="00736652" w:rsidRDefault="00736652" w:rsidP="00736652">
      <w:pPr>
        <w:ind w:firstLine="420"/>
        <w:jc w:val="center"/>
      </w:pPr>
      <w:r>
        <w:rPr>
          <w:rFonts w:hint="eastAsia"/>
        </w:rPr>
        <w:t>表</w:t>
      </w:r>
      <w:r>
        <w:rPr>
          <w:rFonts w:hint="eastAsia"/>
        </w:rPr>
        <w:t xml:space="preserve"> </w:t>
      </w:r>
      <w:r>
        <w:rPr>
          <w:rFonts w:hint="eastAsia"/>
        </w:rPr>
        <w:t>固定音高与非固定音高打击乐器</w:t>
      </w:r>
    </w:p>
    <w:tbl>
      <w:tblPr>
        <w:tblStyle w:val="1"/>
        <w:tblW w:w="0" w:type="auto"/>
        <w:jc w:val="center"/>
        <w:tblLook w:val="04A0" w:firstRow="1" w:lastRow="0" w:firstColumn="1" w:lastColumn="0" w:noHBand="0" w:noVBand="1"/>
      </w:tblPr>
      <w:tblGrid>
        <w:gridCol w:w="2122"/>
        <w:gridCol w:w="6174"/>
      </w:tblGrid>
      <w:tr w:rsidR="006A5E9B" w14:paraId="4ABFCB2E" w14:textId="77777777" w:rsidTr="003B20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8287B49" w14:textId="74B79CB3" w:rsidR="006A5E9B" w:rsidRDefault="006A5E9B" w:rsidP="003B2087">
            <w:pPr>
              <w:jc w:val="center"/>
            </w:pPr>
            <w:r>
              <w:rPr>
                <w:rFonts w:hint="eastAsia"/>
              </w:rPr>
              <w:t>P</w:t>
            </w:r>
            <w:r>
              <w:t>itched percussion</w:t>
            </w:r>
          </w:p>
        </w:tc>
        <w:tc>
          <w:tcPr>
            <w:tcW w:w="6174" w:type="dxa"/>
            <w:vAlign w:val="center"/>
          </w:tcPr>
          <w:p w14:paraId="540E7C34" w14:textId="24BA0E96" w:rsidR="006A5E9B" w:rsidRPr="006A5E9B" w:rsidRDefault="006A5E9B" w:rsidP="00A93429">
            <w:pPr>
              <w:widowControl/>
              <w:numPr>
                <w:ilvl w:val="0"/>
                <w:numId w:val="1"/>
              </w:numPr>
              <w:shd w:val="clear" w:color="auto" w:fill="FDFDFD"/>
              <w:ind w:left="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b w:val="0"/>
                <w:color w:val="202122"/>
                <w:kern w:val="0"/>
                <w:sz w:val="18"/>
                <w:szCs w:val="18"/>
              </w:rPr>
            </w:pPr>
            <w:r w:rsidRPr="006A5E9B">
              <w:rPr>
                <w:rFonts w:ascii="Arial" w:eastAsia="宋体" w:hAnsi="Arial" w:cs="Arial"/>
                <w:b w:val="0"/>
                <w:color w:val="202122"/>
                <w:kern w:val="0"/>
                <w:sz w:val="18"/>
                <w:szCs w:val="18"/>
              </w:rPr>
              <w:t>Angklung</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Balafon</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Carillon</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Crotales</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Glockenspiel</w:t>
            </w:r>
            <w:r w:rsidRPr="006A5E9B">
              <w:rPr>
                <w:rFonts w:ascii="Arial" w:eastAsia="宋体" w:hAnsi="Arial" w:cs="Arial" w:hint="eastAsia"/>
                <w:b w:val="0"/>
                <w:color w:val="202122"/>
                <w:kern w:val="0"/>
                <w:sz w:val="18"/>
                <w:szCs w:val="18"/>
              </w:rPr>
              <w:t>，</w:t>
            </w:r>
            <w:proofErr w:type="spellStart"/>
            <w:r w:rsidRPr="006A5E9B">
              <w:rPr>
                <w:rFonts w:ascii="Arial" w:eastAsia="宋体" w:hAnsi="Arial" w:cs="Arial"/>
                <w:b w:val="0"/>
                <w:color w:val="202122"/>
                <w:kern w:val="0"/>
                <w:sz w:val="18"/>
                <w:szCs w:val="18"/>
              </w:rPr>
              <w:t>Gubal</w:t>
            </w:r>
            <w:proofErr w:type="spellEnd"/>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Handbell</w:t>
            </w:r>
            <w:r w:rsidRPr="006A5E9B">
              <w:rPr>
                <w:rFonts w:ascii="Arial" w:eastAsia="宋体" w:hAnsi="Arial" w:cs="Arial" w:hint="eastAsia"/>
                <w:b w:val="0"/>
                <w:color w:val="202122"/>
                <w:kern w:val="0"/>
                <w:sz w:val="18"/>
                <w:szCs w:val="18"/>
              </w:rPr>
              <w:t>，</w:t>
            </w:r>
            <w:proofErr w:type="spellStart"/>
            <w:r w:rsidRPr="006A5E9B">
              <w:rPr>
                <w:rFonts w:ascii="Arial" w:eastAsia="宋体" w:hAnsi="Arial" w:cs="Arial"/>
                <w:b w:val="0"/>
                <w:color w:val="202122"/>
                <w:kern w:val="0"/>
                <w:sz w:val="18"/>
                <w:szCs w:val="18"/>
              </w:rPr>
              <w:t>Handchime</w:t>
            </w:r>
            <w:proofErr w:type="spellEnd"/>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Hang</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Marimba</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 xml:space="preserve">Marimbaphone (Steel </w:t>
            </w:r>
            <w:r w:rsidRPr="006A5E9B">
              <w:rPr>
                <w:rFonts w:ascii="Arial" w:eastAsia="宋体" w:hAnsi="Arial" w:cs="Arial"/>
                <w:b w:val="0"/>
                <w:color w:val="202122"/>
                <w:kern w:val="0"/>
                <w:sz w:val="18"/>
                <w:szCs w:val="18"/>
              </w:rPr>
              <w:lastRenderedPageBreak/>
              <w:t>Marimba)</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Song bells</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Steelpan</w:t>
            </w:r>
            <w:r w:rsidRPr="006A5E9B">
              <w:rPr>
                <w:rFonts w:ascii="Arial" w:eastAsia="宋体" w:hAnsi="Arial" w:cs="Arial" w:hint="eastAsia"/>
                <w:b w:val="0"/>
                <w:color w:val="202122"/>
                <w:kern w:val="0"/>
                <w:sz w:val="18"/>
                <w:szCs w:val="18"/>
              </w:rPr>
              <w:t>，</w:t>
            </w:r>
            <w:proofErr w:type="spellStart"/>
            <w:r w:rsidRPr="006A5E9B">
              <w:rPr>
                <w:rFonts w:ascii="Arial" w:eastAsia="宋体" w:hAnsi="Arial" w:cs="Arial"/>
                <w:b w:val="0"/>
                <w:color w:val="202122"/>
                <w:kern w:val="0"/>
                <w:sz w:val="18"/>
                <w:szCs w:val="18"/>
              </w:rPr>
              <w:t>Tabla</w:t>
            </w:r>
            <w:proofErr w:type="spellEnd"/>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 xml:space="preserve">Timpani </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Tubular bells</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Vibraphone</w:t>
            </w:r>
            <w:r w:rsidRPr="006A5E9B">
              <w:rPr>
                <w:rFonts w:ascii="Arial" w:eastAsia="宋体" w:hAnsi="Arial" w:cs="Arial" w:hint="eastAsia"/>
                <w:b w:val="0"/>
                <w:color w:val="202122"/>
                <w:kern w:val="0"/>
                <w:sz w:val="18"/>
                <w:szCs w:val="18"/>
              </w:rPr>
              <w:t>，</w:t>
            </w:r>
            <w:r w:rsidRPr="006A5E9B">
              <w:rPr>
                <w:rFonts w:ascii="Arial" w:eastAsia="宋体" w:hAnsi="Arial" w:cs="Arial"/>
                <w:b w:val="0"/>
                <w:color w:val="202122"/>
                <w:kern w:val="0"/>
                <w:sz w:val="18"/>
                <w:szCs w:val="18"/>
              </w:rPr>
              <w:t>Xylophone</w:t>
            </w:r>
          </w:p>
        </w:tc>
      </w:tr>
      <w:tr w:rsidR="006A5E9B" w14:paraId="08595ED5" w14:textId="77777777" w:rsidTr="003B20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AE279F4" w14:textId="1BFB75D3" w:rsidR="006A5E9B" w:rsidRDefault="006A5E9B" w:rsidP="003B2087">
            <w:pPr>
              <w:jc w:val="center"/>
            </w:pPr>
            <w:r>
              <w:rPr>
                <w:rFonts w:hint="eastAsia"/>
              </w:rPr>
              <w:lastRenderedPageBreak/>
              <w:t>U</w:t>
            </w:r>
            <w:r>
              <w:t>npitched percussion</w:t>
            </w:r>
          </w:p>
        </w:tc>
        <w:tc>
          <w:tcPr>
            <w:tcW w:w="6174" w:type="dxa"/>
            <w:vAlign w:val="center"/>
          </w:tcPr>
          <w:p w14:paraId="1D6D621B" w14:textId="4D23C924" w:rsidR="006A5E9B" w:rsidRDefault="006A5E9B" w:rsidP="00A93429">
            <w:pPr>
              <w:cnfStyle w:val="000000100000" w:firstRow="0" w:lastRow="0" w:firstColumn="0" w:lastColumn="0" w:oddVBand="0" w:evenVBand="0" w:oddHBand="1" w:evenHBand="0" w:firstRowFirstColumn="0" w:firstRowLastColumn="0" w:lastRowFirstColumn="0" w:lastRowLastColumn="0"/>
            </w:pPr>
            <w:proofErr w:type="spellStart"/>
            <w:r w:rsidRPr="006A5E9B">
              <w:rPr>
                <w:rFonts w:ascii="Arial" w:eastAsia="宋体" w:hAnsi="Arial" w:cs="Arial"/>
                <w:color w:val="202122"/>
                <w:kern w:val="0"/>
                <w:sz w:val="18"/>
                <w:szCs w:val="18"/>
              </w:rPr>
              <w:t>Afoxé</w:t>
            </w:r>
            <w:proofErr w:type="spellEnd"/>
            <w:r>
              <w:rPr>
                <w:rFonts w:ascii="Arial" w:eastAsia="宋体" w:hAnsi="Arial" w:cs="Arial" w:hint="eastAsia"/>
                <w:color w:val="202122"/>
                <w:kern w:val="0"/>
                <w:sz w:val="18"/>
                <w:szCs w:val="18"/>
              </w:rPr>
              <w:t>，</w:t>
            </w:r>
            <w:proofErr w:type="spellStart"/>
            <w:r w:rsidRPr="006A5E9B">
              <w:rPr>
                <w:rFonts w:ascii="Arial" w:eastAsia="宋体" w:hAnsi="Arial" w:cs="Arial"/>
                <w:color w:val="202122"/>
                <w:kern w:val="0"/>
                <w:sz w:val="18"/>
                <w:szCs w:val="18"/>
              </w:rPr>
              <w:t>Agogô</w:t>
            </w:r>
            <w:proofErr w:type="spellEnd"/>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Agung</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Babendil</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Bass drum</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Bell tree</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 xml:space="preserve">Bodhrán </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Bongo drum</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Cabasa</w:t>
            </w:r>
            <w:r>
              <w:rPr>
                <w:rFonts w:ascii="Arial" w:eastAsia="宋体" w:hAnsi="Arial" w:cs="Arial" w:hint="eastAsia"/>
                <w:color w:val="202122"/>
                <w:kern w:val="0"/>
                <w:sz w:val="18"/>
                <w:szCs w:val="18"/>
              </w:rPr>
              <w:t>，</w:t>
            </w:r>
            <w:proofErr w:type="spellStart"/>
            <w:r w:rsidRPr="006A5E9B">
              <w:rPr>
                <w:rFonts w:ascii="Arial" w:eastAsia="宋体" w:hAnsi="Arial" w:cs="Arial"/>
                <w:color w:val="202122"/>
                <w:kern w:val="0"/>
                <w:sz w:val="18"/>
                <w:szCs w:val="18"/>
              </w:rPr>
              <w:t>Cajón</w:t>
            </w:r>
            <w:proofErr w:type="spellEnd"/>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Castanets</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Clapper</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Claves</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Conga</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Cowbell</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Cymbal</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Clash cymbals</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Davul</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Djembe</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Jam block</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Lagerphone</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Maracas</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Snare drum</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Tambourine</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Timbales</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Triangle</w:t>
            </w:r>
            <w:r>
              <w:rPr>
                <w:rFonts w:ascii="Arial" w:eastAsia="宋体" w:hAnsi="Arial" w:cs="Arial" w:hint="eastAsia"/>
                <w:color w:val="202122"/>
                <w:kern w:val="0"/>
                <w:sz w:val="18"/>
                <w:szCs w:val="18"/>
              </w:rPr>
              <w:t>，</w:t>
            </w:r>
            <w:r w:rsidRPr="006A5E9B">
              <w:rPr>
                <w:rFonts w:ascii="Arial" w:eastAsia="宋体" w:hAnsi="Arial" w:cs="Arial"/>
                <w:color w:val="202122"/>
                <w:kern w:val="0"/>
                <w:sz w:val="18"/>
                <w:szCs w:val="18"/>
              </w:rPr>
              <w:t>Washboard</w:t>
            </w:r>
          </w:p>
        </w:tc>
      </w:tr>
    </w:tbl>
    <w:p w14:paraId="2B391224" w14:textId="7E66132D" w:rsidR="003D4670" w:rsidRDefault="003D4670" w:rsidP="00A93429">
      <w:pPr>
        <w:ind w:firstLine="420"/>
      </w:pPr>
    </w:p>
    <w:p w14:paraId="2CFA9C8F" w14:textId="2554F37E" w:rsidR="00736652" w:rsidRDefault="00736652" w:rsidP="00A93429">
      <w:pPr>
        <w:ind w:firstLine="420"/>
      </w:pPr>
    </w:p>
    <w:p w14:paraId="470DDE92" w14:textId="77777777" w:rsidR="00736652" w:rsidRPr="00A93429" w:rsidRDefault="00736652" w:rsidP="00A93429">
      <w:pPr>
        <w:ind w:firstLine="420"/>
      </w:pPr>
    </w:p>
    <w:sectPr w:rsidR="00736652" w:rsidRPr="00A93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EE3F8" w14:textId="77777777" w:rsidR="00F46DDF" w:rsidRDefault="00F46DDF" w:rsidP="00301030">
      <w:r>
        <w:separator/>
      </w:r>
    </w:p>
  </w:endnote>
  <w:endnote w:type="continuationSeparator" w:id="0">
    <w:p w14:paraId="6D51C815" w14:textId="77777777" w:rsidR="00F46DDF" w:rsidRDefault="00F46DDF" w:rsidP="0030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C5498" w14:textId="77777777" w:rsidR="00F46DDF" w:rsidRDefault="00F46DDF" w:rsidP="00301030">
      <w:r>
        <w:separator/>
      </w:r>
    </w:p>
  </w:footnote>
  <w:footnote w:type="continuationSeparator" w:id="0">
    <w:p w14:paraId="34BA07D0" w14:textId="77777777" w:rsidR="00F46DDF" w:rsidRDefault="00F46DDF" w:rsidP="0030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17F5"/>
    <w:multiLevelType w:val="multilevel"/>
    <w:tmpl w:val="A74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93576"/>
    <w:multiLevelType w:val="hybridMultilevel"/>
    <w:tmpl w:val="B8DA3652"/>
    <w:lvl w:ilvl="0" w:tplc="DC9A79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1A2D1C"/>
    <w:multiLevelType w:val="hybridMultilevel"/>
    <w:tmpl w:val="DDA49B9E"/>
    <w:lvl w:ilvl="0" w:tplc="DFECE5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56743B8"/>
    <w:multiLevelType w:val="multilevel"/>
    <w:tmpl w:val="468C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6E"/>
    <w:rsid w:val="00301030"/>
    <w:rsid w:val="003B2087"/>
    <w:rsid w:val="003D4670"/>
    <w:rsid w:val="003E1AFE"/>
    <w:rsid w:val="004739FC"/>
    <w:rsid w:val="004D071D"/>
    <w:rsid w:val="00512129"/>
    <w:rsid w:val="005F4F3A"/>
    <w:rsid w:val="006A5E9B"/>
    <w:rsid w:val="00736652"/>
    <w:rsid w:val="007B036E"/>
    <w:rsid w:val="007E1D6E"/>
    <w:rsid w:val="00910118"/>
    <w:rsid w:val="009470AA"/>
    <w:rsid w:val="009E0C7B"/>
    <w:rsid w:val="009E7880"/>
    <w:rsid w:val="00A21FE6"/>
    <w:rsid w:val="00A93429"/>
    <w:rsid w:val="00B31DAD"/>
    <w:rsid w:val="00D20301"/>
    <w:rsid w:val="00F46DDF"/>
    <w:rsid w:val="00FA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2ECC"/>
  <w15:chartTrackingRefBased/>
  <w15:docId w15:val="{AFF6F100-30A4-4F97-9D0A-29D95F0F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6A5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4">
    <w:name w:val="Hyperlink"/>
    <w:basedOn w:val="a0"/>
    <w:uiPriority w:val="99"/>
    <w:semiHidden/>
    <w:unhideWhenUsed/>
    <w:rsid w:val="006A5E9B"/>
    <w:rPr>
      <w:color w:val="0000FF"/>
      <w:u w:val="single"/>
    </w:rPr>
  </w:style>
  <w:style w:type="paragraph" w:styleId="a5">
    <w:name w:val="header"/>
    <w:basedOn w:val="a"/>
    <w:link w:val="a6"/>
    <w:uiPriority w:val="99"/>
    <w:unhideWhenUsed/>
    <w:rsid w:val="003010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01030"/>
    <w:rPr>
      <w:sz w:val="18"/>
      <w:szCs w:val="18"/>
    </w:rPr>
  </w:style>
  <w:style w:type="paragraph" w:styleId="a7">
    <w:name w:val="footer"/>
    <w:basedOn w:val="a"/>
    <w:link w:val="a8"/>
    <w:uiPriority w:val="99"/>
    <w:unhideWhenUsed/>
    <w:rsid w:val="00301030"/>
    <w:pPr>
      <w:tabs>
        <w:tab w:val="center" w:pos="4153"/>
        <w:tab w:val="right" w:pos="8306"/>
      </w:tabs>
      <w:snapToGrid w:val="0"/>
      <w:jc w:val="left"/>
    </w:pPr>
    <w:rPr>
      <w:sz w:val="18"/>
      <w:szCs w:val="18"/>
    </w:rPr>
  </w:style>
  <w:style w:type="character" w:customStyle="1" w:styleId="a8">
    <w:name w:val="页脚 字符"/>
    <w:basedOn w:val="a0"/>
    <w:link w:val="a7"/>
    <w:uiPriority w:val="99"/>
    <w:rsid w:val="00301030"/>
    <w:rPr>
      <w:sz w:val="18"/>
      <w:szCs w:val="18"/>
    </w:rPr>
  </w:style>
  <w:style w:type="paragraph" w:styleId="a9">
    <w:name w:val="List Paragraph"/>
    <w:basedOn w:val="a"/>
    <w:uiPriority w:val="34"/>
    <w:qFormat/>
    <w:rsid w:val="003010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7661">
      <w:bodyDiv w:val="1"/>
      <w:marLeft w:val="0"/>
      <w:marRight w:val="0"/>
      <w:marTop w:val="0"/>
      <w:marBottom w:val="0"/>
      <w:divBdr>
        <w:top w:val="none" w:sz="0" w:space="0" w:color="auto"/>
        <w:left w:val="none" w:sz="0" w:space="0" w:color="auto"/>
        <w:bottom w:val="none" w:sz="0" w:space="0" w:color="auto"/>
        <w:right w:val="none" w:sz="0" w:space="0" w:color="auto"/>
      </w:divBdr>
    </w:div>
    <w:div w:id="9848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承昊</dc:creator>
  <cp:keywords/>
  <dc:description/>
  <cp:lastModifiedBy>鲁 承昊</cp:lastModifiedBy>
  <cp:revision>10</cp:revision>
  <dcterms:created xsi:type="dcterms:W3CDTF">2020-12-20T02:27:00Z</dcterms:created>
  <dcterms:modified xsi:type="dcterms:W3CDTF">2020-12-21T01:41:00Z</dcterms:modified>
</cp:coreProperties>
</file>