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Independent Confirmation of the Conjecture Q Refutation</w:t>
      </w:r>
    </w:p>
    <w:p>
      <w:pPr>
        <w:pStyle w:val="Subtitle"/>
      </w:pPr>
      <w:r>
        <w:t>ES Q REF 1  |  p equals 66361  |  Prepared for Dr William Houze</w:t>
      </w:r>
    </w:p>
    <w:p>
      <w:r>
        <w:rPr>
          <w:b/>
        </w:rPr>
        <w:t>CONFIRMED.</w:t>
      </w:r>
      <w:r>
        <w:t xml:space="preserve"> The bounded check at p = 66,361 agrees with every mandatory numerical item in the task order. The unchanged GPT-DP-1.0.0 mathematical core, invoked through a separately recorded adapter for the newly authorized input, reproduced all 54 reference rows exactly. A separately written validator checked the avoiding profiles and the complete input coverage without importing the sealed module or calling an optimizer. No discrepancy was found.</w:t>
      </w:r>
    </w:p>
    <w:p>
      <w:r>
        <w:t>The result establishes that Q(66,361) is false. Universal Conjecture Q and the draft’s equivalent residual Conjecture 16 are refuted. This report supersedes the pending-confirmation status in the earlier assessment. The result concerns the specified energy-forcing route; exact Erdős–Straus decompositions exist at this prime.</w:t>
      </w:r>
    </w:p>
    <w:p>
      <w:pPr>
        <w:pStyle w:val="Heading1"/>
      </w:pPr>
      <w:r>
        <w:t>1 Agreement with the task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440"/>
        <w:gridCol w:w="6178"/>
      </w:tblGrid>
      <w:tr>
        <w:trPr>
          <w:cantSplit/>
          <w:tblHeader/>
        </w:trPr>
        <w:tc>
          <w:tcPr>
            <w:tcW w:type="dxa" w:w="2376"/>
            <w:vAlign w:val="center"/>
            <w:tcMar>
              <w:top w:w="65" w:type="dxa"/>
              <w:bottom w:w="65" w:type="dxa"/>
              <w:left w:w="75" w:type="dxa"/>
              <w:right w:w="75" w:type="dxa"/>
            </w:tcMar>
            <w:shd w:fill="E8EDF1"/>
          </w:tcPr>
          <w:p>
            <w:pPr>
              <w:spacing w:before="0" w:after="0" w:line="240" w:lineRule="auto"/>
            </w:pPr>
            <w:r>
              <w:rPr>
                <w:rFonts w:ascii="Times New Roman" w:hAnsi="Times New Roman"/>
                <w:b/>
                <w:sz w:val="21"/>
              </w:rPr>
              <w:t>Task item</w:t>
            </w:r>
          </w:p>
        </w:tc>
        <w:tc>
          <w:tcPr>
            <w:tcW w:type="dxa" w:w="1440"/>
            <w:vAlign w:val="center"/>
            <w:tcMar>
              <w:top w:w="65" w:type="dxa"/>
              <w:bottom w:w="65" w:type="dxa"/>
              <w:left w:w="75" w:type="dxa"/>
              <w:right w:w="75" w:type="dxa"/>
            </w:tcMar>
            <w:shd w:fill="E8EDF1"/>
          </w:tcPr>
          <w:p>
            <w:pPr>
              <w:spacing w:before="0" w:after="0" w:line="240" w:lineRule="auto"/>
            </w:pPr>
            <w:r>
              <w:rPr>
                <w:rFonts w:ascii="Times New Roman" w:hAnsi="Times New Roman"/>
                <w:b/>
                <w:sz w:val="21"/>
              </w:rPr>
              <w:t>Disposition</w:t>
            </w:r>
          </w:p>
        </w:tc>
        <w:tc>
          <w:tcPr>
            <w:tcW w:type="dxa" w:w="6178"/>
            <w:vAlign w:val="center"/>
            <w:tcMar>
              <w:top w:w="65" w:type="dxa"/>
              <w:bottom w:w="65" w:type="dxa"/>
              <w:left w:w="75" w:type="dxa"/>
              <w:right w:w="75" w:type="dxa"/>
            </w:tcMar>
            <w:shd w:fill="E8EDF1"/>
          </w:tcPr>
          <w:p>
            <w:pPr>
              <w:spacing w:before="0" w:after="0" w:line="240" w:lineRule="auto"/>
            </w:pPr>
            <w:r>
              <w:rPr>
                <w:rFonts w:ascii="Times New Roman" w:hAnsi="Times New Roman"/>
                <w:b/>
                <w:sz w:val="21"/>
              </w:rPr>
              <w:t>Computed result</w:t>
            </w:r>
          </w:p>
        </w:tc>
      </w:tr>
      <w:tr>
        <w:trPr>
          <w:cantSplit/>
        </w:trPr>
        <w:tc>
          <w:tcPr>
            <w:tcW w:type="dxa" w:w="2376"/>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1 Prime and admissible inputs</w:t>
            </w:r>
          </w:p>
        </w:tc>
        <w:tc>
          <w:tcPr>
            <w:tcW w:type="dxa" w:w="1440"/>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AGREE</w:t>
            </w:r>
          </w:p>
        </w:tc>
        <w:tc>
          <w:tcPr>
            <w:tcW w:type="dxa" w:w="6178"/>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Prime and domain checks pass; exactly 16,658 admissible x values.</w:t>
            </w:r>
          </w:p>
        </w:tc>
      </w:tr>
      <w:tr>
        <w:trPr>
          <w:cantSplit/>
        </w:trPr>
        <w:tc>
          <w:tcPr>
            <w:tcW w:type="dxa" w:w="2376"/>
            <w:vAlign w:val="center"/>
            <w:tcMar>
              <w:top w:w="65" w:type="dxa"/>
              <w:bottom w:w="65" w:type="dxa"/>
              <w:left w:w="75" w:type="dxa"/>
              <w:right w:w="75" w:type="dxa"/>
            </w:tcMar>
            <w:shd w:fill="F6F7F8"/>
          </w:tcPr>
          <w:p>
            <w:pPr>
              <w:spacing w:before="0" w:after="0" w:line="240" w:lineRule="auto"/>
            </w:pPr>
            <w:r>
              <w:rPr>
                <w:rFonts w:ascii="Times New Roman" w:hAnsi="Times New Roman"/>
                <w:b w:val="0"/>
                <w:sz w:val="21"/>
              </w:rPr>
              <w:t>2 Divisor channel screening</w:t>
            </w:r>
          </w:p>
        </w:tc>
        <w:tc>
          <w:tcPr>
            <w:tcW w:type="dxa" w:w="1440"/>
            <w:vAlign w:val="center"/>
            <w:tcMar>
              <w:top w:w="65" w:type="dxa"/>
              <w:bottom w:w="65" w:type="dxa"/>
              <w:left w:w="75" w:type="dxa"/>
              <w:right w:w="75" w:type="dxa"/>
            </w:tcMar>
            <w:shd w:fill="F6F7F8"/>
          </w:tcPr>
          <w:p>
            <w:pPr>
              <w:spacing w:before="0" w:after="0" w:line="240" w:lineRule="auto"/>
            </w:pPr>
            <w:r>
              <w:rPr>
                <w:rFonts w:ascii="Times New Roman" w:hAnsi="Times New Roman"/>
                <w:b w:val="0"/>
                <w:sz w:val="21"/>
              </w:rPr>
              <w:t>AGREE</w:t>
            </w:r>
          </w:p>
        </w:tc>
        <w:tc>
          <w:tcPr>
            <w:tcW w:type="dxa" w:w="6178"/>
            <w:vAlign w:val="center"/>
            <w:tcMar>
              <w:top w:w="65" w:type="dxa"/>
              <w:bottom w:w="65" w:type="dxa"/>
              <w:left w:w="75" w:type="dxa"/>
              <w:right w:w="75" w:type="dxa"/>
            </w:tcMar>
            <w:shd w:fill="F6F7F8"/>
          </w:tcPr>
          <w:p>
            <w:pPr>
              <w:spacing w:before="0" w:after="0" w:line="240" w:lineRule="auto"/>
            </w:pPr>
            <w:r>
              <w:rPr>
                <w:rFonts w:ascii="Times New Roman" w:hAnsi="Times New Roman"/>
                <w:b w:val="0"/>
                <w:sz w:val="21"/>
              </w:rPr>
              <w:t>Exactly the listed 27 firing x; the other 16,631 have both target bins empty.</w:t>
            </w:r>
          </w:p>
        </w:tc>
      </w:tr>
      <w:tr>
        <w:trPr>
          <w:cantSplit/>
        </w:trPr>
        <w:tc>
          <w:tcPr>
            <w:tcW w:type="dxa" w:w="2376"/>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3 Eligible cells and thresholds</w:t>
            </w:r>
          </w:p>
        </w:tc>
        <w:tc>
          <w:tcPr>
            <w:tcW w:type="dxa" w:w="1440"/>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AGREE</w:t>
            </w:r>
          </w:p>
        </w:tc>
        <w:tc>
          <w:tcPr>
            <w:tcW w:type="dxa" w:w="6178"/>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All 54 eligible cells at the 27 firing x match in d, x, channel, T, E, M and force verdict.</w:t>
            </w:r>
          </w:p>
        </w:tc>
      </w:tr>
      <w:tr>
        <w:trPr>
          <w:cantSplit/>
        </w:trPr>
        <w:tc>
          <w:tcPr>
            <w:tcW w:type="dxa" w:w="2376"/>
            <w:vAlign w:val="center"/>
            <w:tcMar>
              <w:top w:w="65" w:type="dxa"/>
              <w:bottom w:w="65" w:type="dxa"/>
              <w:left w:w="75" w:type="dxa"/>
              <w:right w:w="75" w:type="dxa"/>
            </w:tcMar>
            <w:shd w:fill="F6F7F8"/>
          </w:tcPr>
          <w:p>
            <w:pPr>
              <w:spacing w:before="0" w:after="0" w:line="240" w:lineRule="auto"/>
            </w:pPr>
            <w:r>
              <w:rPr>
                <w:rFonts w:ascii="Times New Roman" w:hAnsi="Times New Roman"/>
                <w:b w:val="0"/>
                <w:sz w:val="21"/>
              </w:rPr>
              <w:t>4 Proposition 15 certificate</w:t>
            </w:r>
          </w:p>
        </w:tc>
        <w:tc>
          <w:tcPr>
            <w:tcW w:type="dxa" w:w="1440"/>
            <w:vAlign w:val="center"/>
            <w:tcMar>
              <w:top w:w="65" w:type="dxa"/>
              <w:bottom w:w="65" w:type="dxa"/>
              <w:left w:w="75" w:type="dxa"/>
              <w:right w:w="75" w:type="dxa"/>
            </w:tcMar>
            <w:shd w:fill="F6F7F8"/>
          </w:tcPr>
          <w:p>
            <w:pPr>
              <w:spacing w:before="0" w:after="0" w:line="240" w:lineRule="auto"/>
            </w:pPr>
            <w:r>
              <w:rPr>
                <w:rFonts w:ascii="Times New Roman" w:hAnsi="Times New Roman"/>
                <w:b w:val="0"/>
                <w:sz w:val="21"/>
              </w:rPr>
              <w:t>AGREE</w:t>
            </w:r>
          </w:p>
        </w:tc>
        <w:tc>
          <w:tcPr>
            <w:tcW w:type="dxa" w:w="6178"/>
            <w:vAlign w:val="center"/>
            <w:tcMar>
              <w:top w:w="65" w:type="dxa"/>
              <w:bottom w:w="65" w:type="dxa"/>
              <w:left w:w="75" w:type="dxa"/>
              <w:right w:w="75" w:type="dxa"/>
            </w:tcMar>
            <w:shd w:fill="F6F7F8"/>
          </w:tcPr>
          <w:p>
            <w:pPr>
              <w:spacing w:before="0" w:after="0" w:line="240" w:lineRule="auto"/>
            </w:pPr>
            <w:r>
              <w:rPr>
                <w:rFonts w:ascii="Times New Roman" w:hAnsi="Times New Roman"/>
                <w:b w:val="0"/>
                <w:sz w:val="21"/>
              </w:rPr>
              <w:t>54 explicit avoiding profiles validated; all remaining inputs covered by the actual-profile certificate rule.</w:t>
            </w:r>
          </w:p>
        </w:tc>
      </w:tr>
      <w:tr>
        <w:trPr>
          <w:cantSplit/>
        </w:trPr>
        <w:tc>
          <w:tcPr>
            <w:tcW w:type="dxa" w:w="2376"/>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5 Other primes and extended test</w:t>
            </w:r>
          </w:p>
        </w:tc>
        <w:tc>
          <w:tcPr>
            <w:tcW w:type="dxa" w:w="1440"/>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NOT RUN</w:t>
            </w:r>
          </w:p>
        </w:tc>
        <w:tc>
          <w:tcPr>
            <w:tcW w:type="dxa" w:w="6178"/>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The optional 24 other primes and unrestricted p = 944,329 test were outside this bounded confirmation.</w:t>
            </w:r>
          </w:p>
        </w:tc>
      </w:tr>
    </w:tbl>
    <w:p>
      <w:pPr>
        <w:spacing w:after="0"/>
      </w:pPr>
    </w:p>
    <w:p>
      <w:r>
        <w:t>All 54 explicitly optimized cells have finite minima. There are 32 equalities E = M and 22 strict excesses E &gt; M; none satisfies E &lt; M. Among these rows, 33 targets are occupied and 21 are empty. The number 54 refers to the eligible cells at the 27 firing inputs, not the total number of eligible cells over the whole admissible interval.</w:t>
      </w:r>
    </w:p>
    <w:p>
      <w:pPr>
        <w:pStyle w:val="Heading1"/>
      </w:pPr>
      <w:r>
        <w:t>2 Exact statement and complete coverage</w:t>
      </w:r>
    </w:p>
    <w:p>
      <w:r>
        <w:t xml:space="preserve">The recovered draft defines Q(p) by the existence of an admissible x and eligible square-subgroup cell C satisfying </w:t>
      </w:r>
      <w:r>
        <w:t>E</w:t>
      </w:r>
      <w:r>
        <w:rPr>
          <w:vertAlign w:val="subscript"/>
        </w:rPr>
        <w:t>C</w:t>
      </w:r>
      <w:r>
        <w:t xml:space="preserve"> &lt; </w:t>
      </w:r>
      <w:r>
        <w:t>M</w:t>
      </w:r>
      <w:r>
        <w:rPr>
          <w:vertAlign w:val="subscript"/>
        </w:rPr>
        <w:t>C</w:t>
      </w:r>
      <w:r>
        <w:t>. Its universal prime domain is p ≡ 1 modulo 24. The admissible set is the inclusive interval (p + 3)/4 ≤ x ≤ 3(p − 1)/4 restricted by the Legendre condition (x|p) = −1 [S2, Section 2].</w:t>
      </w:r>
    </w:p>
    <w:p>
      <w:r>
        <w:t>At p = 66,361 the interval is [16,591, 49,770]. Exact enumeration gives 16,658 nonresidues. Every input was completely factored, every positive divisor of x² was enumerated, and both target congruences were checked. The main computation used Euler’s criterion; the independent validator constructed the complete set of nonzero quadratic residues directly. Their admissible and firing lists agree exactly.</w:t>
      </w:r>
    </w:p>
    <w:p>
      <w:pPr>
        <w:spacing w:before="60" w:after="160"/>
        <w:jc w:val="center"/>
      </w:pPr>
      <w:r>
        <w:rPr>
          <w:rFonts w:ascii="Cambria Math" w:hAnsi="Cambria Math"/>
        </w:rPr>
        <w:t>d = 4x − p;   Channel I target = −px (mod d);   Channel II target = −x (mod d).</w:t>
      </w:r>
    </w:p>
    <w:p>
      <w:r>
        <w:t xml:space="preserve">For the 16,631 non-firing inputs, both target occupancies are zero. The certificate is defined uniformly for every eligible cell by </w:t>
      </w:r>
      <w:r>
        <w:t>v</w:t>
      </w:r>
      <w:r>
        <w:rPr>
          <w:vertAlign w:val="subscript"/>
        </w:rPr>
        <w:t>C</w:t>
      </w:r>
      <w:r>
        <w:t xml:space="preserve"> = w restricted to C, where w is the actual divisor histogram. Its mass and energy are exactly the actual mass and energy. Both programs checked complement symmetry and fixed-bin parity; Lemma 1 supplies preservation of every square-subgroup cell under complementation. Thus these are valid avoiding profiles even though the large groups and every individual cell were not materialized for those inputs.</w:t>
      </w:r>
    </w:p>
    <w:p>
      <w:r>
        <w:t xml:space="preserve">For the 27 firing inputs, the computation constructed H from the prime-factor generators, K = H², and every eligible target coset. It passed each of the 54 cells to the unchanged sealed compute_cell and minimum_dp routines. The resulting attaining allocations are retained in the numerical certificate. Every allocation has energy </w:t>
      </w:r>
      <w:r>
        <w:t>M</w:t>
      </w:r>
      <w:r>
        <w:rPr>
          <w:vertAlign w:val="subscript"/>
        </w:rPr>
        <w:t>C</w:t>
      </w:r>
      <w:r>
        <w:t xml:space="preserve"> ≤ </w:t>
      </w:r>
      <w:r>
        <w:t>E</w:t>
      </w:r>
      <w:r>
        <w:rPr>
          <w:vertAlign w:val="subscript"/>
        </w:rPr>
        <w:t>C</w:t>
      </w:r>
      <w:r>
        <w:t>.</w:t>
      </w:r>
    </w:p>
    <w:p>
      <w:r>
        <w:t>By Proposition 15 [S2], these two parts cover every admissible input and every eligible cell and establish the refutation. The optimized branch is exhaustive over the firing inputs; the screened branch is covered by an explicit certificate rule and the stated paper lemma. This is a complete Proposition 15 certificate, rather than a full record in the original census driver’s format.</w:t>
      </w:r>
    </w:p>
    <w:p>
      <w:pPr>
        <w:pStyle w:val="Heading1"/>
      </w:pPr>
      <w:r>
        <w:t>3 Independent validation</w:t>
      </w:r>
    </w:p>
    <w:p>
      <w:r>
        <w:t>The independent validator uses different arithmetic procedures: a factor sieve, direct enumeration of quadratic residues, and subgroup construction by adjoining cyclic cosets. It reconstructs the groups, square subgroups, eligible cells, actual histograms and complement involutions. It imports no sealed implementation and calls no optimizer.</w:t>
      </w:r>
    </w:p>
    <w:p>
      <w:r>
        <w:t xml:space="preserve">For every explicit avoiding profile it checks nonnegative integer values, membership in the correct cell, exact mass, equal complementary occupancies, positive odd central occupancy where applicable, even occupancy at other fixed bins, target avoidance, and energy no greater than </w:t>
      </w:r>
      <w:r>
        <w:t>E</w:t>
      </w:r>
      <w:r>
        <w:rPr>
          <w:vertAlign w:val="subscript"/>
        </w:rPr>
        <w:t>C</w:t>
      </w:r>
      <w:r>
        <w:t>. It also independently counts the surviving orbits and evaluates the draft’s Theorem 5 formula. The attained energies, formula minima, sealed DP minima and all 54 task-order rows agree.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114"/>
        <w:gridCol w:w="2880"/>
      </w:tblGrid>
      <w:tr>
        <w:trPr>
          <w:cantSplit/>
          <w:tblHeader/>
        </w:trPr>
        <w:tc>
          <w:tcPr>
            <w:tcW w:type="dxa" w:w="7114"/>
            <w:vAlign w:val="center"/>
            <w:tcMar>
              <w:top w:w="65" w:type="dxa"/>
              <w:bottom w:w="65" w:type="dxa"/>
              <w:left w:w="75" w:type="dxa"/>
              <w:right w:w="75" w:type="dxa"/>
            </w:tcMar>
            <w:shd w:fill="E8EDF1"/>
          </w:tcPr>
          <w:p>
            <w:pPr>
              <w:spacing w:before="0" w:after="0" w:line="240" w:lineRule="auto"/>
            </w:pPr>
            <w:r>
              <w:rPr>
                <w:rFonts w:ascii="Times New Roman" w:hAnsi="Times New Roman"/>
                <w:b/>
                <w:sz w:val="21"/>
              </w:rPr>
              <w:t>Independent check</w:t>
            </w:r>
          </w:p>
        </w:tc>
        <w:tc>
          <w:tcPr>
            <w:tcW w:type="dxa" w:w="2880"/>
            <w:vAlign w:val="center"/>
            <w:tcMar>
              <w:top w:w="65" w:type="dxa"/>
              <w:bottom w:w="65" w:type="dxa"/>
              <w:left w:w="75" w:type="dxa"/>
              <w:right w:w="75" w:type="dxa"/>
            </w:tcMar>
            <w:shd w:fill="E8EDF1"/>
          </w:tcPr>
          <w:p>
            <w:pPr>
              <w:spacing w:before="0" w:after="0" w:line="240" w:lineRule="auto"/>
            </w:pPr>
            <w:r>
              <w:rPr>
                <w:rFonts w:ascii="Times New Roman" w:hAnsi="Times New Roman"/>
                <w:b/>
                <w:sz w:val="21"/>
              </w:rPr>
              <w:t>Result</w:t>
            </w:r>
          </w:p>
        </w:tc>
      </w:tr>
      <w:tr>
        <w:trPr>
          <w:cantSplit/>
        </w:trPr>
        <w:tc>
          <w:tcPr>
            <w:tcW w:type="dxa" w:w="7114"/>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Complete admissible and firing lists</w:t>
            </w:r>
          </w:p>
        </w:tc>
        <w:tc>
          <w:tcPr>
            <w:tcW w:type="dxa" w:w="2880"/>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PASS</w:t>
            </w:r>
          </w:p>
        </w:tc>
      </w:tr>
      <w:tr>
        <w:trPr>
          <w:cantSplit/>
        </w:trPr>
        <w:tc>
          <w:tcPr>
            <w:tcW w:type="dxa" w:w="7114"/>
            <w:vAlign w:val="center"/>
            <w:tcMar>
              <w:top w:w="65" w:type="dxa"/>
              <w:bottom w:w="65" w:type="dxa"/>
              <w:left w:w="75" w:type="dxa"/>
              <w:right w:w="75" w:type="dxa"/>
            </w:tcMar>
            <w:shd w:fill="F6F7F8"/>
          </w:tcPr>
          <w:p>
            <w:pPr>
              <w:spacing w:before="0" w:after="0" w:line="240" w:lineRule="auto"/>
            </w:pPr>
            <w:r>
              <w:rPr>
                <w:rFonts w:ascii="Times New Roman" w:hAnsi="Times New Roman"/>
                <w:b w:val="0"/>
                <w:sz w:val="21"/>
              </w:rPr>
              <w:t>All 16,631 actual-profile certificates</w:t>
            </w:r>
          </w:p>
        </w:tc>
        <w:tc>
          <w:tcPr>
            <w:tcW w:type="dxa" w:w="2880"/>
            <w:vAlign w:val="center"/>
            <w:tcMar>
              <w:top w:w="65" w:type="dxa"/>
              <w:bottom w:w="65" w:type="dxa"/>
              <w:left w:w="75" w:type="dxa"/>
              <w:right w:w="75" w:type="dxa"/>
            </w:tcMar>
            <w:shd w:fill="F6F7F8"/>
          </w:tcPr>
          <w:p>
            <w:pPr>
              <w:spacing w:before="0" w:after="0" w:line="240" w:lineRule="auto"/>
            </w:pPr>
            <w:r>
              <w:rPr>
                <w:rFonts w:ascii="Times New Roman" w:hAnsi="Times New Roman"/>
                <w:b w:val="0"/>
                <w:sz w:val="21"/>
              </w:rPr>
              <w:t>PASS</w:t>
            </w:r>
          </w:p>
        </w:tc>
      </w:tr>
      <w:tr>
        <w:trPr>
          <w:cantSplit/>
        </w:trPr>
        <w:tc>
          <w:tcPr>
            <w:tcW w:type="dxa" w:w="7114"/>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All 54 explicit avoiding allocations</w:t>
            </w:r>
          </w:p>
        </w:tc>
        <w:tc>
          <w:tcPr>
            <w:tcW w:type="dxa" w:w="2880"/>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PASS</w:t>
            </w:r>
          </w:p>
        </w:tc>
      </w:tr>
      <w:tr>
        <w:trPr>
          <w:cantSplit/>
        </w:trPr>
        <w:tc>
          <w:tcPr>
            <w:tcW w:type="dxa" w:w="7114"/>
            <w:vAlign w:val="center"/>
            <w:tcMar>
              <w:top w:w="65" w:type="dxa"/>
              <w:bottom w:w="65" w:type="dxa"/>
              <w:left w:w="75" w:type="dxa"/>
              <w:right w:w="75" w:type="dxa"/>
            </w:tcMar>
            <w:shd w:fill="F6F7F8"/>
          </w:tcPr>
          <w:p>
            <w:pPr>
              <w:spacing w:before="0" w:after="0" w:line="240" w:lineRule="auto"/>
            </w:pPr>
            <w:r>
              <w:rPr>
                <w:rFonts w:ascii="Times New Roman" w:hAnsi="Times New Roman"/>
                <w:b w:val="0"/>
                <w:sz w:val="21"/>
              </w:rPr>
              <w:t>All 54 Theorem 5 formula comparisons</w:t>
            </w:r>
          </w:p>
        </w:tc>
        <w:tc>
          <w:tcPr>
            <w:tcW w:type="dxa" w:w="2880"/>
            <w:vAlign w:val="center"/>
            <w:tcMar>
              <w:top w:w="65" w:type="dxa"/>
              <w:bottom w:w="65" w:type="dxa"/>
              <w:left w:w="75" w:type="dxa"/>
              <w:right w:w="75" w:type="dxa"/>
            </w:tcMar>
            <w:shd w:fill="F6F7F8"/>
          </w:tcPr>
          <w:p>
            <w:pPr>
              <w:spacing w:before="0" w:after="0" w:line="240" w:lineRule="auto"/>
            </w:pPr>
            <w:r>
              <w:rPr>
                <w:rFonts w:ascii="Times New Roman" w:hAnsi="Times New Roman"/>
                <w:b w:val="0"/>
                <w:sz w:val="21"/>
              </w:rPr>
              <w:t>PASS</w:t>
            </w:r>
          </w:p>
        </w:tc>
      </w:tr>
      <w:tr>
        <w:trPr>
          <w:cantSplit/>
        </w:trPr>
        <w:tc>
          <w:tcPr>
            <w:tcW w:type="dxa" w:w="7114"/>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All 54 reference-table comparisons</w:t>
            </w:r>
          </w:p>
        </w:tc>
        <w:tc>
          <w:tcPr>
            <w:tcW w:type="dxa" w:w="2880"/>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PASS</w:t>
            </w:r>
          </w:p>
        </w:tc>
      </w:tr>
      <w:tr>
        <w:trPr>
          <w:cantSplit/>
        </w:trPr>
        <w:tc>
          <w:tcPr>
            <w:tcW w:type="dxa" w:w="7114"/>
            <w:vAlign w:val="center"/>
            <w:tcMar>
              <w:top w:w="65" w:type="dxa"/>
              <w:bottom w:w="65" w:type="dxa"/>
              <w:left w:w="75" w:type="dxa"/>
              <w:right w:w="75" w:type="dxa"/>
            </w:tcMar>
            <w:shd w:fill="F6F7F8"/>
          </w:tcPr>
          <w:p>
            <w:pPr>
              <w:spacing w:before="0" w:after="0" w:line="240" w:lineRule="auto"/>
            </w:pPr>
            <w:r>
              <w:rPr>
                <w:rFonts w:ascii="Times New Roman" w:hAnsi="Times New Roman"/>
                <w:b w:val="0"/>
                <w:sz w:val="21"/>
              </w:rPr>
              <w:t>Missing or extra eligible cells at firing inputs</w:t>
            </w:r>
          </w:p>
        </w:tc>
        <w:tc>
          <w:tcPr>
            <w:tcW w:type="dxa" w:w="2880"/>
            <w:vAlign w:val="center"/>
            <w:tcMar>
              <w:top w:w="65" w:type="dxa"/>
              <w:bottom w:w="65" w:type="dxa"/>
              <w:left w:w="75" w:type="dxa"/>
              <w:right w:w="75" w:type="dxa"/>
            </w:tcMar>
            <w:shd w:fill="F6F7F8"/>
          </w:tcPr>
          <w:p>
            <w:pPr>
              <w:spacing w:before="0" w:after="0" w:line="240" w:lineRule="auto"/>
            </w:pPr>
            <w:r>
              <w:rPr>
                <w:rFonts w:ascii="Times New Roman" w:hAnsi="Times New Roman"/>
                <w:b w:val="0"/>
                <w:sz w:val="21"/>
              </w:rPr>
              <w:t>None</w:t>
            </w:r>
          </w:p>
        </w:tc>
      </w:tr>
    </w:tbl>
    <w:p>
      <w:pPr>
        <w:spacing w:after="0"/>
      </w:pPr>
    </w:p>
    <w:p>
      <w:pPr>
        <w:pStyle w:val="Heading1"/>
      </w:pPr>
      <w:r>
        <w:t>4 Execution scope and sealed source integrity</w:t>
      </w:r>
    </w:p>
    <w:p>
      <w:r>
        <w:t>The archived GPT-DP-1.0.0 census frontend enforces its original execution bound p ≤ 13,000. The current task expressly authorizes p = 66,361. A new adapter, ES-Q-REF-1-ADAPTER-1.0.0, therefore validates the new input, constructs its context, and calls the original mathematical functions. The old BOUND value and all sealed source files remain unchanged. The original complete-prime census command was not represented as having run at this larger input.</w:t>
      </w:r>
    </w:p>
    <w:p>
      <w:r>
        <w:t>All 11 files listed in the source seal match their recorded SHA-256 values, and the canonical file-manifest hash matches. The main run checked the sealed files before and after execution. The adapter and independent validator have their own separate hashes. The numerical certificate was written before the independent validator compared it with the task-order table.</w:t>
      </w:r>
    </w:p>
    <w:p>
      <w:r>
        <w:t>The only new execution authority is the user’s “Yes proceed” response to the explicit request for retrieval and the bounded p = 66,361 confirmation. The authorization receipt records that scope without simulating a signature. The sealed package, frozen specification and earlier draft were preserved as source records.</w:t>
      </w:r>
    </w:p>
    <w:p>
      <w:pPr>
        <w:pStyle w:val="Heading1"/>
      </w:pPr>
      <w:r>
        <w:t>5 Mathematical consequences and clarified assessment</w:t>
      </w:r>
    </w:p>
    <w:p>
      <w:r>
        <w:t>The recovered draft defines R by the six residual classes modulo 840 and the requirement that every odd prime factor of p + 1 be 1 modulo 4. Here p ≡ 1 modulo 840 and p + 1 = 2 × 33,181, where 33,181 is prime and 1 modulo 4. Hence p belongs to R. The refutation therefore applies directly to the residual Conjecture 16 as well as to universal Q.</w:t>
      </w:r>
    </w:p>
    <w:p>
      <w:r>
        <w:t>The counterexample is compatible with the local forcing theorem, exact optimization theorem, proved uniform families, and density-one corollary. Those statements do not assert that every qualifying prime has a forcing cell. The result supplies the exceptional input whose possibility the universal conjecture denied.</w:t>
      </w:r>
    </w:p>
    <w:p>
      <w:r>
        <w:t>The earlier assessment asked for precision about the phrase “theorems confirmed by a program.” The retrieved draft already makes the appropriate distinction: it presents paper proofs, identifies finite computational checks as validation, and states that the new results are not Lean-certified. That documentation concern is resolved by the actual draft. This run adds an exact computational refutation certificate; it does not add a Lean proof.</w:t>
      </w:r>
    </w:p>
    <w:p>
      <w:r>
        <w:t>The exact identity below, independently checked in the preceding assessment, uses an admissible nonresidue first denominator. It illustrates that a solution exists inside Q’s domain even though no energy-forcing cell exists at this prime:</w:t>
      </w:r>
    </w:p>
    <w:p>
      <w:pPr>
        <w:spacing w:before="60" w:after="160"/>
        <w:jc w:val="center"/>
      </w:pPr>
      <w:r>
        <w:rPr>
          <w:rFonts w:ascii="Cambria Math" w:hAnsi="Cambria Math"/>
        </w:rPr>
        <w:t>4/66,361 = 1/16,598 + 1/51,363,414 + 1/115,269,057.</w:t>
      </w:r>
    </w:p>
    <w:p>
      <w:r>
        <w:t>This calculation does not establish that 66,361 is the smallest counterexample and does not independently reproduce the complete list of 25 failures below one million. Those remain properties reported by Claude’s wider sweep. The optional enlarged-domain test at 944,329 was not performed.</w:t>
      </w:r>
    </w:p>
    <w:p>
      <w:pPr>
        <w:pStyle w:val="Heading1"/>
      </w:pPr>
      <w:r>
        <w:t>6 Charter disposition</w:t>
      </w:r>
    </w:p>
    <w:p>
      <w:r>
        <w:rPr>
          <w:b/>
        </w:rPr>
        <w:t>Conjecture Q: REFUTED</w:t>
      </w:r>
      <w:r>
        <w:t xml:space="preserve"> (two independent implementations; director replication).</w:t>
      </w:r>
    </w:p>
    <w:p>
      <w:r>
        <w:t>Counterexample: p = 66,361. The current GPT run agrees exactly with Claude’s 54-row reference data and completes Proposition 15 coverage. A further independent checker validates all explicit avoiding profiles and the screened actual-profile certificates. The director’s replication is the reproduction reported in the task order; it was not re-enacted by this run. The equivalent residual Conjecture 16 is also refuted.</w:t>
      </w:r>
    </w:p>
    <w:p>
      <w:r>
        <w:t>The active universal-Q census can be retired for its original purpose. Preserve the frozen inputs, correction history and receipts. Any published status should retain the distinction between this exact counterexample, the separate smallest-counterexample/census claims, and the broader Erdős–Straus conjecture.</w:t>
      </w:r>
    </w:p>
    <w:p>
      <w:pPr>
        <w:pStyle w:val="Heading1"/>
      </w:pPr>
      <w:r>
        <w:t>7 Runtime receipt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4"/>
        <w:gridCol w:w="2520"/>
        <w:gridCol w:w="2520"/>
      </w:tblGrid>
      <w:tr>
        <w:trPr>
          <w:cantSplit/>
          <w:tblHeader/>
        </w:trPr>
        <w:tc>
          <w:tcPr>
            <w:tcW w:type="dxa" w:w="4954"/>
            <w:vAlign w:val="center"/>
            <w:tcMar>
              <w:top w:w="65" w:type="dxa"/>
              <w:bottom w:w="65" w:type="dxa"/>
              <w:left w:w="75" w:type="dxa"/>
              <w:right w:w="75" w:type="dxa"/>
            </w:tcMar>
            <w:shd w:fill="E8EDF1"/>
          </w:tcPr>
          <w:p>
            <w:pPr>
              <w:spacing w:before="0" w:after="0" w:line="240" w:lineRule="auto"/>
            </w:pPr>
            <w:r>
              <w:rPr>
                <w:rFonts w:ascii="Times New Roman" w:hAnsi="Times New Roman"/>
                <w:b/>
                <w:sz w:val="21"/>
              </w:rPr>
              <w:t>Measured execution</w:t>
            </w:r>
          </w:p>
        </w:tc>
        <w:tc>
          <w:tcPr>
            <w:tcW w:type="dxa" w:w="2520"/>
            <w:vAlign w:val="center"/>
            <w:tcMar>
              <w:top w:w="65" w:type="dxa"/>
              <w:bottom w:w="65" w:type="dxa"/>
              <w:left w:w="75" w:type="dxa"/>
              <w:right w:w="75" w:type="dxa"/>
            </w:tcMar>
            <w:shd w:fill="E8EDF1"/>
          </w:tcPr>
          <w:p>
            <w:pPr>
              <w:spacing w:before="0" w:after="0" w:line="240" w:lineRule="auto"/>
            </w:pPr>
            <w:r>
              <w:rPr>
                <w:rFonts w:ascii="Times New Roman" w:hAnsi="Times New Roman"/>
                <w:b/>
                <w:sz w:val="21"/>
              </w:rPr>
              <w:t>Process CPU seconds</w:t>
            </w:r>
          </w:p>
        </w:tc>
        <w:tc>
          <w:tcPr>
            <w:tcW w:type="dxa" w:w="2520"/>
            <w:vAlign w:val="center"/>
            <w:tcMar>
              <w:top w:w="65" w:type="dxa"/>
              <w:bottom w:w="65" w:type="dxa"/>
              <w:left w:w="75" w:type="dxa"/>
              <w:right w:w="75" w:type="dxa"/>
            </w:tcMar>
            <w:shd w:fill="E8EDF1"/>
          </w:tcPr>
          <w:p>
            <w:pPr>
              <w:spacing w:before="0" w:after="0" w:line="240" w:lineRule="auto"/>
            </w:pPr>
            <w:r>
              <w:rPr>
                <w:rFonts w:ascii="Times New Roman" w:hAnsi="Times New Roman"/>
                <w:b/>
                <w:sz w:val="21"/>
              </w:rPr>
              <w:t>Wall seconds</w:t>
            </w:r>
          </w:p>
        </w:tc>
      </w:tr>
      <w:tr>
        <w:trPr>
          <w:cantSplit/>
        </w:trPr>
        <w:tc>
          <w:tcPr>
            <w:tcW w:type="dxa" w:w="4954"/>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Sealed core through authorized adapter</w:t>
            </w:r>
          </w:p>
        </w:tc>
        <w:tc>
          <w:tcPr>
            <w:tcW w:type="dxa" w:w="2520"/>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3.636227660</w:t>
            </w:r>
          </w:p>
        </w:tc>
        <w:tc>
          <w:tcPr>
            <w:tcW w:type="dxa" w:w="2520"/>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3.642289900</w:t>
            </w:r>
          </w:p>
        </w:tc>
      </w:tr>
      <w:tr>
        <w:trPr>
          <w:cantSplit/>
        </w:trPr>
        <w:tc>
          <w:tcPr>
            <w:tcW w:type="dxa" w:w="4954"/>
            <w:vAlign w:val="center"/>
            <w:tcMar>
              <w:top w:w="65" w:type="dxa"/>
              <w:bottom w:w="65" w:type="dxa"/>
              <w:left w:w="75" w:type="dxa"/>
              <w:right w:w="75" w:type="dxa"/>
            </w:tcMar>
            <w:shd w:fill="F6F7F8"/>
          </w:tcPr>
          <w:p>
            <w:pPr>
              <w:spacing w:before="0" w:after="0" w:line="240" w:lineRule="auto"/>
            </w:pPr>
            <w:r>
              <w:rPr>
                <w:rFonts w:ascii="Times New Roman" w:hAnsi="Times New Roman"/>
                <w:b w:val="0"/>
                <w:sz w:val="21"/>
              </w:rPr>
              <w:t>Independent certificate validator</w:t>
            </w:r>
          </w:p>
        </w:tc>
        <w:tc>
          <w:tcPr>
            <w:tcW w:type="dxa" w:w="2520"/>
            <w:vAlign w:val="center"/>
            <w:tcMar>
              <w:top w:w="65" w:type="dxa"/>
              <w:bottom w:w="65" w:type="dxa"/>
              <w:left w:w="75" w:type="dxa"/>
              <w:right w:w="75" w:type="dxa"/>
            </w:tcMar>
            <w:shd w:fill="F6F7F8"/>
          </w:tcPr>
          <w:p>
            <w:pPr>
              <w:spacing w:before="0" w:after="0" w:line="240" w:lineRule="auto"/>
            </w:pPr>
            <w:r>
              <w:rPr>
                <w:rFonts w:ascii="Times New Roman" w:hAnsi="Times New Roman"/>
                <w:b w:val="0"/>
                <w:sz w:val="21"/>
              </w:rPr>
              <w:t>1.595399492</w:t>
            </w:r>
          </w:p>
        </w:tc>
        <w:tc>
          <w:tcPr>
            <w:tcW w:type="dxa" w:w="2520"/>
            <w:vAlign w:val="center"/>
            <w:tcMar>
              <w:top w:w="65" w:type="dxa"/>
              <w:bottom w:w="65" w:type="dxa"/>
              <w:left w:w="75" w:type="dxa"/>
              <w:right w:w="75" w:type="dxa"/>
            </w:tcMar>
            <w:shd w:fill="F6F7F8"/>
          </w:tcPr>
          <w:p>
            <w:pPr>
              <w:spacing w:before="0" w:after="0" w:line="240" w:lineRule="auto"/>
            </w:pPr>
            <w:r>
              <w:rPr>
                <w:rFonts w:ascii="Times New Roman" w:hAnsi="Times New Roman"/>
                <w:b w:val="0"/>
                <w:sz w:val="21"/>
              </w:rPr>
              <w:t>1.596849951</w:t>
            </w:r>
          </w:p>
        </w:tc>
      </w:tr>
      <w:tr>
        <w:trPr>
          <w:cantSplit/>
        </w:trPr>
        <w:tc>
          <w:tcPr>
            <w:tcW w:type="dxa" w:w="4954"/>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Sum of these two executions</w:t>
            </w:r>
          </w:p>
        </w:tc>
        <w:tc>
          <w:tcPr>
            <w:tcW w:type="dxa" w:w="2520"/>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5.231627152</w:t>
            </w:r>
          </w:p>
        </w:tc>
        <w:tc>
          <w:tcPr>
            <w:tcW w:type="dxa" w:w="2520"/>
            <w:vAlign w:val="center"/>
            <w:tcMar>
              <w:top w:w="65" w:type="dxa"/>
              <w:bottom w:w="65" w:type="dxa"/>
              <w:left w:w="75" w:type="dxa"/>
              <w:right w:w="75" w:type="dxa"/>
            </w:tcMar>
            <w:shd w:fill="FFFFFF"/>
          </w:tcPr>
          <w:p>
            <w:pPr>
              <w:spacing w:before="0" w:after="0" w:line="240" w:lineRule="auto"/>
            </w:pPr>
            <w:r>
              <w:rPr>
                <w:rFonts w:ascii="Times New Roman" w:hAnsi="Times New Roman"/>
                <w:b w:val="0"/>
                <w:sz w:val="21"/>
              </w:rPr>
              <w:t>5.239139851</w:t>
            </w:r>
          </w:p>
        </w:tc>
      </w:tr>
    </w:tbl>
    <w:p>
      <w:pPr>
        <w:spacing w:after="0"/>
      </w:pPr>
    </w:p>
    <w:p>
      <w:r>
        <w:t>Environment: CPython 3.12.14 on Linux x86-64. The main run reserved 180 CPU-seconds within the task’s five-minute limit and used approximately 51.3 MiB peak resident memory. The separate seal audit used 0.000868205 CPU-seconds. Model inference, document production and tool overhead are not included or estimated.</w:t>
      </w:r>
    </w:p>
    <w:p>
      <w:r>
        <w:t>Main computation: 30 October 2026 11:17:14.458906 EDT through 11:17:18.101197 EDT.</w:t>
      </w:r>
    </w:p>
    <w:p>
      <w:r>
        <w:t>Independent validator: 30 October 2026 11:17:33.060224 EDT through 11:17:34.657072 EDT.</w:t>
      </w:r>
    </w:p>
    <w:p>
      <w:r>
        <w:t>Three delegated review tasks supported this confirmation: source and API integrity, mathematical scope and certificate logic, and independent arithmetic validation. They inherited the current model and conversation context. The numerical receipts report measured computation, not estimated agent-inference time.</w:t>
      </w:r>
    </w:p>
    <w:p>
      <w:pPr>
        <w:pStyle w:val="Heading1"/>
      </w:pPr>
      <w:r>
        <w:t>8 Output identities and reproducibility</w:t>
      </w:r>
    </w:p>
    <w:p>
      <w:r>
        <w:t>The evidence archive contains the complete numerical certificate, exhaustive screen, sealed-core records, runtime and validation receipts, adapter, independent validator, task order, earlier draft, and unchanged sealed ZIP. Its file manifest records the hashes of all included files. The independent checker can validate the supplied certificate without running the optimizer.</w:t>
      </w:r>
    </w:p>
    <w:p>
      <w:pPr>
        <w:keepNext/>
      </w:pPr>
      <w:r>
        <w:t>Numerical certificate refutation_certificate.json</w:t>
      </w:r>
    </w:p>
    <w:p>
      <w:r>
        <w:rPr>
          <w:rFonts w:ascii="Consolas" w:hAnsi="Consolas"/>
          <w:sz w:val="19"/>
        </w:rPr>
        <w:t>4ef0ba8518bba48477287ca511a358964f79a5ddfd19c5884401b3d053f4b163</w:t>
      </w:r>
    </w:p>
    <w:p>
      <w:pPr>
        <w:keepNext/>
      </w:pPr>
      <w:r>
        <w:t>Independent validation receipt independent_validation.json</w:t>
      </w:r>
    </w:p>
    <w:p>
      <w:r>
        <w:rPr>
          <w:rFonts w:ascii="Consolas" w:hAnsi="Consolas"/>
          <w:sz w:val="19"/>
        </w:rPr>
        <w:t>699998bd48a4965d9c7523021eb9d3ba70238dbaf5d601887b2faa8b6fbd85ba</w:t>
      </w:r>
    </w:p>
    <w:p>
      <w:pPr>
        <w:keepNext/>
      </w:pPr>
      <w:r>
        <w:t>Sealed implementation es_qp_dp.py</w:t>
      </w:r>
    </w:p>
    <w:p>
      <w:r>
        <w:rPr>
          <w:rFonts w:ascii="Consolas" w:hAnsi="Consolas"/>
          <w:sz w:val="19"/>
        </w:rPr>
        <w:t>d5d8ef9f88955fbfe58a2699c796ed393b18d484a772df2d23cf7d6ac50994cf</w:t>
      </w:r>
    </w:p>
    <w:p>
      <w:pPr>
        <w:keepNext/>
      </w:pPr>
      <w:r>
        <w:t>Authorized adapter run_refutation.py</w:t>
      </w:r>
    </w:p>
    <w:p>
      <w:r>
        <w:rPr>
          <w:rFonts w:ascii="Consolas" w:hAnsi="Consolas"/>
          <w:sz w:val="19"/>
        </w:rPr>
        <w:t>f599f690d699540c876ffd2d8678702deb931d48ea589dbf4632fa1bfd19e532</w:t>
      </w:r>
    </w:p>
    <w:p>
      <w:pPr>
        <w:keepNext/>
      </w:pPr>
      <w:r>
        <w:t>Independent validator independent_validate.py</w:t>
      </w:r>
    </w:p>
    <w:p>
      <w:r>
        <w:rPr>
          <w:rFonts w:ascii="Consolas" w:hAnsi="Consolas"/>
          <w:sz w:val="19"/>
        </w:rPr>
        <w:t>9d4b0c6cb64b6c4db572e36422f984f5f3b1c967d895f254d7fac968170057a8</w:t>
      </w:r>
    </w:p>
    <w:p>
      <w:pPr>
        <w:keepNext/>
      </w:pPr>
      <w:r>
        <w:t>Evidence archive ES_Q_REF_1_Evidence_2026-10-30.zip</w:t>
      </w:r>
    </w:p>
    <w:p>
      <w:r>
        <w:rPr>
          <w:rFonts w:ascii="Consolas" w:hAnsi="Consolas"/>
          <w:sz w:val="19"/>
        </w:rPr>
        <w:t>e29159cabaaa43a5ca22c61d1e306021a9480587b612169c05535a4404851ddd</w:t>
      </w:r>
    </w:p>
    <w:p>
      <w:r>
        <w:t>The finalized Word report’s own SHA-256 is supplied in the accompanying message, outside the file it identifies.</w:t>
      </w:r>
    </w:p>
    <w:p>
      <w:pPr>
        <w:pStyle w:val="Heading1"/>
      </w:pPr>
      <w:r>
        <w:t>Sources</w:t>
      </w:r>
    </w:p>
    <w:p>
      <w:r>
        <w:t>[S1] ES-Q-REF-1 Task for GPT, 30 October 2026. The director-issued task order and its 54-cell comparison table. Source SHA-256: d09d6f239f9c02c9317e7461da869d39ff35b799c592366c87c8da3ff3dd5ec6</w:t>
      </w:r>
    </w:p>
    <w:p>
      <w:r>
        <w:t>[S2] Energy Thresholds and Structural Reductions for the Erdős Straus Conjecture, draft dated 29 October 2026. Sections 2 and 3, Lemma 1, Theorem 5, Proposition 15, and Section 5.2 / Conjecture 16. Source SHA-256: 8f02fe350d350550808d7cd153ea08688284b9e1b459782a1ae7081cfd936533</w:t>
      </w:r>
    </w:p>
    <w:p>
      <w:r>
        <w:t>[S3] Frozen ES-QP-TEST v1.0 specification, accepted RC2 Word bytes, and GPT-DP-1.0.0 source seal. Specification SHA-256: d7733192878a7310c3c7230f068f255f3abf6034b22cbf9ef1e68a5113d1d97c. All source identities and the original package are retained in the evidence archive.</w:t>
      </w:r>
    </w:p>
    <w:p>
      <w:pPr>
        <w:pStyle w:val="Heading1"/>
      </w:pPr>
      <w:r>
        <w:t>Appendix A All 54 independently computed cells</w:t>
      </w:r>
    </w:p>
    <w:p>
      <w:r>
        <w:t>All values below were regenerated by the unchanged sealed mathematical core and checked independently. The columns d, x, channel, T, E, M and E &lt; M agree with every reference row. E − M is included to show the exact gap. Every explicit avoiding profile attains M and satisfies the required constraints.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296"/>
        <w:gridCol w:w="1152"/>
        <w:gridCol w:w="936"/>
        <w:gridCol w:w="936"/>
        <w:gridCol w:w="936"/>
        <w:gridCol w:w="1368"/>
        <w:gridCol w:w="2074"/>
      </w:tblGrid>
      <w:tr>
        <w:trPr>
          <w:cantSplit/>
          <w:tblHeader/>
        </w:trPr>
        <w:tc>
          <w:tcPr>
            <w:tcW w:type="dxa" w:w="1296"/>
            <w:vAlign w:val="center"/>
            <w:tcMar>
              <w:top w:w="65" w:type="dxa"/>
              <w:bottom w:w="65" w:type="dxa"/>
              <w:left w:w="75" w:type="dxa"/>
              <w:right w:w="75" w:type="dxa"/>
            </w:tcMar>
            <w:shd w:fill="E8EDF1"/>
          </w:tcPr>
          <w:p>
            <w:pPr>
              <w:spacing w:before="0" w:after="0" w:line="240" w:lineRule="auto"/>
              <w:jc w:val="center"/>
            </w:pPr>
            <w:r>
              <w:rPr>
                <w:rFonts w:ascii="Times New Roman" w:hAnsi="Times New Roman"/>
                <w:b/>
                <w:sz w:val="21"/>
              </w:rPr>
              <w:t>d</w:t>
            </w:r>
          </w:p>
        </w:tc>
        <w:tc>
          <w:tcPr>
            <w:tcW w:type="dxa" w:w="1296"/>
            <w:vAlign w:val="center"/>
            <w:tcMar>
              <w:top w:w="65" w:type="dxa"/>
              <w:bottom w:w="65" w:type="dxa"/>
              <w:left w:w="75" w:type="dxa"/>
              <w:right w:w="75" w:type="dxa"/>
            </w:tcMar>
            <w:shd w:fill="E8EDF1"/>
          </w:tcPr>
          <w:p>
            <w:pPr>
              <w:spacing w:before="0" w:after="0" w:line="240" w:lineRule="auto"/>
              <w:jc w:val="center"/>
            </w:pPr>
            <w:r>
              <w:rPr>
                <w:rFonts w:ascii="Times New Roman" w:hAnsi="Times New Roman"/>
                <w:b/>
                <w:sz w:val="21"/>
              </w:rPr>
              <w:t>x</w:t>
            </w:r>
          </w:p>
        </w:tc>
        <w:tc>
          <w:tcPr>
            <w:tcW w:type="dxa" w:w="1152"/>
            <w:vAlign w:val="center"/>
            <w:tcMar>
              <w:top w:w="65" w:type="dxa"/>
              <w:bottom w:w="65" w:type="dxa"/>
              <w:left w:w="75" w:type="dxa"/>
              <w:right w:w="75" w:type="dxa"/>
            </w:tcMar>
            <w:shd w:fill="E8EDF1"/>
          </w:tcPr>
          <w:p>
            <w:pPr>
              <w:spacing w:before="0" w:after="0" w:line="240" w:lineRule="auto"/>
              <w:jc w:val="center"/>
            </w:pPr>
            <w:r>
              <w:rPr>
                <w:rFonts w:ascii="Times New Roman" w:hAnsi="Times New Roman"/>
                <w:b/>
                <w:sz w:val="21"/>
              </w:rPr>
              <w:t>Channel</w:t>
            </w:r>
          </w:p>
        </w:tc>
        <w:tc>
          <w:tcPr>
            <w:tcW w:type="dxa" w:w="936"/>
            <w:vAlign w:val="center"/>
            <w:tcMar>
              <w:top w:w="65" w:type="dxa"/>
              <w:bottom w:w="65" w:type="dxa"/>
              <w:left w:w="75" w:type="dxa"/>
              <w:right w:w="75" w:type="dxa"/>
            </w:tcMar>
            <w:shd w:fill="E8EDF1"/>
          </w:tcPr>
          <w:p>
            <w:pPr>
              <w:spacing w:before="0" w:after="0" w:line="240" w:lineRule="auto"/>
              <w:jc w:val="center"/>
            </w:pPr>
            <w:r>
              <w:rPr>
                <w:rFonts w:ascii="Times New Roman" w:hAnsi="Times New Roman"/>
                <w:b/>
                <w:sz w:val="21"/>
              </w:rPr>
              <w:t>T</w:t>
            </w:r>
          </w:p>
        </w:tc>
        <w:tc>
          <w:tcPr>
            <w:tcW w:type="dxa" w:w="936"/>
            <w:vAlign w:val="center"/>
            <w:tcMar>
              <w:top w:w="65" w:type="dxa"/>
              <w:bottom w:w="65" w:type="dxa"/>
              <w:left w:w="75" w:type="dxa"/>
              <w:right w:w="75" w:type="dxa"/>
            </w:tcMar>
            <w:shd w:fill="E8EDF1"/>
          </w:tcPr>
          <w:p>
            <w:pPr>
              <w:spacing w:before="0" w:after="0" w:line="240" w:lineRule="auto"/>
              <w:jc w:val="center"/>
            </w:pPr>
            <w:r>
              <w:rPr>
                <w:rFonts w:ascii="Times New Roman" w:hAnsi="Times New Roman"/>
                <w:b/>
                <w:sz w:val="21"/>
              </w:rPr>
              <w:t>E</w:t>
            </w:r>
          </w:p>
        </w:tc>
        <w:tc>
          <w:tcPr>
            <w:tcW w:type="dxa" w:w="936"/>
            <w:vAlign w:val="center"/>
            <w:tcMar>
              <w:top w:w="65" w:type="dxa"/>
              <w:bottom w:w="65" w:type="dxa"/>
              <w:left w:w="75" w:type="dxa"/>
              <w:right w:w="75" w:type="dxa"/>
            </w:tcMar>
            <w:shd w:fill="E8EDF1"/>
          </w:tcPr>
          <w:p>
            <w:pPr>
              <w:spacing w:before="0" w:after="0" w:line="240" w:lineRule="auto"/>
              <w:jc w:val="center"/>
            </w:pPr>
            <w:r>
              <w:rPr>
                <w:rFonts w:ascii="Times New Roman" w:hAnsi="Times New Roman"/>
                <w:b/>
                <w:sz w:val="21"/>
              </w:rPr>
              <w:t>M</w:t>
            </w:r>
          </w:p>
        </w:tc>
        <w:tc>
          <w:tcPr>
            <w:tcW w:type="dxa" w:w="1368"/>
            <w:vAlign w:val="center"/>
            <w:tcMar>
              <w:top w:w="65" w:type="dxa"/>
              <w:bottom w:w="65" w:type="dxa"/>
              <w:left w:w="75" w:type="dxa"/>
              <w:right w:w="75" w:type="dxa"/>
            </w:tcMar>
            <w:shd w:fill="E8EDF1"/>
          </w:tcPr>
          <w:p>
            <w:pPr>
              <w:spacing w:before="0" w:after="0" w:line="240" w:lineRule="auto"/>
              <w:jc w:val="center"/>
            </w:pPr>
            <w:r>
              <w:rPr>
                <w:rFonts w:ascii="Times New Roman" w:hAnsi="Times New Roman"/>
                <w:b/>
                <w:sz w:val="21"/>
              </w:rPr>
              <w:t>E − M</w:t>
            </w:r>
          </w:p>
        </w:tc>
        <w:tc>
          <w:tcPr>
            <w:tcW w:type="dxa" w:w="2074"/>
            <w:vAlign w:val="center"/>
            <w:tcMar>
              <w:top w:w="65" w:type="dxa"/>
              <w:bottom w:w="65" w:type="dxa"/>
              <w:left w:w="75" w:type="dxa"/>
              <w:right w:w="75" w:type="dxa"/>
            </w:tcMar>
            <w:shd w:fill="E8EDF1"/>
          </w:tcPr>
          <w:p>
            <w:pPr>
              <w:spacing w:before="0" w:after="0" w:line="240" w:lineRule="auto"/>
              <w:jc w:val="center"/>
            </w:pPr>
            <w:r>
              <w:rPr>
                <w:rFonts w:ascii="Times New Roman" w:hAnsi="Times New Roman"/>
                <w:b/>
                <w:sz w:val="21"/>
              </w:rPr>
              <w:t>E &lt; M</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31</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16598</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31</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16598</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18</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28</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26</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43</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16601</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43</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16601</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6</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8</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6</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47</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16602</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47</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16602</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18</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24</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18</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6</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71</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16608</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33</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49</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33</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71</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16608</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66</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140</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130</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10</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95</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16614</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23</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37</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37</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95</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16614</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46</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132</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128</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4</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119</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16620</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20</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28</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20</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8</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119</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16620</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40</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74</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74</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155</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16629</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5</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5</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5</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155</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16629</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10</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10</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6</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263</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16656</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27</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27</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27</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263</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16656</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54</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62</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54</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8</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279</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16660</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40</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60</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40</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279</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16660</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70</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186</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122</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64</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359</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16680</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63</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79</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63</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359</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16680</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126</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162</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126</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36</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519</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16720</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40</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44</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40</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4</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519</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16720</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80</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116</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80</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36</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559</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16730</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13</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13</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13</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559</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16730</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28</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28</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28</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935</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16824</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8</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8</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8</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935</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16824</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6</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8</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6</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959</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16830</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72</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76</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72</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4</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959</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16830</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126</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144</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126</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18</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1063</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16856</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35</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35</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35</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1063</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16856</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70</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74</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70</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4</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1151</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16878</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27</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27</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27</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1151</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16878</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54</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54</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54</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1415</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16944</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13</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13</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13</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1415</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16944</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28</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34</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28</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6</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1927</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17072</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1927</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17072</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36</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36</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36</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1959</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17080</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30</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38</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30</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8</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1959</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17080</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60</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76</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60</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16</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2147</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17127</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2147</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17127</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18</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18</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18</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8439</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18700</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14</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14</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14</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8439</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18700</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32</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32</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32</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9519</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18970</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6</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6</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6</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9519</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18970</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12</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12</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12</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9759</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19030</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14</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14</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14</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9759</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19030</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26</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26</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26</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17839</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21050</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15</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15</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15</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17839</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21050</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30</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30</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30</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60559</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31730</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18</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18</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18</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60559</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31730</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18</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18</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18</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85879</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38060</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24</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24</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24</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85879</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38060</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42</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42</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42</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103983</w:t>
            </w:r>
          </w:p>
        </w:tc>
        <w:tc>
          <w:tcPr>
            <w:tcW w:type="dxa" w:w="129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42586</w:t>
            </w:r>
          </w:p>
        </w:tc>
        <w:tc>
          <w:tcPr>
            <w:tcW w:type="dxa" w:w="1152"/>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I</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4</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4</w:t>
            </w:r>
          </w:p>
        </w:tc>
        <w:tc>
          <w:tcPr>
            <w:tcW w:type="dxa" w:w="936"/>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4</w:t>
            </w:r>
          </w:p>
        </w:tc>
        <w:tc>
          <w:tcPr>
            <w:tcW w:type="dxa" w:w="1368"/>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FFFFF"/>
          </w:tcPr>
          <w:p>
            <w:pPr>
              <w:spacing w:before="0" w:after="0" w:line="240" w:lineRule="auto"/>
              <w:jc w:val="center"/>
            </w:pPr>
            <w:r>
              <w:rPr>
                <w:rFonts w:ascii="Times New Roman" w:hAnsi="Times New Roman"/>
                <w:b w:val="0"/>
                <w:sz w:val="21"/>
              </w:rPr>
              <w:t>no</w:t>
            </w:r>
          </w:p>
        </w:tc>
      </w:tr>
      <w:tr>
        <w:trPr>
          <w:cantSplit/>
        </w:trPr>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103983</w:t>
            </w:r>
          </w:p>
        </w:tc>
        <w:tc>
          <w:tcPr>
            <w:tcW w:type="dxa" w:w="129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42586</w:t>
            </w:r>
          </w:p>
        </w:tc>
        <w:tc>
          <w:tcPr>
            <w:tcW w:type="dxa" w:w="1152"/>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II</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w:t>
            </w:r>
          </w:p>
        </w:tc>
        <w:tc>
          <w:tcPr>
            <w:tcW w:type="dxa" w:w="936"/>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2</w:t>
            </w:r>
          </w:p>
        </w:tc>
        <w:tc>
          <w:tcPr>
            <w:tcW w:type="dxa" w:w="1368"/>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0</w:t>
            </w:r>
          </w:p>
        </w:tc>
        <w:tc>
          <w:tcPr>
            <w:tcW w:type="dxa" w:w="2074"/>
            <w:vAlign w:val="center"/>
            <w:tcMar>
              <w:top w:w="65" w:type="dxa"/>
              <w:bottom w:w="65" w:type="dxa"/>
              <w:left w:w="75" w:type="dxa"/>
              <w:right w:w="75" w:type="dxa"/>
            </w:tcMar>
            <w:shd w:fill="F6F7F8"/>
          </w:tcPr>
          <w:p>
            <w:pPr>
              <w:spacing w:before="0" w:after="0" w:line="240" w:lineRule="auto"/>
              <w:jc w:val="center"/>
            </w:pPr>
            <w:r>
              <w:rPr>
                <w:rFonts w:ascii="Times New Roman" w:hAnsi="Times New Roman"/>
                <w:b w:val="0"/>
                <w:sz w:val="21"/>
              </w:rPr>
              <w:t>no</w:t>
            </w:r>
          </w:p>
        </w:tc>
      </w:tr>
    </w:tbl>
    <w:p>
      <w:pPr>
        <w:spacing w:after="0"/>
      </w:pPr>
    </w:p>
    <w:sectPr w:rsidR="00FC693F" w:rsidRPr="0006063C" w:rsidSect="00034616">
      <w:footerReference w:type="default" r:id="rId9"/>
      <w:pgSz w:w="12240" w:h="15840"/>
      <w:pgMar w:top="1037" w:right="1123" w:bottom="1037" w:left="1123"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30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line="252" w:lineRule="auto"/>
      <w:outlineLvl w:val="0"/>
    </w:pPr>
    <w:rPr>
      <w:rFonts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60" w:after="120" w:line="252"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52" w:lineRule="auto"/>
      <w:contextualSpacing/>
    </w:pPr>
    <w:rPr>
      <w:rFonts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2" w:lineRule="auto" w:after="120"/>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Confirmation of the Conjecture Q Refutation</dc:title>
  <dc:subject>ES Q REF 1 complete single prime confirmation at 66361</dc:subject>
  <dc:creator>GPT for Dr William Houze</dc:creator>
  <cp:keywords/>
  <dc:description>generated by python-docx</dc:description>
  <cp:lastModifiedBy/>
  <cp:revision>1</cp:revision>
  <dcterms:created xsi:type="dcterms:W3CDTF">2013-12-23T23:15:00Z</dcterms:created>
  <dcterms:modified xsi:type="dcterms:W3CDTF">2013-12-23T23:15:00Z</dcterms:modified>
  <cp:category/>
</cp:coreProperties>
</file>