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BB4" w:rsidRPr="005F4BB4" w:rsidRDefault="005F4BB4" w:rsidP="005F4BB4">
      <w:pPr>
        <w:pStyle w:val="Heading1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/>
          <w:bCs/>
        </w:rPr>
        <w:t xml:space="preserve">Group </w:t>
      </w:r>
      <w:r w:rsidR="00FE1CD3">
        <w:rPr>
          <w:rStyle w:val="Strong"/>
          <w:rFonts w:asciiTheme="minorHAnsi" w:hAnsiTheme="minorHAnsi" w:cstheme="minorHAnsi"/>
          <w:b/>
          <w:bCs/>
        </w:rPr>
        <w:t>No.</w:t>
      </w:r>
      <w:r w:rsidRPr="005F4BB4">
        <w:rPr>
          <w:rStyle w:val="Strong"/>
          <w:rFonts w:asciiTheme="minorHAnsi" w:hAnsiTheme="minorHAnsi" w:cstheme="minorHAnsi"/>
          <w:b/>
          <w:bCs/>
        </w:rPr>
        <w:t>6 — Insights &amp; Storytelling Report</w:t>
      </w:r>
    </w:p>
    <w:p w:rsidR="005F4BB4" w:rsidRPr="005F4BB4" w:rsidRDefault="005F4BB4" w:rsidP="00FE1CD3">
      <w:pPr>
        <w:pStyle w:val="NormalWeb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Dashboard:</w:t>
      </w:r>
      <w:r w:rsidRPr="005F4BB4">
        <w:rPr>
          <w:rFonts w:asciiTheme="minorHAnsi" w:hAnsiTheme="minorHAnsi" w:cstheme="minorHAnsi"/>
        </w:rPr>
        <w:t xml:space="preserve"> ELT Workflow (Fact Sales (ELT), Customers (ELT), Products (ELT), Date (ELT)</w:t>
      </w:r>
      <w:proofErr w:type="gramStart"/>
      <w:r w:rsidRPr="005F4BB4">
        <w:rPr>
          <w:rFonts w:asciiTheme="minorHAnsi" w:hAnsiTheme="minorHAnsi" w:cstheme="minorHAnsi"/>
        </w:rPr>
        <w:t>)</w:t>
      </w:r>
      <w:proofErr w:type="gramEnd"/>
      <w:r w:rsidRPr="005F4BB4">
        <w:rPr>
          <w:rFonts w:asciiTheme="minorHAnsi" w:hAnsiTheme="minorHAnsi" w:cstheme="minorHAnsi"/>
        </w:rPr>
        <w:br/>
      </w:r>
      <w:r w:rsidRPr="005F4BB4">
        <w:rPr>
          <w:rStyle w:val="Strong"/>
          <w:rFonts w:asciiTheme="minorHAnsi" w:hAnsiTheme="minorHAnsi" w:cstheme="minorHAnsi"/>
        </w:rPr>
        <w:t>Prepared by:</w:t>
      </w:r>
      <w:r w:rsidRPr="005F4BB4">
        <w:rPr>
          <w:rFonts w:asciiTheme="minorHAnsi" w:hAnsiTheme="minorHAnsi" w:cstheme="minorHAnsi"/>
        </w:rPr>
        <w:t xml:space="preserve"> Group </w:t>
      </w:r>
      <w:r w:rsidR="00FE1CD3">
        <w:rPr>
          <w:rFonts w:asciiTheme="minorHAnsi" w:hAnsiTheme="minorHAnsi" w:cstheme="minorHAnsi"/>
        </w:rPr>
        <w:t>No.</w:t>
      </w:r>
      <w:r w:rsidRPr="005F4BB4">
        <w:rPr>
          <w:rFonts w:asciiTheme="minorHAnsi" w:hAnsiTheme="minorHAnsi" w:cstheme="minorHAnsi"/>
        </w:rPr>
        <w:t>6</w:t>
      </w:r>
      <w:r w:rsidRPr="005F4BB4">
        <w:rPr>
          <w:rFonts w:asciiTheme="minorHAnsi" w:hAnsiTheme="minorHAnsi" w:cstheme="minorHAnsi"/>
        </w:rPr>
        <w:br/>
      </w:r>
      <w:r w:rsidRPr="005F4BB4">
        <w:rPr>
          <w:rStyle w:val="Strong"/>
          <w:rFonts w:asciiTheme="minorHAnsi" w:hAnsiTheme="minorHAnsi" w:cstheme="minorHAnsi"/>
        </w:rPr>
        <w:t>Deliverable:</w:t>
      </w:r>
      <w:r w:rsidRPr="005F4BB4">
        <w:rPr>
          <w:rFonts w:asciiTheme="minorHAnsi" w:hAnsiTheme="minorHAnsi" w:cstheme="minorHAnsi"/>
        </w:rPr>
        <w:t xml:space="preserve"> Deliverable 4 — Power BI dashboard insights</w:t>
      </w:r>
    </w:p>
    <w:p w:rsidR="005F4BB4" w:rsidRPr="005F4BB4" w:rsidRDefault="005F4BB4" w:rsidP="005F4BB4">
      <w:pPr>
        <w:pStyle w:val="Heading2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/>
          <w:bCs/>
        </w:rPr>
        <w:t>Introduction</w:t>
      </w:r>
    </w:p>
    <w:p w:rsidR="005F4BB4" w:rsidRPr="005F4BB4" w:rsidRDefault="005F4BB4" w:rsidP="00FE1CD3">
      <w:pPr>
        <w:pStyle w:val="NormalWeb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This two-page summary documents the visual design choices, analytical findings, performance metrics, and business recommendations derived from the ELT-driven Power BI dashboard. The dashboard combines cleaned ELT fact and dimension tables with MOLAP summary tables for validation. Its goal is to provide an executive single-page view for performance monitoring, operational follow-up, and strategic decision-making.</w:t>
      </w:r>
    </w:p>
    <w:p w:rsidR="005F4BB4" w:rsidRPr="005F4BB4" w:rsidRDefault="005F4BB4" w:rsidP="005F4BB4">
      <w:pPr>
        <w:pStyle w:val="Heading2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/>
          <w:bCs/>
        </w:rPr>
        <w:t>Visual Design Logic</w:t>
      </w:r>
    </w:p>
    <w:p w:rsidR="005F4BB4" w:rsidRPr="005F4BB4" w:rsidRDefault="005F4BB4" w:rsidP="005F4BB4">
      <w:pPr>
        <w:pStyle w:val="NormalWeb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The dashboard is designed for a single-page executive layout, providing immediate insight into business performance while allowing drill-down and ad-hoc exploration.</w:t>
      </w:r>
    </w:p>
    <w:p w:rsidR="005F4BB4" w:rsidRPr="005F4BB4" w:rsidRDefault="005F4BB4" w:rsidP="005F4BB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KPI Row (Top)</w:t>
      </w:r>
      <w:r w:rsidRPr="005F4BB4">
        <w:rPr>
          <w:rFonts w:asciiTheme="minorHAnsi" w:hAnsiTheme="minorHAnsi" w:cstheme="minorHAnsi"/>
        </w:rPr>
        <w:br/>
        <w:t>Quick “one-second” decision-making metrics:</w:t>
      </w:r>
    </w:p>
    <w:p w:rsidR="005F4BB4" w:rsidRPr="005F4BB4" w:rsidRDefault="005F4BB4" w:rsidP="005F4BB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Total Revenue:</w:t>
      </w:r>
      <w:r w:rsidRPr="005F4BB4">
        <w:rPr>
          <w:rFonts w:asciiTheme="minorHAnsi" w:hAnsiTheme="minorHAnsi" w:cstheme="minorHAnsi"/>
        </w:rPr>
        <w:t xml:space="preserve"> 9.75M</w:t>
      </w:r>
    </w:p>
    <w:p w:rsidR="005F4BB4" w:rsidRPr="005F4BB4" w:rsidRDefault="005F4BB4" w:rsidP="005F4BB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Total Orders:</w:t>
      </w:r>
      <w:r w:rsidRPr="005F4BB4">
        <w:rPr>
          <w:rFonts w:asciiTheme="minorHAnsi" w:hAnsiTheme="minorHAnsi" w:cstheme="minorHAnsi"/>
        </w:rPr>
        <w:t xml:space="preserve"> ~26K</w:t>
      </w:r>
    </w:p>
    <w:p w:rsidR="005F4BB4" w:rsidRPr="005F4BB4" w:rsidRDefault="005F4BB4" w:rsidP="005F4BB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ARPO (Avg Revenue per Order):</w:t>
      </w:r>
      <w:r w:rsidRPr="005F4BB4">
        <w:rPr>
          <w:rFonts w:asciiTheme="minorHAnsi" w:hAnsiTheme="minorHAnsi" w:cstheme="minorHAnsi"/>
        </w:rPr>
        <w:t xml:space="preserve"> ~376</w:t>
      </w:r>
    </w:p>
    <w:p w:rsidR="005F4BB4" w:rsidRPr="005F4BB4" w:rsidRDefault="005F4BB4" w:rsidP="005F4BB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YoY Growth %:</w:t>
      </w:r>
      <w:r w:rsidRPr="005F4BB4">
        <w:rPr>
          <w:rFonts w:asciiTheme="minorHAnsi" w:hAnsiTheme="minorHAnsi" w:cstheme="minorHAnsi"/>
        </w:rPr>
        <w:t xml:space="preserve"> ~12%</w:t>
      </w:r>
    </w:p>
    <w:p w:rsidR="005F4BB4" w:rsidRPr="005F4BB4" w:rsidRDefault="005F4BB4" w:rsidP="005F4BB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Top Region (optional card):</w:t>
      </w:r>
      <w:r w:rsidRPr="005F4BB4">
        <w:rPr>
          <w:rFonts w:asciiTheme="minorHAnsi" w:hAnsiTheme="minorHAnsi" w:cstheme="minorHAnsi"/>
        </w:rPr>
        <w:t xml:space="preserve"> highest-revenue country at a glance</w:t>
      </w:r>
    </w:p>
    <w:p w:rsidR="005F4BB4" w:rsidRPr="005F4BB4" w:rsidRDefault="005F4BB4" w:rsidP="005F4BB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Time Series (Left</w:t>
      </w:r>
      <w:proofErr w:type="gramStart"/>
      <w:r w:rsidRPr="005F4BB4">
        <w:rPr>
          <w:rStyle w:val="Strong"/>
          <w:rFonts w:asciiTheme="minorHAnsi" w:hAnsiTheme="minorHAnsi" w:cstheme="minorHAnsi"/>
        </w:rPr>
        <w:t>)</w:t>
      </w:r>
      <w:proofErr w:type="gramEnd"/>
      <w:r w:rsidRPr="005F4BB4">
        <w:rPr>
          <w:rFonts w:asciiTheme="minorHAnsi" w:hAnsiTheme="minorHAnsi" w:cstheme="minorHAnsi"/>
        </w:rPr>
        <w:br/>
        <w:t>Monthly revenue trend using Date (ELT) hierarchy with drill-down. Shows seasonality and peak months. Continuous axis and data labels highlight monthly spikes.</w:t>
      </w:r>
    </w:p>
    <w:p w:rsidR="005F4BB4" w:rsidRPr="005F4BB4" w:rsidRDefault="005F4BB4" w:rsidP="005F4BB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Category Bar Chart (Centre</w:t>
      </w:r>
      <w:proofErr w:type="gramStart"/>
      <w:r w:rsidRPr="005F4BB4">
        <w:rPr>
          <w:rStyle w:val="Strong"/>
          <w:rFonts w:asciiTheme="minorHAnsi" w:hAnsiTheme="minorHAnsi" w:cstheme="minorHAnsi"/>
        </w:rPr>
        <w:t>)</w:t>
      </w:r>
      <w:proofErr w:type="gramEnd"/>
      <w:r w:rsidRPr="005F4BB4">
        <w:rPr>
          <w:rFonts w:asciiTheme="minorHAnsi" w:hAnsiTheme="minorHAnsi" w:cstheme="minorHAnsi"/>
        </w:rPr>
        <w:br/>
        <w:t>Top-5 category view from Products (ELT)[Category]. Highlights product families driving revenue — Home Decor dominates. Top-N filter focuses analyst attention.</w:t>
      </w:r>
    </w:p>
    <w:p w:rsidR="005F4BB4" w:rsidRPr="005F4BB4" w:rsidRDefault="005F4BB4" w:rsidP="005F4BB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Stacked Column (Right</w:t>
      </w:r>
      <w:proofErr w:type="gramStart"/>
      <w:r w:rsidRPr="005F4BB4">
        <w:rPr>
          <w:rStyle w:val="Strong"/>
          <w:rFonts w:asciiTheme="minorHAnsi" w:hAnsiTheme="minorHAnsi" w:cstheme="minorHAnsi"/>
        </w:rPr>
        <w:t>)</w:t>
      </w:r>
      <w:proofErr w:type="gramEnd"/>
      <w:r w:rsidRPr="005F4BB4">
        <w:rPr>
          <w:rFonts w:asciiTheme="minorHAnsi" w:hAnsiTheme="minorHAnsi" w:cstheme="minorHAnsi"/>
        </w:rPr>
        <w:br/>
        <w:t>Revenue by Country segmented by Customer Signup Year. Acts as a cohort proxy (substitute for loyalty tier) to reveal how cohorts contribute across geographies.</w:t>
      </w:r>
    </w:p>
    <w:p w:rsidR="005F4BB4" w:rsidRPr="005F4BB4" w:rsidRDefault="005F4BB4" w:rsidP="005F4BB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Matrix (Bottom</w:t>
      </w:r>
      <w:proofErr w:type="gramStart"/>
      <w:r w:rsidRPr="005F4BB4">
        <w:rPr>
          <w:rStyle w:val="Strong"/>
          <w:rFonts w:asciiTheme="minorHAnsi" w:hAnsiTheme="minorHAnsi" w:cstheme="minorHAnsi"/>
        </w:rPr>
        <w:t>)</w:t>
      </w:r>
      <w:proofErr w:type="gramEnd"/>
      <w:r w:rsidRPr="005F4BB4">
        <w:rPr>
          <w:rFonts w:asciiTheme="minorHAnsi" w:hAnsiTheme="minorHAnsi" w:cstheme="minorHAnsi"/>
        </w:rPr>
        <w:br/>
        <w:t>Customer-level summary: Name, Country, ARPC, Total Orders, Total Revenue. Enables account prioritization and targeted outreach.</w:t>
      </w:r>
    </w:p>
    <w:p w:rsidR="005F4BB4" w:rsidRPr="00FE1CD3" w:rsidRDefault="005F4BB4" w:rsidP="005F4BB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Interactivity</w:t>
      </w:r>
      <w:r w:rsidRPr="005F4BB4">
        <w:rPr>
          <w:rFonts w:asciiTheme="minorHAnsi" w:hAnsiTheme="minorHAnsi" w:cstheme="minorHAnsi"/>
        </w:rPr>
        <w:br/>
        <w:t>Slicers for Year, Month, Country, Category. Drilldowns and bookmarks allow ad-hoc checks witho</w:t>
      </w:r>
      <w:bookmarkStart w:id="0" w:name="_GoBack"/>
      <w:bookmarkEnd w:id="0"/>
      <w:r w:rsidRPr="005F4BB4">
        <w:rPr>
          <w:rFonts w:asciiTheme="minorHAnsi" w:hAnsiTheme="minorHAnsi" w:cstheme="minorHAnsi"/>
        </w:rPr>
        <w:t>ut leaving the dashboard.</w:t>
      </w:r>
    </w:p>
    <w:p w:rsidR="005F4BB4" w:rsidRPr="005F4BB4" w:rsidRDefault="005F4BB4" w:rsidP="00FE1CD3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/>
          <w:bCs/>
        </w:rPr>
        <w:lastRenderedPageBreak/>
        <w:t>Key Insights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1. High Aggregate Revenue but Geographic Concentration</w:t>
      </w:r>
    </w:p>
    <w:p w:rsidR="005F4BB4" w:rsidRPr="005F4BB4" w:rsidRDefault="005F4BB4" w:rsidP="00FE1CD3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Total Revenue ≈ 9.75M</w:t>
      </w:r>
    </w:p>
    <w:p w:rsidR="005F4BB4" w:rsidRPr="005F4BB4" w:rsidRDefault="005F4BB4" w:rsidP="00FE1CD3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The United Kingdom dominates revenue. This concentration indicates both dependence risk and growth opportunity for expansion.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2. Clear Seasonality and Late-Year Peaks</w:t>
      </w:r>
    </w:p>
    <w:p w:rsidR="005F4BB4" w:rsidRPr="005F4BB4" w:rsidRDefault="005F4BB4" w:rsidP="00FE1CD3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Monthly trend shows pronounced uplift in Oct–Dec (holidays/promotions).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3. Category Leadership</w:t>
      </w:r>
    </w:p>
    <w:p w:rsidR="005F4BB4" w:rsidRPr="005F4BB4" w:rsidRDefault="005F4BB4" w:rsidP="00FE1CD3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Home Decor leads substantially in both quantity and revenue.</w:t>
      </w:r>
    </w:p>
    <w:p w:rsidR="005F4BB4" w:rsidRPr="005F4BB4" w:rsidRDefault="005F4BB4" w:rsidP="00FE1CD3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Accessories and Kitchen follow as secondary contributors.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4. Healthy Per-Order Economics, Concentrated Buyers</w:t>
      </w:r>
    </w:p>
    <w:p w:rsidR="005F4BB4" w:rsidRPr="005F4BB4" w:rsidRDefault="005F4BB4" w:rsidP="00FE1CD3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ARPO ≈ 376</w:t>
      </w:r>
      <w:r w:rsidRPr="005F4BB4">
        <w:rPr>
          <w:rFonts w:asciiTheme="minorHAnsi" w:hAnsiTheme="minorHAnsi" w:cstheme="minorHAnsi"/>
        </w:rPr>
        <w:t xml:space="preserve">, </w:t>
      </w:r>
      <w:r w:rsidRPr="005F4BB4">
        <w:rPr>
          <w:rStyle w:val="Strong"/>
          <w:rFonts w:asciiTheme="minorHAnsi" w:hAnsiTheme="minorHAnsi" w:cstheme="minorHAnsi"/>
        </w:rPr>
        <w:t>ARPC ≈ 2.23K</w:t>
      </w:r>
    </w:p>
    <w:p w:rsidR="005F4BB4" w:rsidRPr="005F4BB4" w:rsidRDefault="005F4BB4" w:rsidP="00FE1CD3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A small set of high-value customers generate a large portion of revenue, with a long tail of smaller buyers.</w:t>
      </w:r>
    </w:p>
    <w:p w:rsidR="005F4BB4" w:rsidRPr="005F4BB4" w:rsidRDefault="005F4BB4" w:rsidP="005F4BB4">
      <w:pPr>
        <w:pStyle w:val="Heading2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/>
          <w:bCs/>
        </w:rPr>
        <w:t>Data / Pipeline Observations (ELT)</w:t>
      </w:r>
    </w:p>
    <w:p w:rsidR="005F4BB4" w:rsidRPr="005F4BB4" w:rsidRDefault="005F4BB4" w:rsidP="005F4BB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Date Join Fixes:</w:t>
      </w:r>
      <w:r w:rsidRPr="005F4BB4">
        <w:rPr>
          <w:rFonts w:asciiTheme="minorHAnsi" w:hAnsiTheme="minorHAnsi" w:cstheme="minorHAnsi"/>
        </w:rPr>
        <w:t xml:space="preserve"> Resolved earlier gaps by switching to date-based join (dt_date → dim_date.full_date) and indexing.</w:t>
      </w:r>
    </w:p>
    <w:p w:rsidR="005F4BB4" w:rsidRPr="005F4BB4" w:rsidRDefault="005F4BB4" w:rsidP="005F4BB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MOLAP Validation:</w:t>
      </w:r>
      <w:r w:rsidRPr="005F4BB4">
        <w:rPr>
          <w:rFonts w:asciiTheme="minorHAnsi" w:hAnsiTheme="minorHAnsi" w:cstheme="minorHAnsi"/>
        </w:rPr>
        <w:t xml:space="preserve"> Aggregates now align closely with fact totals.</w:t>
      </w:r>
    </w:p>
    <w:p w:rsidR="005F4BB4" w:rsidRPr="005F4BB4" w:rsidRDefault="005F4BB4" w:rsidP="005F4BB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Outliers:</w:t>
      </w:r>
      <w:r w:rsidRPr="005F4BB4">
        <w:rPr>
          <w:rFonts w:asciiTheme="minorHAnsi" w:hAnsiTheme="minorHAnsi" w:cstheme="minorHAnsi"/>
        </w:rPr>
        <w:t xml:space="preserve"> Some countries show unusually high revenue per customer (possible bulk/B2B orders or duplicates).</w:t>
      </w:r>
    </w:p>
    <w:p w:rsidR="005F4BB4" w:rsidRPr="005F4BB4" w:rsidRDefault="005F4BB4" w:rsidP="005F4BB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Price Fallbacks:</w:t>
      </w:r>
      <w:r w:rsidRPr="005F4BB4">
        <w:rPr>
          <w:rFonts w:asciiTheme="minorHAnsi" w:hAnsiTheme="minorHAnsi" w:cstheme="minorHAnsi"/>
        </w:rPr>
        <w:t xml:space="preserve"> Certain products used median unit prices; review to prevent margin distortion.</w:t>
      </w:r>
    </w:p>
    <w:p w:rsidR="005F4BB4" w:rsidRPr="005F4BB4" w:rsidRDefault="005F4BB4" w:rsidP="005F4BB4">
      <w:pPr>
        <w:pStyle w:val="Heading2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/>
          <w:bCs/>
        </w:rPr>
        <w:t>Performance Metrics &amp; Anomalies (DAX + Checks)</w:t>
      </w:r>
    </w:p>
    <w:p w:rsidR="005F4BB4" w:rsidRPr="005F4BB4" w:rsidRDefault="005F4BB4" w:rsidP="005F4BB4">
      <w:pPr>
        <w:pStyle w:val="NormalWeb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Primary DAX Measures:</w:t>
      </w:r>
    </w:p>
    <w:p w:rsidR="005F4BB4" w:rsidRPr="005F4BB4" w:rsidRDefault="005F4BB4" w:rsidP="005F4BB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F4BB4">
        <w:rPr>
          <w:rStyle w:val="HTMLCode"/>
          <w:rFonts w:asciiTheme="minorHAnsi" w:eastAsiaTheme="majorEastAsia" w:hAnsiTheme="minorHAnsi" w:cstheme="minorHAnsi"/>
        </w:rPr>
        <w:t>Total Revenue = SUM('Fact Sales (ELT)'[Total Amount])</w:t>
      </w:r>
    </w:p>
    <w:p w:rsidR="005F4BB4" w:rsidRPr="005F4BB4" w:rsidRDefault="005F4BB4" w:rsidP="005F4BB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F4BB4">
        <w:rPr>
          <w:rStyle w:val="HTMLCode"/>
          <w:rFonts w:asciiTheme="minorHAnsi" w:eastAsiaTheme="majorEastAsia" w:hAnsiTheme="minorHAnsi" w:cstheme="minorHAnsi"/>
        </w:rPr>
        <w:t>Total Orders = DISTINCTCOUNT('Fact Sales (ELT)'[Invoice ID])</w:t>
      </w:r>
    </w:p>
    <w:p w:rsidR="005F4BB4" w:rsidRPr="005F4BB4" w:rsidRDefault="005F4BB4" w:rsidP="005F4BB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F4BB4">
        <w:rPr>
          <w:rStyle w:val="HTMLCode"/>
          <w:rFonts w:asciiTheme="minorHAnsi" w:eastAsiaTheme="majorEastAsia" w:hAnsiTheme="minorHAnsi" w:cstheme="minorHAnsi"/>
        </w:rPr>
        <w:t>ARPO = DIVIDE([Total Revenue], [Total Orders])</w:t>
      </w:r>
    </w:p>
    <w:p w:rsidR="005F4BB4" w:rsidRPr="005F4BB4" w:rsidRDefault="005F4BB4" w:rsidP="005F4BB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F4BB4">
        <w:rPr>
          <w:rStyle w:val="HTMLCode"/>
          <w:rFonts w:asciiTheme="minorHAnsi" w:eastAsiaTheme="majorEastAsia" w:hAnsiTheme="minorHAnsi" w:cstheme="minorHAnsi"/>
        </w:rPr>
        <w:t>ARPC = DIVIDE([Total Revenue], DISTINCTCOUNT('Customers (ELT)'[Customer ID]))</w:t>
      </w:r>
    </w:p>
    <w:p w:rsidR="005F4BB4" w:rsidRPr="005F4BB4" w:rsidRDefault="005F4BB4" w:rsidP="005F4BB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F4BB4">
        <w:rPr>
          <w:rStyle w:val="HTMLCode"/>
          <w:rFonts w:asciiTheme="minorHAnsi" w:eastAsiaTheme="majorEastAsia" w:hAnsiTheme="minorHAnsi" w:cstheme="minorHAnsi"/>
        </w:rPr>
        <w:t>YoY Growth % = (CurrentYear - PriorYear)/PriorYear</w:t>
      </w:r>
      <w:r w:rsidRPr="005F4BB4">
        <w:rPr>
          <w:rFonts w:asciiTheme="minorHAnsi" w:hAnsiTheme="minorHAnsi" w:cstheme="minorHAnsi"/>
        </w:rPr>
        <w:t xml:space="preserve"> (via DATEADD on Date (ELT))</w:t>
      </w:r>
    </w:p>
    <w:p w:rsidR="005F4BB4" w:rsidRPr="005F4BB4" w:rsidRDefault="005F4BB4" w:rsidP="005F4BB4">
      <w:pPr>
        <w:pStyle w:val="NormalWeb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Anomalies &amp; Validation Checks:</w:t>
      </w:r>
    </w:p>
    <w:p w:rsidR="005F4BB4" w:rsidRPr="005F4BB4" w:rsidRDefault="005F4BB4" w:rsidP="005F4BB4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Date join mismatch (resolved):</w:t>
      </w:r>
      <w:r w:rsidRPr="005F4BB4">
        <w:rPr>
          <w:rFonts w:asciiTheme="minorHAnsi" w:hAnsiTheme="minorHAnsi" w:cstheme="minorHAnsi"/>
        </w:rPr>
        <w:t xml:space="preserve"> Previous revenue shortfall fixed using indexed date join.</w:t>
      </w:r>
    </w:p>
    <w:p w:rsidR="005F4BB4" w:rsidRPr="005F4BB4" w:rsidRDefault="005F4BB4" w:rsidP="005F4BB4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t>Country outliers:</w:t>
      </w:r>
      <w:r w:rsidRPr="005F4BB4">
        <w:rPr>
          <w:rFonts w:asciiTheme="minorHAnsi" w:hAnsiTheme="minorHAnsi" w:cstheme="minorHAnsi"/>
        </w:rPr>
        <w:t xml:space="preserve"> Investigate extreme revenue per customer values.</w:t>
      </w:r>
    </w:p>
    <w:p w:rsidR="005F4BB4" w:rsidRPr="005F4BB4" w:rsidRDefault="005F4BB4" w:rsidP="005F4BB4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</w:rPr>
        <w:lastRenderedPageBreak/>
        <w:t>Price fallbacks:</w:t>
      </w:r>
      <w:r w:rsidRPr="005F4BB4">
        <w:rPr>
          <w:rFonts w:asciiTheme="minorHAnsi" w:hAnsiTheme="minorHAnsi" w:cstheme="minorHAnsi"/>
        </w:rPr>
        <w:t xml:space="preserve"> Some products used median price — requires review for margin accuracy.</w:t>
      </w:r>
    </w:p>
    <w:p w:rsidR="005F4BB4" w:rsidRPr="005F4BB4" w:rsidRDefault="005F4BB4" w:rsidP="00FE1CD3">
      <w:pPr>
        <w:pStyle w:val="Heading2"/>
        <w:spacing w:before="0" w:beforeAutospacing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/>
          <w:bCs/>
        </w:rPr>
        <w:t>Business Recommendations (Next Steps)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1. Inventory &amp; Promotional Planning for Peak Months</w:t>
      </w:r>
    </w:p>
    <w:p w:rsidR="005F4BB4" w:rsidRPr="005F4BB4" w:rsidRDefault="005F4BB4" w:rsidP="00FE1CD3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Increase stock and marketing spend from September onward to capitalize on Oct–Dec demand.</w:t>
      </w:r>
    </w:p>
    <w:p w:rsidR="005F4BB4" w:rsidRPr="005F4BB4" w:rsidRDefault="005F4BB4" w:rsidP="00FE1CD3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Plan logistics and supplier capacity ahead of time.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2. Category-Focused Growth</w:t>
      </w:r>
    </w:p>
    <w:p w:rsidR="005F4BB4" w:rsidRPr="005F4BB4" w:rsidRDefault="005F4BB4" w:rsidP="00FE1CD3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Prioritize product investment, merchandising, and promotions for Home Decor and top 3 categories.</w:t>
      </w:r>
    </w:p>
    <w:p w:rsidR="005F4BB4" w:rsidRPr="005F4BB4" w:rsidRDefault="005F4BB4" w:rsidP="00FE1CD3">
      <w:pPr>
        <w:pStyle w:val="NormalWeb"/>
        <w:numPr>
          <w:ilvl w:val="0"/>
          <w:numId w:val="14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Test bundles and cross-sell campaigns to increase ARPO.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3. Geographic Strategy</w:t>
      </w:r>
    </w:p>
    <w:p w:rsidR="005F4BB4" w:rsidRPr="005F4BB4" w:rsidRDefault="005F4BB4" w:rsidP="00FE1CD3">
      <w:pPr>
        <w:pStyle w:val="NormalWeb"/>
        <w:numPr>
          <w:ilvl w:val="0"/>
          <w:numId w:val="15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Revenue concentrated in select countries; run experiments in secondary markets (localized promotions, currency, fulfillment options).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4. High-Value Customer Program</w:t>
      </w:r>
    </w:p>
    <w:p w:rsidR="005F4BB4" w:rsidRPr="005F4BB4" w:rsidRDefault="005F4BB4" w:rsidP="00FE1CD3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Retain top accounts using matrix exports.</w:t>
      </w:r>
    </w:p>
    <w:p w:rsidR="005F4BB4" w:rsidRPr="005F4BB4" w:rsidRDefault="005F4BB4" w:rsidP="00FE1CD3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Offer loyalty tiers or account-management services to increase LTV.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5. Data &amp; Pipeline Operationalization</w:t>
      </w:r>
    </w:p>
    <w:p w:rsidR="005F4BB4" w:rsidRPr="005F4BB4" w:rsidRDefault="005F4BB4" w:rsidP="00FE1CD3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Schedule nightly/weekly MOLAP refreshes and ANALYZE after bulk loads.</w:t>
      </w:r>
    </w:p>
    <w:p w:rsidR="005F4BB4" w:rsidRPr="005F4BB4" w:rsidRDefault="005F4BB4" w:rsidP="00FE1CD3">
      <w:pPr>
        <w:pStyle w:val="NormalWeb"/>
        <w:numPr>
          <w:ilvl w:val="0"/>
          <w:numId w:val="17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Implement monitoring alerts for unexpected revenue drops.</w:t>
      </w:r>
    </w:p>
    <w:p w:rsidR="005F4BB4" w:rsidRPr="005F4BB4" w:rsidRDefault="005F4BB4" w:rsidP="00FE1CD3">
      <w:pPr>
        <w:pStyle w:val="Heading3"/>
        <w:spacing w:before="0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 w:val="0"/>
          <w:bCs w:val="0"/>
        </w:rPr>
        <w:t>6. Actionable Dashboard Additions</w:t>
      </w:r>
    </w:p>
    <w:p w:rsidR="005F4BB4" w:rsidRPr="005F4BB4" w:rsidRDefault="005F4BB4" w:rsidP="00FE1CD3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Add drill-through to order lists for top customers.</w:t>
      </w:r>
    </w:p>
    <w:p w:rsidR="005F4BB4" w:rsidRPr="005F4BB4" w:rsidRDefault="005F4BB4" w:rsidP="00FE1CD3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Create an “Action” bookmark with export buttons for sales outreach lists.</w:t>
      </w:r>
    </w:p>
    <w:p w:rsidR="005F4BB4" w:rsidRPr="005F4BB4" w:rsidRDefault="005F4BB4" w:rsidP="005F4BB4">
      <w:pPr>
        <w:pStyle w:val="Heading2"/>
        <w:rPr>
          <w:rFonts w:asciiTheme="minorHAnsi" w:hAnsiTheme="minorHAnsi" w:cstheme="minorHAnsi"/>
        </w:rPr>
      </w:pPr>
      <w:r w:rsidRPr="005F4BB4">
        <w:rPr>
          <w:rStyle w:val="Strong"/>
          <w:rFonts w:asciiTheme="minorHAnsi" w:hAnsiTheme="minorHAnsi" w:cstheme="minorHAnsi"/>
          <w:b/>
          <w:bCs/>
        </w:rPr>
        <w:t>Closing Summary</w:t>
      </w:r>
    </w:p>
    <w:p w:rsidR="005F4BB4" w:rsidRPr="005F4BB4" w:rsidRDefault="005F4BB4" w:rsidP="005F4BB4">
      <w:pPr>
        <w:pStyle w:val="NormalWeb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>The ELT-based Power BI dashboard successfully balances executive KPI monitoring with operational drill-downs.</w:t>
      </w:r>
    </w:p>
    <w:p w:rsidR="005F4BB4" w:rsidRPr="005F4BB4" w:rsidRDefault="005F4BB4" w:rsidP="005F4BB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 xml:space="preserve">Confirms </w:t>
      </w:r>
      <w:r w:rsidRPr="005F4BB4">
        <w:rPr>
          <w:rStyle w:val="Strong"/>
          <w:rFonts w:asciiTheme="minorHAnsi" w:hAnsiTheme="minorHAnsi" w:cstheme="minorHAnsi"/>
        </w:rPr>
        <w:t>healthy revenue growth (YoY ≈ 12%)</w:t>
      </w:r>
      <w:r w:rsidRPr="005F4BB4">
        <w:rPr>
          <w:rFonts w:asciiTheme="minorHAnsi" w:hAnsiTheme="minorHAnsi" w:cstheme="minorHAnsi"/>
        </w:rPr>
        <w:t>,</w:t>
      </w:r>
    </w:p>
    <w:p w:rsidR="005F4BB4" w:rsidRPr="005F4BB4" w:rsidRDefault="005F4BB4" w:rsidP="005F4BB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 xml:space="preserve">Highlights </w:t>
      </w:r>
      <w:r w:rsidRPr="005F4BB4">
        <w:rPr>
          <w:rStyle w:val="Strong"/>
          <w:rFonts w:asciiTheme="minorHAnsi" w:hAnsiTheme="minorHAnsi" w:cstheme="minorHAnsi"/>
        </w:rPr>
        <w:t>strong category concentration (Home Decor)</w:t>
      </w:r>
      <w:r w:rsidRPr="005F4BB4">
        <w:rPr>
          <w:rFonts w:asciiTheme="minorHAnsi" w:hAnsiTheme="minorHAnsi" w:cstheme="minorHAnsi"/>
        </w:rPr>
        <w:t>,</w:t>
      </w:r>
    </w:p>
    <w:p w:rsidR="005F4BB4" w:rsidRPr="005F4BB4" w:rsidRDefault="005F4BB4" w:rsidP="005F4BB4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 xml:space="preserve">Reveals </w:t>
      </w:r>
      <w:r w:rsidRPr="005F4BB4">
        <w:rPr>
          <w:rStyle w:val="Strong"/>
          <w:rFonts w:asciiTheme="minorHAnsi" w:hAnsiTheme="minorHAnsi" w:cstheme="minorHAnsi"/>
        </w:rPr>
        <w:t>measurable seasonality (year-end peaks)</w:t>
      </w:r>
      <w:r w:rsidRPr="005F4BB4">
        <w:rPr>
          <w:rFonts w:asciiTheme="minorHAnsi" w:hAnsiTheme="minorHAnsi" w:cstheme="minorHAnsi"/>
        </w:rPr>
        <w:t>.</w:t>
      </w:r>
    </w:p>
    <w:p w:rsidR="00E1725D" w:rsidRPr="005F4BB4" w:rsidRDefault="005F4BB4" w:rsidP="00FE1CD3">
      <w:pPr>
        <w:pStyle w:val="NormalWeb"/>
        <w:rPr>
          <w:rFonts w:asciiTheme="minorHAnsi" w:hAnsiTheme="minorHAnsi" w:cstheme="minorHAnsi"/>
        </w:rPr>
      </w:pPr>
      <w:r w:rsidRPr="005F4BB4">
        <w:rPr>
          <w:rFonts w:asciiTheme="minorHAnsi" w:hAnsiTheme="minorHAnsi" w:cstheme="minorHAnsi"/>
        </w:rPr>
        <w:t xml:space="preserve">Implementing the recommended inventory, retention, and geographic strategies will convert insights into revenue growth while reducing risk. Maintaining ELT pipeline hygiene (date matching, indexing, </w:t>
      </w:r>
      <w:proofErr w:type="gramStart"/>
      <w:r w:rsidRPr="005F4BB4">
        <w:rPr>
          <w:rFonts w:asciiTheme="minorHAnsi" w:hAnsiTheme="minorHAnsi" w:cstheme="minorHAnsi"/>
        </w:rPr>
        <w:t>MOLAP</w:t>
      </w:r>
      <w:proofErr w:type="gramEnd"/>
      <w:r w:rsidRPr="005F4BB4">
        <w:rPr>
          <w:rFonts w:asciiTheme="minorHAnsi" w:hAnsiTheme="minorHAnsi" w:cstheme="minorHAnsi"/>
        </w:rPr>
        <w:t xml:space="preserve"> refreshes) ensures continued analytic accuracy and trust.</w:t>
      </w:r>
    </w:p>
    <w:sectPr w:rsidR="00E1725D" w:rsidRPr="005F4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30F1B"/>
    <w:multiLevelType w:val="multilevel"/>
    <w:tmpl w:val="5DE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509C"/>
    <w:multiLevelType w:val="multilevel"/>
    <w:tmpl w:val="4B1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E43EB"/>
    <w:multiLevelType w:val="multilevel"/>
    <w:tmpl w:val="A9A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0293C"/>
    <w:multiLevelType w:val="multilevel"/>
    <w:tmpl w:val="2D7E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A52CD"/>
    <w:multiLevelType w:val="multilevel"/>
    <w:tmpl w:val="6D2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C1B77"/>
    <w:multiLevelType w:val="multilevel"/>
    <w:tmpl w:val="CE54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563BA"/>
    <w:multiLevelType w:val="multilevel"/>
    <w:tmpl w:val="5E5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B37CE"/>
    <w:multiLevelType w:val="multilevel"/>
    <w:tmpl w:val="4A76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7298F"/>
    <w:multiLevelType w:val="multilevel"/>
    <w:tmpl w:val="3B86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A5104"/>
    <w:multiLevelType w:val="multilevel"/>
    <w:tmpl w:val="776C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344E4"/>
    <w:multiLevelType w:val="multilevel"/>
    <w:tmpl w:val="5D0A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5409BA"/>
    <w:multiLevelType w:val="multilevel"/>
    <w:tmpl w:val="A03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E0C99"/>
    <w:multiLevelType w:val="multilevel"/>
    <w:tmpl w:val="D89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13655"/>
    <w:multiLevelType w:val="multilevel"/>
    <w:tmpl w:val="3E1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C237A"/>
    <w:multiLevelType w:val="multilevel"/>
    <w:tmpl w:val="884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C7165"/>
    <w:multiLevelType w:val="multilevel"/>
    <w:tmpl w:val="DF9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05AA0"/>
    <w:multiLevelType w:val="multilevel"/>
    <w:tmpl w:val="D16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001A3"/>
    <w:multiLevelType w:val="multilevel"/>
    <w:tmpl w:val="F86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A6E38"/>
    <w:multiLevelType w:val="multilevel"/>
    <w:tmpl w:val="7926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2"/>
  </w:num>
  <w:num w:numId="4">
    <w:abstractNumId w:val="10"/>
  </w:num>
  <w:num w:numId="5">
    <w:abstractNumId w:val="15"/>
  </w:num>
  <w:num w:numId="6">
    <w:abstractNumId w:val="17"/>
  </w:num>
  <w:num w:numId="7">
    <w:abstractNumId w:val="5"/>
  </w:num>
  <w:num w:numId="8">
    <w:abstractNumId w:val="1"/>
  </w:num>
  <w:num w:numId="9">
    <w:abstractNumId w:val="16"/>
  </w:num>
  <w:num w:numId="10">
    <w:abstractNumId w:val="14"/>
  </w:num>
  <w:num w:numId="11">
    <w:abstractNumId w:val="2"/>
  </w:num>
  <w:num w:numId="12">
    <w:abstractNumId w:val="13"/>
  </w:num>
  <w:num w:numId="13">
    <w:abstractNumId w:val="18"/>
  </w:num>
  <w:num w:numId="14">
    <w:abstractNumId w:val="7"/>
  </w:num>
  <w:num w:numId="15">
    <w:abstractNumId w:val="0"/>
  </w:num>
  <w:num w:numId="16">
    <w:abstractNumId w:val="4"/>
  </w:num>
  <w:num w:numId="17">
    <w:abstractNumId w:val="11"/>
  </w:num>
  <w:num w:numId="18">
    <w:abstractNumId w:val="9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B4"/>
    <w:rsid w:val="005F4BB4"/>
    <w:rsid w:val="00E1725D"/>
    <w:rsid w:val="00FE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F707"/>
  <w15:chartTrackingRefBased/>
  <w15:docId w15:val="{0E9A4F16-43DE-499E-B41F-08017FBB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4B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4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4BB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F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4B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4B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F4BB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</dc:creator>
  <cp:keywords/>
  <dc:description/>
  <cp:lastModifiedBy>pakistan</cp:lastModifiedBy>
  <cp:revision>1</cp:revision>
  <cp:lastPrinted>2025-11-23T17:07:00Z</cp:lastPrinted>
  <dcterms:created xsi:type="dcterms:W3CDTF">2025-11-23T16:53:00Z</dcterms:created>
  <dcterms:modified xsi:type="dcterms:W3CDTF">2025-11-23T17:08:00Z</dcterms:modified>
</cp:coreProperties>
</file>