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sz w:val="22"/>
          <w:szCs w:val="22"/>
        </w:rPr>
        <w:t xml:space="preserve"/>
      </w:r>
    </w:p>
    <w:p>
      <w:pPr>
        <w:spacing w:after="0"/>
        <w:jc w:val="center"/>
      </w:pPr>
      <w:r>
        <w:rPr>
          <w:rFonts w:ascii="Arial" w:cs="Arial" w:eastAsia="Arial" w:hAnsi="Arial"/>
          <w:b/>
          <w:bCs/>
          <w:color w:val="1F4E79"/>
          <w:sz w:val="60"/>
          <w:szCs w:val="60"/>
        </w:rPr>
        <w:t xml:space="preserve">AI Agents Academic</w:t>
      </w:r>
    </w:p>
    <w:p>
      <w:pPr>
        <w:spacing w:after="240"/>
        <w:jc w:val="center"/>
      </w:pPr>
      <w:r>
        <w:rPr>
          <w:rFonts w:ascii="Arial" w:cs="Arial" w:eastAsia="Arial" w:hAnsi="Arial"/>
          <w:b/>
          <w:bCs/>
          <w:color w:val="1F4E79"/>
          <w:sz w:val="60"/>
          <w:szCs w:val="60"/>
        </w:rPr>
        <w:t xml:space="preserve">Research Assistant</w:t>
      </w:r>
    </w:p>
    <w:p>
      <w:pPr>
        <w:spacing w:after="80"/>
        <w:jc w:val="center"/>
      </w:pPr>
      <w:r>
        <w:rPr>
          <w:rFonts w:ascii="Arial" w:cs="Arial" w:eastAsia="Arial" w:hAnsi="Arial"/>
          <w:color w:val="2E75B6"/>
          <w:sz w:val="30"/>
          <w:szCs w:val="30"/>
        </w:rPr>
        <w:t xml:space="preserve">Project Report</w:t>
      </w:r>
    </w:p>
    <w:p>
      <w:pPr>
        <w:spacing w:after="720"/>
        <w:jc w:val="center"/>
      </w:pPr>
      <w:r>
        <w:rPr>
          <w:rFonts w:ascii="Arial" w:cs="Arial" w:eastAsia="Arial" w:hAnsi="Arial"/>
          <w:i/>
          <w:iCs/>
          <w:color w:val="595959"/>
          <w:sz w:val="22"/>
          <w:szCs w:val="22"/>
        </w:rPr>
        <w:t xml:space="preserve">A Multi-Agent System for Automated Literature Review and Hypothesis Generation</w:t>
      </w:r>
    </w:p>
    <w:p>
      <w:pPr>
        <w:spacing w:after="80"/>
        <w:jc w:val="center"/>
      </w:pPr>
      <w:r>
        <w:rPr>
          <w:rFonts w:ascii="Arial" w:cs="Arial" w:eastAsia="Arial" w:hAnsi="Arial"/>
          <w:color w:val="333333"/>
          <w:sz w:val="24"/>
          <w:szCs w:val="24"/>
        </w:rPr>
        <w:t xml:space="preserve">Hriday Sainathuni &amp; Prithvi Raj</w:t>
      </w:r>
    </w:p>
    <w:p>
      <w:pPr>
        <w:spacing w:before="5000"/>
      </w:pPr>
    </w:p>
    <w:p>
      <w:pPr>
        <w:spacing w:after="0"/>
      </w:pPr>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1. Motivation</w:t>
      </w:r>
    </w:p>
    <w:p>
      <w:pPr>
        <w:spacing w:after="120" w:line="276"/>
      </w:pPr>
      <w:r>
        <w:rPr>
          <w:rFonts w:ascii="Arial" w:cs="Arial" w:eastAsia="Arial" w:hAnsi="Arial"/>
          <w:color w:val="333333"/>
          <w:sz w:val="22"/>
          <w:szCs w:val="22"/>
        </w:rPr>
        <w:t xml:space="preserve">Academic research is an increasingly demanding cognitive task. In fast-moving fields such as AI and multi-agent systems, hundreds of papers are published every month. Researchers face four compounding difficulties that this project was built to address.</w:t>
      </w:r>
    </w:p>
    <w:p>
      <w:pPr>
        <w:spacing w:after="120"/>
      </w:pPr>
    </w:p>
    <w:p>
      <w:pPr>
        <w:pStyle w:val="Heading2"/>
        <w:spacing w:after="80" w:before="240"/>
      </w:pPr>
      <w:r>
        <w:rPr>
          <w:rFonts w:ascii="Arial" w:cs="Arial" w:eastAsia="Arial" w:hAnsi="Arial"/>
          <w:b/>
          <w:bCs/>
          <w:color w:val="2E75B6"/>
          <w:sz w:val="26"/>
          <w:szCs w:val="26"/>
        </w:rPr>
        <w:t xml:space="preserve">1.1 Information Overload</w:t>
      </w:r>
    </w:p>
    <w:p>
      <w:pPr>
        <w:spacing w:after="120" w:line="276"/>
      </w:pPr>
      <w:r>
        <w:rPr>
          <w:rFonts w:ascii="Arial" w:cs="Arial" w:eastAsia="Arial" w:hAnsi="Arial"/>
          <w:color w:val="333333"/>
          <w:sz w:val="22"/>
          <w:szCs w:val="22"/>
        </w:rPr>
        <w:t xml:space="preserve">The sheer volume of papers in active research areas makes it practically impossible to stay current through manual reading. A researcher who begins exploring a new subfield must triage dozens of potentially relevant papers before any synthesis can begin. This bottleneck slows hypothesis formation and increases the risk of overlooking important prior work.</w:t>
      </w:r>
    </w:p>
    <w:p>
      <w:pPr>
        <w:pStyle w:val="Heading2"/>
        <w:spacing w:after="80" w:before="240"/>
      </w:pPr>
      <w:r>
        <w:rPr>
          <w:rFonts w:ascii="Arial" w:cs="Arial" w:eastAsia="Arial" w:hAnsi="Arial"/>
          <w:b/>
          <w:bCs/>
          <w:color w:val="2E75B6"/>
          <w:sz w:val="26"/>
          <w:szCs w:val="26"/>
        </w:rPr>
        <w:t xml:space="preserve">1.2 Limitations of Keyword Search</w:t>
      </w:r>
    </w:p>
    <w:p>
      <w:pPr>
        <w:spacing w:after="120" w:line="276"/>
      </w:pPr>
      <w:r>
        <w:rPr>
          <w:rFonts w:ascii="Arial" w:cs="Arial" w:eastAsia="Arial" w:hAnsi="Arial"/>
          <w:color w:val="333333"/>
          <w:sz w:val="22"/>
          <w:szCs w:val="22"/>
        </w:rPr>
        <w:t xml:space="preserve">Existing academic search engines rely primarily on keyword and citation-count ranking. This approach retrieves papers that share terminology with the query, but systematically misses foundational work that uses different vocabulary, as well as laterally related research whose connection becomes apparent only after understanding the field. A researcher asking about "tool-augmented language agents" may never encounter highly relevant papers on "function-calling LLMs" or "API-use benchmarks" unless they already know to search for those terms.</w:t>
      </w:r>
    </w:p>
    <w:p>
      <w:pPr>
        <w:pStyle w:val="Heading2"/>
        <w:spacing w:after="80" w:before="240"/>
      </w:pPr>
      <w:r>
        <w:rPr>
          <w:rFonts w:ascii="Arial" w:cs="Arial" w:eastAsia="Arial" w:hAnsi="Arial"/>
          <w:b/>
          <w:bCs/>
          <w:color w:val="2E75B6"/>
          <w:sz w:val="26"/>
          <w:szCs w:val="26"/>
        </w:rPr>
        <w:t xml:space="preserve">1.3 Costly Manual Synthesis</w:t>
      </w:r>
    </w:p>
    <w:p>
      <w:pPr>
        <w:spacing w:after="120" w:line="276"/>
      </w:pPr>
      <w:r>
        <w:rPr>
          <w:rFonts w:ascii="Arial" w:cs="Arial" w:eastAsia="Arial" w:hAnsi="Arial"/>
          <w:color w:val="333333"/>
          <w:sz w:val="22"/>
          <w:szCs w:val="22"/>
        </w:rPr>
        <w:t xml:space="preserve">Even after collecting a relevant corpus, identifying cross-cutting themes, contradictions between findings, and open research gaps requires careful reading and comparison across many documents. This synthesis step is time-consuming, subjective, and difficult to reproduce. Researchers often stop short of a thorough synthesis due to time constraints, potentially missing important connections.</w:t>
      </w:r>
    </w:p>
    <w:p>
      <w:pPr>
        <w:pStyle w:val="Heading2"/>
        <w:spacing w:after="80" w:before="240"/>
      </w:pPr>
      <w:r>
        <w:rPr>
          <w:rFonts w:ascii="Arial" w:cs="Arial" w:eastAsia="Arial" w:hAnsi="Arial"/>
          <w:b/>
          <w:bCs/>
          <w:color w:val="2E75B6"/>
          <w:sz w:val="26"/>
          <w:szCs w:val="26"/>
        </w:rPr>
        <w:t xml:space="preserve">1.4 Unverified Hypothesis Formation</w:t>
      </w:r>
    </w:p>
    <w:p>
      <w:pPr>
        <w:spacing w:after="120" w:line="276"/>
      </w:pPr>
      <w:r>
        <w:rPr>
          <w:rFonts w:ascii="Arial" w:cs="Arial" w:eastAsia="Arial" w:hAnsi="Arial"/>
          <w:color w:val="333333"/>
          <w:sz w:val="22"/>
          <w:szCs w:val="22"/>
        </w:rPr>
        <w:t xml:space="preserve">Researchers frequently generate plausible hypotheses based on intuition or partial knowledge of the literature. Without a systematic check against the corpus, it is easy to propose ideas that are already well-studied, that rest on assumptions contradicted by prior work, or that are not clearly falsifiable. The resulting effort spent on a flawed hypothesis is wasted.</w:t>
      </w:r>
    </w:p>
    <w:p>
      <w:pPr>
        <w:spacing w:after="120"/>
      </w:pPr>
    </w:p>
    <w:p>
      <w:pPr>
        <w:spacing w:after="120" w:line="276"/>
      </w:pPr>
      <w:r>
        <w:rPr>
          <w:rFonts w:ascii="Arial" w:cs="Arial" w:eastAsia="Arial" w:hAnsi="Arial"/>
          <w:color w:val="333333"/>
          <w:sz w:val="22"/>
          <w:szCs w:val="22"/>
        </w:rPr>
        <w:t xml:space="preserve">This project addresses all four problems with a single automated pipeline: retrieve papers from multiple sources in parallel, filter by relevance, expand the corpus through citation traversal, synthesize findings with enforced grounding, generate hypotheses, stress-test them through adversarial critique, and produce a concrete experiment design. The output is a structured, reproducible research brief that a researcher can use as a starting point for original work.</w:t>
      </w:r>
    </w:p>
    <w:p>
      <w:pPr>
        <w:spacing w:after="0"/>
      </w:pPr>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2. Methods</w:t>
      </w:r>
    </w:p>
    <w:p>
      <w:pPr>
        <w:spacing w:after="120" w:line="276"/>
      </w:pPr>
      <w:r>
        <w:rPr>
          <w:rFonts w:ascii="Arial" w:cs="Arial" w:eastAsia="Arial" w:hAnsi="Arial"/>
          <w:color w:val="333333"/>
          <w:sz w:val="22"/>
          <w:szCs w:val="22"/>
        </w:rPr>
        <w:t xml:space="preserve">The system is implemented as a directed graph of seven specialised agents orchestrated by LangGraph. Each node in the graph represents one LLM-powered or API-powered step; edges encode the permitted transitions, including conditional branches that implement feedback loops. All inter-node communication is mediated by a shared typed state object (ResearchState) so that any node can read the outputs of all previous nodes.</w:t>
      </w:r>
    </w:p>
    <w:p>
      <w:pPr>
        <w:pStyle w:val="Heading2"/>
        <w:spacing w:after="80" w:before="240"/>
      </w:pPr>
      <w:r>
        <w:rPr>
          <w:rFonts w:ascii="Arial" w:cs="Arial" w:eastAsia="Arial" w:hAnsi="Arial"/>
          <w:b/>
          <w:bCs/>
          <w:color w:val="2E75B6"/>
          <w:sz w:val="26"/>
          <w:szCs w:val="26"/>
        </w:rPr>
        <w:t xml:space="preserve">2.1 System Architecture</w:t>
      </w:r>
    </w:p>
    <w:p>
      <w:pPr>
        <w:spacing w:after="120" w:line="276"/>
      </w:pPr>
      <w:r>
        <w:rPr>
          <w:rFonts w:ascii="Arial" w:cs="Arial" w:eastAsia="Arial" w:hAnsi="Arial"/>
          <w:color w:val="333333"/>
          <w:sz w:val="22"/>
          <w:szCs w:val="22"/>
        </w:rPr>
        <w:t xml:space="preserve">The pipeline executes the following seven nodes in sequence, with two conditional feedback loops: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546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Tool</w:t>
            </w:r>
          </w:p>
        </w:tc>
        <w:tc>
          <w:tcPr>
            <w:tcW w:type="dxa" w:w="54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222222"/>
                <w:sz w:val="18"/>
                <w:szCs w:val="18"/>
              </w:rPr>
              <w:t xml:space="preserve">search_node</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Semantic Scholar + ArXiv APIs</w:t>
            </w:r>
          </w:p>
        </w:tc>
        <w:tc>
          <w:tcPr>
            <w:tcW w:type="dxa" w:w="5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Parallel retrieval of up to 20 candidate papers per source; deduplication by title normalisation</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color w:val="222222"/>
                <w:sz w:val="18"/>
                <w:szCs w:val="18"/>
              </w:rPr>
              <w:t xml:space="preserve">critic_node</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Claude Sonnet (LLM)</w:t>
            </w:r>
          </w:p>
        </w:tc>
        <w:tc>
          <w:tcPr>
            <w:tcW w:type="dxa" w:w="54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Relevance scoring (1–10) for each candidate; papers below score 6 are discarded; triggers retry if fewer than 5 papers pass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222222"/>
                <w:sz w:val="18"/>
                <w:szCs w:val="18"/>
              </w:rPr>
              <w:t xml:space="preserve">snowball_node</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Semantic Scholar Graph API</w:t>
            </w:r>
          </w:p>
        </w:tc>
        <w:tc>
          <w:tcPr>
            <w:tcW w:type="dxa" w:w="5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Citation graph traversal (references + citations) for the top 4 relevant papers; adds structurally important papers missing from keyword search</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color w:val="222222"/>
                <w:sz w:val="18"/>
                <w:szCs w:val="18"/>
              </w:rPr>
              <w:t xml:space="preserve">synthesis_node</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Claude Sonnet (LLM)</w:t>
            </w:r>
          </w:p>
        </w:tc>
        <w:tc>
          <w:tcPr>
            <w:tcW w:type="dxa" w:w="54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Extracts themes, gaps, contradictions, and open questions; every claim must include paper_indices; invalid indices are stripped post-generation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222222"/>
                <w:sz w:val="18"/>
                <w:szCs w:val="18"/>
              </w:rPr>
              <w:t xml:space="preserve">hypothesis_node</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Claude Sonnet (LLM)</w:t>
            </w:r>
          </w:p>
        </w:tc>
        <w:tc>
          <w:tcPr>
            <w:tcW w:type="dxa" w:w="5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Generates 3 novel, testable hypotheses with claim, motivation, falsification criterion, and feasibility rating</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color w:val="222222"/>
                <w:sz w:val="18"/>
                <w:szCs w:val="18"/>
              </w:rPr>
              <w:t xml:space="preserve">advocate_node</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Claude Sonnet (LLM)</w:t>
            </w:r>
          </w:p>
        </w:tc>
        <w:tc>
          <w:tcPr>
            <w:tcW w:type="dxa" w:w="54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Critiques each hypothesis; assigns viability score 1–10; produces a refined version; triggers regeneration if any score is below 6</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222222"/>
                <w:sz w:val="18"/>
                <w:szCs w:val="18"/>
              </w:rPr>
              <w:t xml:space="preserve">experiment_node</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Claude Sonnet (LLM)</w:t>
            </w:r>
          </w:p>
        </w:tc>
        <w:tc>
          <w:tcPr>
            <w:tcW w:type="dxa" w:w="5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Designs a reproducible experiment for the highest-scoring hypothesis: methodology, baseline, metrics, datasets, failure modes</w:t>
            </w:r>
          </w:p>
        </w:tc>
      </w:tr>
    </w:tbl>
    <w:p>
      <w:pPr>
        <w:spacing w:after="120"/>
      </w:pPr>
    </w:p>
    <w:p>
      <w:pPr>
        <w:pStyle w:val="Heading2"/>
        <w:spacing w:after="80" w:before="240"/>
      </w:pPr>
      <w:r>
        <w:rPr>
          <w:rFonts w:ascii="Arial" w:cs="Arial" w:eastAsia="Arial" w:hAnsi="Arial"/>
          <w:b/>
          <w:bCs/>
          <w:color w:val="2E75B6"/>
          <w:sz w:val="26"/>
          <w:szCs w:val="26"/>
        </w:rPr>
        <w:t xml:space="preserve">2.2 Paper Retrieval and Deduplication (search_node)</w:t>
      </w:r>
    </w:p>
    <w:p>
      <w:pPr>
        <w:spacing w:after="120" w:line="276"/>
      </w:pPr>
      <w:r>
        <w:rPr>
          <w:rFonts w:ascii="Arial" w:cs="Arial" w:eastAsia="Arial" w:hAnsi="Arial"/>
          <w:color w:val="333333"/>
          <w:sz w:val="22"/>
          <w:szCs w:val="22"/>
        </w:rPr>
        <w:t xml:space="preserve">The search node issues queries to Semantic Scholar and ArXiv simultaneously using Python threading. Each source returns up to 20 results. The combined list is deduplicated by normalised title (lowercased, whitespace-collapsed) before being stored in state. On retry, the query is automatically broadened by removing the longest term, enabling the pipeline to find more general results when the initial query is too narrow.</w:t>
      </w:r>
    </w:p>
    <w:p>
      <w:pPr>
        <w:pStyle w:val="Heading2"/>
        <w:spacing w:after="80" w:before="240"/>
      </w:pPr>
      <w:r>
        <w:rPr>
          <w:rFonts w:ascii="Arial" w:cs="Arial" w:eastAsia="Arial" w:hAnsi="Arial"/>
          <w:b/>
          <w:bCs/>
          <w:color w:val="2E75B6"/>
          <w:sz w:val="26"/>
          <w:szCs w:val="26"/>
        </w:rPr>
        <w:t xml:space="preserve">2.3 Relevance Filtering (critic_node)</w:t>
      </w:r>
    </w:p>
    <w:p>
      <w:pPr>
        <w:spacing w:after="120" w:line="276"/>
      </w:pPr>
      <w:r>
        <w:rPr>
          <w:rFonts w:ascii="Arial" w:cs="Arial" w:eastAsia="Arial" w:hAnsi="Arial"/>
          <w:color w:val="333333"/>
          <w:sz w:val="22"/>
          <w:szCs w:val="22"/>
        </w:rPr>
        <w:t xml:space="preserve">Each candidate paper's title and first 500 characters of abstract are submitted to Claude Sonnet with the user's research question. The model returns a JSON array of evaluations, each containing a relevance score and a one-sentence justification. Papers scoring below 6 are dropped. If fewer than five papers remain and the retry budget is not exhausted, the graph returns to search_node with a broadened query.</w:t>
      </w:r>
    </w:p>
    <w:p>
      <w:pPr>
        <w:pStyle w:val="Heading2"/>
        <w:spacing w:after="80" w:before="240"/>
      </w:pPr>
      <w:r>
        <w:rPr>
          <w:rFonts w:ascii="Arial" w:cs="Arial" w:eastAsia="Arial" w:hAnsi="Arial"/>
          <w:b/>
          <w:bCs/>
          <w:color w:val="2E75B6"/>
          <w:sz w:val="26"/>
          <w:szCs w:val="26"/>
        </w:rPr>
        <w:t xml:space="preserve">2.4 Citation Snowballing (snowball_node)</w:t>
      </w:r>
    </w:p>
    <w:p>
      <w:pPr>
        <w:spacing w:after="120" w:line="276"/>
      </w:pPr>
      <w:r>
        <w:rPr>
          <w:rFonts w:ascii="Arial" w:cs="Arial" w:eastAsia="Arial" w:hAnsi="Arial"/>
          <w:color w:val="333333"/>
          <w:sz w:val="22"/>
          <w:szCs w:val="22"/>
        </w:rPr>
        <w:t xml:space="preserve">For the top four relevant papers that carry a Semantic Scholar paper ID, the node issues parallel requests to both the references and citations endpoints of the Semantic Scholar Graph API. Up to 10 neighbours per direction per seed paper are retrieved. Papers whose normalised titles already appear in the relevant set are excluded; the remaining novel papers are deduplicated and appended to the corpus. This step reliably surfaces foundational work and recent follow-ons that keyword search misses.</w:t>
      </w:r>
    </w:p>
    <w:p>
      <w:pPr>
        <w:pStyle w:val="Heading2"/>
        <w:spacing w:after="80" w:before="240"/>
      </w:pPr>
      <w:r>
        <w:rPr>
          <w:rFonts w:ascii="Arial" w:cs="Arial" w:eastAsia="Arial" w:hAnsi="Arial"/>
          <w:b/>
          <w:bCs/>
          <w:color w:val="2E75B6"/>
          <w:sz w:val="26"/>
          <w:szCs w:val="26"/>
        </w:rPr>
        <w:t xml:space="preserve">2.5 Grounded Synthesis (synthesis_node)</w:t>
      </w:r>
    </w:p>
    <w:p>
      <w:pPr>
        <w:spacing w:after="120" w:line="276"/>
      </w:pPr>
      <w:r>
        <w:rPr>
          <w:rFonts w:ascii="Arial" w:cs="Arial" w:eastAsia="Arial" w:hAnsi="Arial"/>
          <w:color w:val="333333"/>
          <w:sz w:val="22"/>
          <w:szCs w:val="22"/>
        </w:rPr>
        <w:t xml:space="preserve">All papers — relevant and snowballed — are indexed sequentially and presented to Claude Sonnet as a numbered list. The model is instructed to produce exactly four categories of structured output: themes, gaps, contradictions, and open questions. Crucially, every item in every category must include a paper_indices list referencing the integer indices of supporting papers.</w:t>
      </w:r>
    </w:p>
    <w:p>
      <w:pPr>
        <w:spacing w:after="120" w:line="276"/>
      </w:pPr>
      <w:r>
        <w:rPr>
          <w:rFonts w:ascii="Arial" w:cs="Arial" w:eastAsia="Arial" w:hAnsi="Arial"/>
          <w:color w:val="333333"/>
          <w:sz w:val="22"/>
          <w:szCs w:val="22"/>
        </w:rPr>
        <w:t xml:space="preserve">After generation, a validation function strips any index that is out of range for the current corpus, and discards any item whose paper_indices list becomes empty after stripping. This ensures that no claim in the synthesis is unsupported by a retrievable paper, eliminating hallucination of fictitious citations.</w:t>
      </w:r>
    </w:p>
    <w:p>
      <w:pPr>
        <w:pStyle w:val="Heading2"/>
        <w:spacing w:after="80" w:before="240"/>
      </w:pPr>
      <w:r>
        <w:rPr>
          <w:rFonts w:ascii="Arial" w:cs="Arial" w:eastAsia="Arial" w:hAnsi="Arial"/>
          <w:b/>
          <w:bCs/>
          <w:color w:val="2E75B6"/>
          <w:sz w:val="26"/>
          <w:szCs w:val="26"/>
        </w:rPr>
        <w:t xml:space="preserve">2.6 Hypothesis Generation (hypothesis_node)</w:t>
      </w:r>
    </w:p>
    <w:p>
      <w:pPr>
        <w:spacing w:after="120" w:line="276"/>
      </w:pPr>
      <w:r>
        <w:rPr>
          <w:rFonts w:ascii="Arial" w:cs="Arial" w:eastAsia="Arial" w:hAnsi="Arial"/>
          <w:color w:val="333333"/>
          <w:sz w:val="22"/>
          <w:szCs w:val="22"/>
        </w:rPr>
        <w:t xml:space="preserve">The hypothesis node generates exactly three candidate hypotheses in JSON, each containing: a claim (the hypothesis statement), a motivation (why the literature does not already answer it), a falsification criterion (what result would refute it), and a feasibility rating. If this is a refinement pass, the node receives the prior hypotheses and their critique as additional context and is instructed to produce meaningfully stronger replacements.</w:t>
      </w:r>
    </w:p>
    <w:p>
      <w:pPr>
        <w:pStyle w:val="Heading2"/>
        <w:spacing w:after="80" w:before="240"/>
      </w:pPr>
      <w:r>
        <w:rPr>
          <w:rFonts w:ascii="Arial" w:cs="Arial" w:eastAsia="Arial" w:hAnsi="Arial"/>
          <w:b/>
          <w:bCs/>
          <w:color w:val="2E75B6"/>
          <w:sz w:val="26"/>
          <w:szCs w:val="26"/>
        </w:rPr>
        <w:t xml:space="preserve">2.7 Adversarial Critique (advocate_node)</w:t>
      </w:r>
    </w:p>
    <w:p>
      <w:pPr>
        <w:spacing w:after="120" w:line="276"/>
      </w:pPr>
      <w:r>
        <w:rPr>
          <w:rFonts w:ascii="Arial" w:cs="Arial" w:eastAsia="Arial" w:hAnsi="Arial"/>
          <w:color w:val="333333"/>
          <w:sz w:val="22"/>
          <w:szCs w:val="22"/>
        </w:rPr>
        <w:t xml:space="preserve">The advocate node receives the full hypothesis list and a summary of all corpus papers. It acts as a peer reviewer, returning counterarguments, logical flaws, a refined claim that survives critique, and a viability score (1–10). Viability scores are merged back into the hypothesis objects. If any score falls below 6 and the iteration counter is below 2, the graph routes back to hypothesis_node for a targeted refinement pass. After two iterations, the graph always proceeds regardless of scores, preventing infinite loops.</w:t>
      </w:r>
    </w:p>
    <w:p>
      <w:pPr>
        <w:pStyle w:val="Heading2"/>
        <w:spacing w:after="80" w:before="240"/>
      </w:pPr>
      <w:r>
        <w:rPr>
          <w:rFonts w:ascii="Arial" w:cs="Arial" w:eastAsia="Arial" w:hAnsi="Arial"/>
          <w:b/>
          <w:bCs/>
          <w:color w:val="2E75B6"/>
          <w:sz w:val="26"/>
          <w:szCs w:val="26"/>
        </w:rPr>
        <w:t xml:space="preserve">2.8 Experiment Design (experiment_node)</w:t>
      </w:r>
    </w:p>
    <w:p>
      <w:pPr>
        <w:spacing w:after="120" w:line="276"/>
      </w:pPr>
      <w:r>
        <w:rPr>
          <w:rFonts w:ascii="Arial" w:cs="Arial" w:eastAsia="Arial" w:hAnsi="Arial"/>
          <w:color w:val="333333"/>
          <w:sz w:val="22"/>
          <w:szCs w:val="22"/>
        </w:rPr>
        <w:t xml:space="preserve">The experiment node selects the hypothesis with the highest viability score and generates a complete experimental plan in JSON: a step-by-step methodology, a baseline comparison condition, evaluation metrics, specific recommended datasets, and a list of failure modes with detection strategies. The structured JSON format ensures the output is consistent and can be parsed or exported programmatically.</w:t>
      </w:r>
    </w:p>
    <w:p>
      <w:pPr>
        <w:pStyle w:val="Heading2"/>
        <w:spacing w:after="80" w:before="240"/>
      </w:pPr>
      <w:r>
        <w:rPr>
          <w:rFonts w:ascii="Arial" w:cs="Arial" w:eastAsia="Arial" w:hAnsi="Arial"/>
          <w:b/>
          <w:bCs/>
          <w:color w:val="2E75B6"/>
          <w:sz w:val="26"/>
          <w:szCs w:val="26"/>
        </w:rPr>
        <w:t xml:space="preserve">2.9 Technology Stack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LLM</w:t>
            </w:r>
          </w:p>
        </w:tc>
        <w:tc>
          <w:tcPr>
            <w:tcW w:type="dxa" w:w="7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20"/>
                <w:szCs w:val="20"/>
              </w:rPr>
              <w:t xml:space="preserve">Claude Sonnet 4 (claude-sonnet-4-20250514) via Anthropic Python SDK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Graph Orchestration</w:t>
            </w:r>
          </w:p>
        </w:tc>
        <w:tc>
          <w:tcPr>
            <w:tcW w:type="dxa" w:w="7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20"/>
                <w:szCs w:val="20"/>
              </w:rPr>
              <w:t xml:space="preserve">LangGraph — defines agent nodes, edges, and conditional routing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Paper Search</w:t>
            </w:r>
          </w:p>
        </w:tc>
        <w:tc>
          <w:tcPr>
            <w:tcW w:type="dxa" w:w="7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20"/>
                <w:szCs w:val="20"/>
              </w:rPr>
              <w:t xml:space="preserve">Semantic Scholar Graph API and ArXiv (via arxiv Python client)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UI</w:t>
            </w:r>
          </w:p>
        </w:tc>
        <w:tc>
          <w:tcPr>
            <w:tcW w:type="dxa" w:w="7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20"/>
                <w:szCs w:val="20"/>
              </w:rPr>
              <w:t xml:space="preserve">Streamlit — live node-by-node updates as pipeline executes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Parallelism</w:t>
            </w:r>
          </w:p>
        </w:tc>
        <w:tc>
          <w:tcPr>
            <w:tcW w:type="dxa" w:w="7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20"/>
                <w:szCs w:val="20"/>
              </w:rPr>
              <w:t xml:space="preserve">Python threading for concurrent API calls (search + snowball)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Error Handling</w:t>
            </w:r>
          </w:p>
        </w:tc>
        <w:tc>
          <w:tcPr>
            <w:tcW w:type="dxa" w:w="7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20"/>
                <w:szCs w:val="20"/>
              </w:rPr>
              <w:t xml:space="preserve">JSON parse retry with explicit no-markdown prompt; non-fatal snowball failures; pipeline continues on partial errors</w:t>
            </w:r>
          </w:p>
        </w:tc>
      </w:tr>
    </w:tbl>
    <w:p>
      <w:pPr>
        <w:spacing w:after="120"/>
      </w:pPr>
    </w:p>
    <w:p>
      <w:pPr>
        <w:pStyle w:val="Heading2"/>
        <w:spacing w:after="80" w:before="240"/>
      </w:pPr>
      <w:r>
        <w:rPr>
          <w:rFonts w:ascii="Arial" w:cs="Arial" w:eastAsia="Arial" w:hAnsi="Arial"/>
          <w:b/>
          <w:bCs/>
          <w:color w:val="2E75B6"/>
          <w:sz w:val="26"/>
          <w:szCs w:val="26"/>
        </w:rPr>
        <w:t xml:space="preserve">2.10 State Design</w:t>
      </w:r>
    </w:p>
    <w:p>
      <w:pPr>
        <w:spacing w:after="120" w:line="276"/>
      </w:pPr>
      <w:r>
        <w:rPr>
          <w:rFonts w:ascii="Arial" w:cs="Arial" w:eastAsia="Arial" w:hAnsi="Arial"/>
          <w:color w:val="333333"/>
          <w:sz w:val="22"/>
          <w:szCs w:val="22"/>
        </w:rPr>
        <w:t xml:space="preserve">All pipeline state is encoded in a single ResearchState TypedDict. Nodes receive the full state and return an updated copy using dict unpacking (**state, key=value), making state transitions explicit and debuggable. The shared state includes: research_question, raw_papers, relevant_papers, snowballed_papers, synthesis, hypotheses, hypothesis_critiques, experiment_design, error, retry_count, and hypothesis_iteration.</w:t>
      </w:r>
    </w:p>
    <w:p>
      <w:pPr>
        <w:spacing w:after="0"/>
      </w:pPr>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3. Evaluation</w:t>
      </w:r>
    </w:p>
    <w:p>
      <w:pPr>
        <w:spacing w:after="120" w:line="276"/>
      </w:pPr>
      <w:r>
        <w:rPr>
          <w:rFonts w:ascii="Arial" w:cs="Arial" w:eastAsia="Arial" w:hAnsi="Arial"/>
          <w:color w:val="333333"/>
          <w:sz w:val="22"/>
          <w:szCs w:val="22"/>
        </w:rPr>
        <w:t xml:space="preserve">Because the system produces qualitative research artefacts (literature syntheses, hypotheses, experiment designs) rather than numeric predictions, a purely quantitative benchmark is not directly applicable. Evaluation therefore combines a structured qualitative assessment by two independent evaluators with targeted quantitative checks on the grounding mechanism and pipeline reliability.</w:t>
      </w:r>
    </w:p>
    <w:p>
      <w:pPr>
        <w:pStyle w:val="Heading2"/>
        <w:spacing w:after="80" w:before="240"/>
      </w:pPr>
      <w:r>
        <w:rPr>
          <w:rFonts w:ascii="Arial" w:cs="Arial" w:eastAsia="Arial" w:hAnsi="Arial"/>
          <w:b/>
          <w:bCs/>
          <w:color w:val="2E75B6"/>
          <w:sz w:val="26"/>
          <w:szCs w:val="26"/>
        </w:rPr>
        <w:t xml:space="preserve">3.1 Qualitative User Study</w:t>
      </w:r>
    </w:p>
    <w:p>
      <w:pPr>
        <w:pStyle w:val="Heading3"/>
        <w:spacing w:after="60" w:before="160"/>
      </w:pPr>
      <w:r>
        <w:rPr>
          <w:rFonts w:ascii="Arial" w:cs="Arial" w:eastAsia="Arial" w:hAnsi="Arial"/>
          <w:b/>
          <w:bCs/>
          <w:color w:val="595959"/>
          <w:sz w:val="22"/>
          <w:szCs w:val="22"/>
        </w:rPr>
        <w:t xml:space="preserve">3.1.1 Methodology</w:t>
      </w:r>
    </w:p>
    <w:p>
      <w:pPr>
        <w:spacing w:after="120" w:line="276"/>
      </w:pPr>
      <w:r>
        <w:rPr>
          <w:rFonts w:ascii="Arial" w:cs="Arial" w:eastAsia="Arial" w:hAnsi="Arial"/>
          <w:color w:val="333333"/>
          <w:sz w:val="22"/>
          <w:szCs w:val="22"/>
        </w:rPr>
        <w:t xml:space="preserve">Two graduate students with research experience in machine learning and NLP each ran the pipeline on two separate research questions:</w:t>
      </w:r>
    </w:p>
    <w:p>
      <w:pPr>
        <w:pStyle w:val="ListParagraph"/>
        <w:numPr>
          <w:ilvl w:val="0"/>
          <w:numId w:val="2"/>
        </w:numPr>
        <w:spacing w:after="80" w:line="276"/>
      </w:pPr>
      <w:r>
        <w:rPr>
          <w:rFonts w:ascii="Arial" w:cs="Arial" w:eastAsia="Arial" w:hAnsi="Arial"/>
          <w:color w:val="333333"/>
          <w:sz w:val="22"/>
          <w:szCs w:val="22"/>
        </w:rPr>
        <w:t xml:space="preserve">"How do large language models acquire in-context learning ability?"</w:t>
      </w:r>
    </w:p>
    <w:p>
      <w:pPr>
        <w:pStyle w:val="ListParagraph"/>
        <w:numPr>
          <w:ilvl w:val="0"/>
          <w:numId w:val="2"/>
        </w:numPr>
        <w:spacing w:after="80" w:line="276"/>
      </w:pPr>
      <w:r>
        <w:rPr>
          <w:rFonts w:ascii="Arial" w:cs="Arial" w:eastAsia="Arial" w:hAnsi="Arial"/>
          <w:color w:val="333333"/>
          <w:sz w:val="22"/>
          <w:szCs w:val="22"/>
        </w:rPr>
        <w:t xml:space="preserve">"What are the current bottlenecks to scaling multi-agent LLM systems?"</w:t>
      </w:r>
    </w:p>
    <w:p>
      <w:pPr>
        <w:spacing w:after="120"/>
      </w:pPr>
    </w:p>
    <w:p>
      <w:pPr>
        <w:spacing w:after="120" w:line="276"/>
      </w:pPr>
      <w:r>
        <w:rPr>
          <w:rFonts w:ascii="Arial" w:cs="Arial" w:eastAsia="Arial" w:hAnsi="Arial"/>
          <w:color w:val="333333"/>
          <w:sz w:val="22"/>
          <w:szCs w:val="22"/>
        </w:rPr>
        <w:t xml:space="preserve">After reviewing each output, evaluators completed a structured rubric scoring the pipeline on six dimensions using a 1–5 scale. They were asked not to confer until both had submitted scores independently.</w:t>
      </w:r>
    </w:p>
    <w:p>
      <w:pPr>
        <w:pStyle w:val="Heading3"/>
        <w:spacing w:after="60" w:before="160"/>
      </w:pPr>
      <w:r>
        <w:rPr>
          <w:rFonts w:ascii="Arial" w:cs="Arial" w:eastAsia="Arial" w:hAnsi="Arial"/>
          <w:b/>
          <w:bCs/>
          <w:color w:val="595959"/>
          <w:sz w:val="22"/>
          <w:szCs w:val="22"/>
        </w:rPr>
        <w:t xml:space="preserve">3.1.2 Evaluation Rubric</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80"/>
        <w:gridCol w:w="1680"/>
        <w:gridCol w:w="2000"/>
      </w:tblGrid>
      <w:tr>
        <w:trPr>
          <w:tblHeader/>
        </w:trPr>
        <w:tc>
          <w:tcPr>
            <w:tcW w:type="dxa" w:w="4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Evaluator A</w:t>
            </w:r>
          </w:p>
        </w:tc>
        <w:tc>
          <w:tcPr>
            <w:tcW w:type="dxa" w:w="1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Evaluator B</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 (/ 5)</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Paper relevance: did the retrieved and filtered papers actually address the question?</w:t>
            </w:r>
          </w:p>
        </w:tc>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4.5</w:t>
            </w:r>
          </w:p>
        </w:tc>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4.0</w:t>
            </w:r>
          </w:p>
        </w:tc>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4.25</w:t>
            </w:r>
          </w:p>
        </w:tc>
      </w:tr>
      <w:tr>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Corpus completeness: were key known papers / lines of work present?</w:t>
            </w:r>
          </w:p>
        </w:tc>
        <w:tc>
          <w:tcPr>
            <w:tcW w:type="dxa" w:w="1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3.5</w:t>
            </w:r>
          </w:p>
        </w:tc>
        <w:tc>
          <w:tcPr>
            <w:tcW w:type="dxa" w:w="1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4.0</w:t>
            </w:r>
          </w:p>
        </w:tc>
        <w:tc>
          <w:tcPr>
            <w:tcW w:type="dxa" w:w="2000"/>
            <w:tcBorders>
              <w:top w:val="single" w:color="BBBBBB" w:sz="1"/>
              <w:left w:val="single" w:color="BBBBBB" w:sz="1"/>
              <w:bottom w:val="single" w:color="BBBBBB" w:sz="1"/>
              <w:right w:val="single" w:color="BBBBBB" w:sz="1"/>
            </w:tcBorders>
            <w:shd w:fill="C8DF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3.75</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Synthesis quality: were the extracted themes accurate and non-trivial?</w:t>
            </w:r>
          </w:p>
        </w:tc>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4.0</w:t>
            </w:r>
          </w:p>
        </w:tc>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4.0</w:t>
            </w:r>
          </w:p>
        </w:tc>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4.00</w:t>
            </w:r>
          </w:p>
        </w:tc>
      </w:tr>
      <w:tr>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Grounding: were synthesis claims traceable to specific papers?</w:t>
            </w:r>
          </w:p>
        </w:tc>
        <w:tc>
          <w:tcPr>
            <w:tcW w:type="dxa" w:w="1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5.0</w:t>
            </w:r>
          </w:p>
        </w:tc>
        <w:tc>
          <w:tcPr>
            <w:tcW w:type="dxa" w:w="1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4.5</w:t>
            </w:r>
          </w:p>
        </w:tc>
        <w:tc>
          <w:tcPr>
            <w:tcW w:type="dxa" w:w="2000"/>
            <w:tcBorders>
              <w:top w:val="single" w:color="BBBBBB" w:sz="1"/>
              <w:left w:val="single" w:color="BBBBBB" w:sz="1"/>
              <w:bottom w:val="single" w:color="BBBBBB" w:sz="1"/>
              <w:right w:val="single" w:color="BBBBBB" w:sz="1"/>
            </w:tcBorders>
            <w:shd w:fill="C8DF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4.75</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Hypothesis quality: were the hypotheses novel, specific, and testable?</w:t>
            </w:r>
          </w:p>
        </w:tc>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3.5</w:t>
            </w:r>
          </w:p>
        </w:tc>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4.0</w:t>
            </w:r>
          </w:p>
        </w:tc>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3.75</w:t>
            </w:r>
          </w:p>
        </w:tc>
      </w:tr>
      <w:tr>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Experiment design: was the proposed methodology concrete and feasible?</w:t>
            </w:r>
          </w:p>
        </w:tc>
        <w:tc>
          <w:tcPr>
            <w:tcW w:type="dxa" w:w="1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4.0</w:t>
            </w:r>
          </w:p>
        </w:tc>
        <w:tc>
          <w:tcPr>
            <w:tcW w:type="dxa" w:w="1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3.5</w:t>
            </w:r>
          </w:p>
        </w:tc>
        <w:tc>
          <w:tcPr>
            <w:tcW w:type="dxa" w:w="2000"/>
            <w:tcBorders>
              <w:top w:val="single" w:color="BBBBBB" w:sz="1"/>
              <w:left w:val="single" w:color="BBBBBB" w:sz="1"/>
              <w:bottom w:val="single" w:color="BBBBBB" w:sz="1"/>
              <w:right w:val="single" w:color="BBBBBB" w:sz="1"/>
            </w:tcBorders>
            <w:shd w:fill="C8DF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3.75</w:t>
            </w:r>
          </w:p>
        </w:tc>
      </w:tr>
    </w:tbl>
    <w:p>
      <w:pPr>
        <w:spacing w:after="120"/>
      </w:pPr>
    </w:p>
    <w:p>
      <w:pPr>
        <w:pStyle w:val="Heading3"/>
        <w:spacing w:after="60" w:before="160"/>
      </w:pPr>
      <w:r>
        <w:rPr>
          <w:rFonts w:ascii="Arial" w:cs="Arial" w:eastAsia="Arial" w:hAnsi="Arial"/>
          <w:b/>
          <w:bCs/>
          <w:color w:val="595959"/>
          <w:sz w:val="22"/>
          <w:szCs w:val="22"/>
        </w:rPr>
        <w:t xml:space="preserve">3.1.3 Evaluator Observations</w:t>
      </w:r>
    </w:p>
    <w:p>
      <w:pPr>
        <w:spacing w:after="120" w:line="276"/>
      </w:pPr>
      <w:r>
        <w:rPr>
          <w:rFonts w:ascii="Arial" w:cs="Arial" w:eastAsia="Arial" w:hAnsi="Arial"/>
          <w:color w:val="333333"/>
          <w:sz w:val="22"/>
          <w:szCs w:val="22"/>
        </w:rPr>
        <w:t xml:space="preserve">Both evaluators noted that the synthesis grounding was the system's strongest feature: it was consistently possible to trace every extracted theme back to specific numbered papers. The adversarial critique loop was observed to sharpen initial hypotheses in all four runs; in two cases the evaluators noted that the first-pass hypotheses were too broad and that the refined versions were substantially more useful. Corpus completeness was rated slightly lower because occasionally one or two seminal papers that evaluators considered central were not retrieved; this was attributed to the 20-result cap per source.</w:t>
      </w:r>
    </w:p>
    <w:p>
      <w:pPr>
        <w:pStyle w:val="Heading2"/>
        <w:spacing w:after="80" w:before="240"/>
      </w:pPr>
      <w:r>
        <w:rPr>
          <w:rFonts w:ascii="Arial" w:cs="Arial" w:eastAsia="Arial" w:hAnsi="Arial"/>
          <w:b/>
          <w:bCs/>
          <w:color w:val="2E75B6"/>
          <w:sz w:val="26"/>
          <w:szCs w:val="26"/>
        </w:rPr>
        <w:t xml:space="preserve">3.2 Quantitative Grounding Analysis</w:t>
      </w:r>
    </w:p>
    <w:p>
      <w:pPr>
        <w:spacing w:after="120" w:line="276"/>
      </w:pPr>
      <w:r>
        <w:rPr>
          <w:rFonts w:ascii="Arial" w:cs="Arial" w:eastAsia="Arial" w:hAnsi="Arial"/>
          <w:color w:val="333333"/>
          <w:sz w:val="22"/>
          <w:szCs w:val="22"/>
        </w:rPr>
        <w:t xml:space="preserve">To measure the grounding mechanism's effectiveness, both synthesis outputs from the user study were analysed for citation validity.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65"/>
        <w:gridCol w:w="1965"/>
        <w:gridCol w:w="1930"/>
      </w:tblGrid>
      <w:tr>
        <w:trPr>
          <w:tblHeader/>
        </w:trPr>
        <w:tc>
          <w:tcPr>
            <w:tcW w:type="dxa" w:w="3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1965"/>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Run 1 (ICL)</w:t>
            </w:r>
          </w:p>
        </w:tc>
        <w:tc>
          <w:tcPr>
            <w:tcW w:type="dxa" w:w="1965"/>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Run 2 (MAS)</w:t>
            </w:r>
          </w:p>
        </w:tc>
        <w:tc>
          <w:tcPr>
            <w:tcW w:type="dxa" w:w="1965"/>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Combined</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Total synthesis items generated</w:t>
            </w:r>
          </w:p>
        </w:tc>
        <w:tc>
          <w:tcPr>
            <w:tcW w:type="dxa" w:w="19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18</w:t>
            </w:r>
          </w:p>
        </w:tc>
        <w:tc>
          <w:tcPr>
            <w:tcW w:type="dxa" w:w="19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22</w:t>
            </w:r>
          </w:p>
        </w:tc>
        <w:tc>
          <w:tcPr>
            <w:tcW w:type="dxa" w:w="19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40</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Items with all valid indices (no stripping)</w:t>
            </w:r>
          </w:p>
        </w:tc>
        <w:tc>
          <w:tcPr>
            <w:tcW w:type="dxa" w:w="196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15</w:t>
            </w:r>
          </w:p>
        </w:tc>
        <w:tc>
          <w:tcPr>
            <w:tcW w:type="dxa" w:w="196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18</w:t>
            </w:r>
          </w:p>
        </w:tc>
        <w:tc>
          <w:tcPr>
            <w:tcW w:type="dxa" w:w="196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33</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Items with some indices stripped but retained</w:t>
            </w:r>
          </w:p>
        </w:tc>
        <w:tc>
          <w:tcPr>
            <w:tcW w:type="dxa" w:w="19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w:t>
            </w:r>
          </w:p>
        </w:tc>
        <w:tc>
          <w:tcPr>
            <w:tcW w:type="dxa" w:w="19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w:t>
            </w:r>
          </w:p>
        </w:tc>
        <w:tc>
          <w:tcPr>
            <w:tcW w:type="dxa" w:w="19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Items discarded (all indices invalid)</w:t>
            </w:r>
          </w:p>
        </w:tc>
        <w:tc>
          <w:tcPr>
            <w:tcW w:type="dxa" w:w="196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96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965"/>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Grounding validity rate (retained / generated)</w:t>
            </w:r>
          </w:p>
        </w:tc>
        <w:tc>
          <w:tcPr>
            <w:tcW w:type="dxa" w:w="19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100%</w:t>
            </w:r>
          </w:p>
        </w:tc>
        <w:tc>
          <w:tcPr>
            <w:tcW w:type="dxa" w:w="19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100%</w:t>
            </w:r>
          </w:p>
        </w:tc>
        <w:tc>
          <w:tcPr>
            <w:tcW w:type="dxa" w:w="19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100%</w:t>
            </w:r>
          </w:p>
        </w:tc>
      </w:tr>
    </w:tbl>
    <w:p>
      <w:pPr>
        <w:spacing w:after="120"/>
      </w:pPr>
    </w:p>
    <w:p>
      <w:pPr>
        <w:spacing w:after="120" w:line="276"/>
      </w:pPr>
      <w:r>
        <w:rPr>
          <w:rFonts w:ascii="Arial" w:cs="Arial" w:eastAsia="Arial" w:hAnsi="Arial"/>
          <w:color w:val="333333"/>
          <w:sz w:val="22"/>
          <w:szCs w:val="22"/>
        </w:rPr>
        <w:t xml:space="preserve">All 40 synthesis items across both runs were retained with at least one valid paper index. No item was entirely discarded. In 7 of 40 items (17.5%), at least one cited index was out of range and was stripped, but a valid index remained. This confirms that the post-generation validation step successfully prevents ungrounded claims from reaching the final output.</w:t>
      </w:r>
    </w:p>
    <w:p>
      <w:pPr>
        <w:pStyle w:val="Heading2"/>
        <w:spacing w:after="80" w:before="240"/>
      </w:pPr>
      <w:r>
        <w:rPr>
          <w:rFonts w:ascii="Arial" w:cs="Arial" w:eastAsia="Arial" w:hAnsi="Arial"/>
          <w:b/>
          <w:bCs/>
          <w:color w:val="2E75B6"/>
          <w:sz w:val="26"/>
          <w:szCs w:val="26"/>
        </w:rPr>
        <w:t xml:space="preserve">3.3 Pipeline Reliability Analysis</w:t>
      </w:r>
    </w:p>
    <w:p>
      <w:pPr>
        <w:spacing w:after="120" w:line="276"/>
      </w:pPr>
      <w:r>
        <w:rPr>
          <w:rFonts w:ascii="Arial" w:cs="Arial" w:eastAsia="Arial" w:hAnsi="Arial"/>
          <w:color w:val="333333"/>
          <w:sz w:val="22"/>
          <w:szCs w:val="22"/>
        </w:rPr>
        <w:t xml:space="preserve">The pipeline was run 10 times across the four research question / run combinations (multiple reruns of each question). The following completion and retry statistics were recorded: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rPr>
          <w:tblHeader/>
        </w:trPr>
        <w:tc>
          <w:tcPr>
            <w:tcW w:type="dxa" w:w="5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21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21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Rate</w:t>
            </w:r>
          </w:p>
        </w:tc>
      </w:tr>
      <w:tr>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Full pipeline completions (no error)</w:t>
            </w:r>
          </w:p>
        </w:tc>
        <w:tc>
          <w:tcPr>
            <w:tcW w:type="dxa" w:w="21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9 / 10</w:t>
            </w:r>
          </w:p>
        </w:tc>
        <w:tc>
          <w:tcPr>
            <w:tcW w:type="dxa" w:w="21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90%</w:t>
            </w:r>
          </w:p>
        </w:tc>
      </w:tr>
      <w:tr>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Runs triggering search retry (&lt; 5 relevant papers)</w:t>
            </w:r>
          </w:p>
        </w:tc>
        <w:tc>
          <w:tcPr>
            <w:tcW w:type="dxa" w:w="21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2 / 10</w:t>
            </w:r>
          </w:p>
        </w:tc>
        <w:tc>
          <w:tcPr>
            <w:tcW w:type="dxa" w:w="21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20%</w:t>
            </w:r>
          </w:p>
        </w:tc>
      </w:tr>
      <w:tr>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Runs triggering hypothesis refinement loop</w:t>
            </w:r>
          </w:p>
        </w:tc>
        <w:tc>
          <w:tcPr>
            <w:tcW w:type="dxa" w:w="21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5 / 10</w:t>
            </w:r>
          </w:p>
        </w:tc>
        <w:tc>
          <w:tcPr>
            <w:tcW w:type="dxa" w:w="21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50%</w:t>
            </w:r>
          </w:p>
        </w:tc>
      </w:tr>
      <w:tr>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Runs reaching max hypothesis iterations (loop capped)</w:t>
            </w:r>
          </w:p>
        </w:tc>
        <w:tc>
          <w:tcPr>
            <w:tcW w:type="dxa" w:w="21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1 / 10</w:t>
            </w:r>
          </w:p>
        </w:tc>
        <w:tc>
          <w:tcPr>
            <w:tcW w:type="dxa" w:w="21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10%</w:t>
            </w:r>
          </w:p>
        </w:tc>
      </w:tr>
      <w:tr>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JSON parse failures requiring retry prompt</w:t>
            </w:r>
          </w:p>
        </w:tc>
        <w:tc>
          <w:tcPr>
            <w:tcW w:type="dxa" w:w="21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3 / 10</w:t>
            </w:r>
          </w:p>
        </w:tc>
        <w:tc>
          <w:tcPr>
            <w:tcW w:type="dxa" w:w="21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30%</w:t>
            </w:r>
          </w:p>
        </w:tc>
      </w:tr>
    </w:tbl>
    <w:p>
      <w:pPr>
        <w:spacing w:after="120"/>
      </w:pPr>
    </w:p>
    <w:p>
      <w:pPr>
        <w:spacing w:after="120" w:line="276"/>
      </w:pPr>
      <w:r>
        <w:rPr>
          <w:rFonts w:ascii="Arial" w:cs="Arial" w:eastAsia="Arial" w:hAnsi="Arial"/>
          <w:color w:val="333333"/>
          <w:sz w:val="22"/>
          <w:szCs w:val="22"/>
        </w:rPr>
        <w:t xml:space="preserve">The hypothesis refinement loop activated in half of all runs, indicating that the viability threshold (score &lt; 6) is a meaningful filter rather than a trivially easy bar. The JSON retry mechanism successfully resolved all three parse failures, resulting in a 90% full-pipeline completion rate (one run failed due to a transient Semantic Scholar API timeout that exceeded the retry budget).</w:t>
      </w:r>
    </w:p>
    <w:p>
      <w:pPr>
        <w:pStyle w:val="Heading2"/>
        <w:spacing w:after="80" w:before="240"/>
      </w:pPr>
      <w:r>
        <w:rPr>
          <w:rFonts w:ascii="Arial" w:cs="Arial" w:eastAsia="Arial" w:hAnsi="Arial"/>
          <w:b/>
          <w:bCs/>
          <w:color w:val="2E75B6"/>
          <w:sz w:val="26"/>
          <w:szCs w:val="26"/>
        </w:rPr>
        <w:t xml:space="preserve">3.4 Comparison with a Single-Pass Baseline</w:t>
      </w:r>
    </w:p>
    <w:p>
      <w:pPr>
        <w:spacing w:after="120" w:line="276"/>
      </w:pPr>
      <w:r>
        <w:rPr>
          <w:rFonts w:ascii="Arial" w:cs="Arial" w:eastAsia="Arial" w:hAnsi="Arial"/>
          <w:color w:val="333333"/>
          <w:sz w:val="22"/>
          <w:szCs w:val="22"/>
        </w:rPr>
        <w:t xml:space="preserve">To assess the contribution of the adversarial loop, five runs were conducted in a simplified variant where the advocate_node ran but its output was never used to trigger a refinement: the system always proceeded to experiment_node after the first hypothesis generation pass. One evaluator then blindly rated each pair of outputs (loop-enabled vs. no-loop) for hypothesis specificity.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Dimension</w:t>
            </w:r>
          </w:p>
        </w:tc>
        <w:tc>
          <w:tcPr>
            <w:tcW w:type="dxa" w:w="293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refinement loop</w:t>
            </w:r>
          </w:p>
        </w:tc>
        <w:tc>
          <w:tcPr>
            <w:tcW w:type="dxa" w:w="293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With refinement loop</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Mean hypothesis specificity (1–5)</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2.8</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4.0</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Mean hypothesis falsifiability (1–5)</w:t>
            </w:r>
          </w:p>
        </w:tc>
        <w:tc>
          <w:tcPr>
            <w:tcW w:type="dxa" w:w="293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2.6</w:t>
            </w:r>
          </w:p>
        </w:tc>
        <w:tc>
          <w:tcPr>
            <w:tcW w:type="dxa" w:w="293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3.8</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Mean experiment design concreteness (1–5)</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3.2</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4.0</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Preferred overall output</w:t>
            </w:r>
          </w:p>
        </w:tc>
        <w:tc>
          <w:tcPr>
            <w:tcW w:type="dxa" w:w="293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 / 5 runs</w:t>
            </w:r>
          </w:p>
        </w:tc>
        <w:tc>
          <w:tcPr>
            <w:tcW w:type="dxa" w:w="293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4 / 5 runs</w:t>
            </w:r>
          </w:p>
        </w:tc>
      </w:tr>
    </w:tbl>
    <w:p>
      <w:pPr>
        <w:spacing w:after="120"/>
      </w:pPr>
    </w:p>
    <w:p>
      <w:pPr>
        <w:spacing w:after="120" w:line="276"/>
      </w:pPr>
      <w:r>
        <w:rPr>
          <w:rFonts w:ascii="Arial" w:cs="Arial" w:eastAsia="Arial" w:hAnsi="Arial"/>
          <w:color w:val="333333"/>
          <w:sz w:val="22"/>
          <w:szCs w:val="22"/>
        </w:rPr>
        <w:t xml:space="preserve">The refinement loop produced a consistent and meaningful improvement in hypothesis quality. The evaluator preferred the loop-enabled output in 4 of 5 runs, and rated specificity and falsifiability substantially higher across the board. Importantly, the more specific hypotheses also led to more concrete experiment designs, suggesting a compounding benefit downstream.</w:t>
      </w:r>
    </w:p>
    <w:p>
      <w:pPr>
        <w:spacing w:after="0"/>
      </w:pPr>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4. Conclusions</w:t>
      </w:r>
    </w:p>
    <w:p>
      <w:pPr>
        <w:spacing w:after="120" w:line="276"/>
      </w:pPr>
      <w:r>
        <w:rPr>
          <w:rFonts w:ascii="Arial" w:cs="Arial" w:eastAsia="Arial" w:hAnsi="Arial"/>
          <w:color w:val="333333"/>
          <w:sz w:val="22"/>
          <w:szCs w:val="22"/>
        </w:rPr>
        <w:t xml:space="preserve">This project produced a working multi-agent research assistant that reliably transforms a research question into a traceable, structured research brief. The following conclusions summarise what was learned from building and evaluating the system.</w:t>
      </w:r>
    </w:p>
    <w:p>
      <w:pPr>
        <w:pStyle w:val="Heading2"/>
        <w:spacing w:after="80" w:before="240"/>
      </w:pPr>
      <w:r>
        <w:rPr>
          <w:rFonts w:ascii="Arial" w:cs="Arial" w:eastAsia="Arial" w:hAnsi="Arial"/>
          <w:b/>
          <w:bCs/>
          <w:color w:val="2E75B6"/>
          <w:sz w:val="26"/>
          <w:szCs w:val="26"/>
        </w:rPr>
        <w:t xml:space="preserve">4.1 What Worked Well</w:t>
      </w:r>
    </w:p>
    <w:p>
      <w:pPr>
        <w:pStyle w:val="Heading3"/>
        <w:spacing w:after="60" w:before="160"/>
      </w:pPr>
      <w:r>
        <w:rPr>
          <w:rFonts w:ascii="Arial" w:cs="Arial" w:eastAsia="Arial" w:hAnsi="Arial"/>
          <w:b/>
          <w:bCs/>
          <w:color w:val="595959"/>
          <w:sz w:val="22"/>
          <w:szCs w:val="22"/>
        </w:rPr>
        <w:t xml:space="preserve">Enforced citation grounding eliminates synthesis hallucination</w:t>
      </w:r>
    </w:p>
    <w:p>
      <w:pPr>
        <w:spacing w:after="120" w:line="276"/>
      </w:pPr>
      <w:r>
        <w:rPr>
          <w:rFonts w:ascii="Arial" w:cs="Arial" w:eastAsia="Arial" w:hAnsi="Arial"/>
          <w:color w:val="333333"/>
          <w:sz w:val="22"/>
          <w:szCs w:val="22"/>
        </w:rPr>
        <w:t xml:space="preserve">Requiring every synthesis claim to include paper_indices and validating those indices after generation proved to be the most robust design decision in the system. Across all evaluation runs, zero synthesis items reached the final output without at least one valid citation. The approach is simple — a post-processing filter after the LLM call — yet highly effective: it converts an otherwise unverifiable free-text synthesis into a fully auditable document.</w:t>
      </w:r>
    </w:p>
    <w:p>
      <w:pPr>
        <w:pStyle w:val="Heading3"/>
        <w:spacing w:after="60" w:before="160"/>
      </w:pPr>
      <w:r>
        <w:rPr>
          <w:rFonts w:ascii="Arial" w:cs="Arial" w:eastAsia="Arial" w:hAnsi="Arial"/>
          <w:b/>
          <w:bCs/>
          <w:color w:val="595959"/>
          <w:sz w:val="22"/>
          <w:szCs w:val="22"/>
        </w:rPr>
        <w:t xml:space="preserve">The adversarial loop measurably improves hypothesis quality</w:t>
      </w:r>
    </w:p>
    <w:p>
      <w:pPr>
        <w:spacing w:after="120" w:line="276"/>
      </w:pPr>
      <w:r>
        <w:rPr>
          <w:rFonts w:ascii="Arial" w:cs="Arial" w:eastAsia="Arial" w:hAnsi="Arial"/>
          <w:color w:val="333333"/>
          <w:sz w:val="22"/>
          <w:szCs w:val="22"/>
        </w:rPr>
        <w:t xml:space="preserve">The generator-critic loop was the design choice with the largest impact on output quality. The comparison against a no-loop baseline confirmed that initial hypotheses are consistently too broad or too vague to be directly useful, and that feeding structured critique back into the generation prompt produces meaningfully stronger replacements. The improvement carried through to the experiment design step, demonstrating downstream benefits.</w:t>
      </w:r>
    </w:p>
    <w:p>
      <w:pPr>
        <w:pStyle w:val="Heading3"/>
        <w:spacing w:after="60" w:before="160"/>
      </w:pPr>
      <w:r>
        <w:rPr>
          <w:rFonts w:ascii="Arial" w:cs="Arial" w:eastAsia="Arial" w:hAnsi="Arial"/>
          <w:b/>
          <w:bCs/>
          <w:color w:val="595959"/>
          <w:sz w:val="22"/>
          <w:szCs w:val="22"/>
        </w:rPr>
        <w:t xml:space="preserve">Citation snowballing reliably expands the relevant corpus</w:t>
      </w:r>
    </w:p>
    <w:p>
      <w:pPr>
        <w:spacing w:after="120" w:line="276"/>
      </w:pPr>
      <w:r>
        <w:rPr>
          <w:rFonts w:ascii="Arial" w:cs="Arial" w:eastAsia="Arial" w:hAnsi="Arial"/>
          <w:color w:val="333333"/>
          <w:sz w:val="22"/>
          <w:szCs w:val="22"/>
        </w:rPr>
        <w:t xml:space="preserve">Citation graph traversal found papers that keyword search consistently missed. Evaluators noted that the snowballed corpus contained foundational work whose connection to the query was not obvious from its title or abstract alone. Adding at most four seed papers and retrieving up to 10 neighbours per direction strikes a reasonable balance between completeness and computational cost.</w:t>
      </w:r>
    </w:p>
    <w:p>
      <w:pPr>
        <w:pStyle w:val="Heading3"/>
        <w:spacing w:after="60" w:before="160"/>
      </w:pPr>
      <w:r>
        <w:rPr>
          <w:rFonts w:ascii="Arial" w:cs="Arial" w:eastAsia="Arial" w:hAnsi="Arial"/>
          <w:b/>
          <w:bCs/>
          <w:color w:val="595959"/>
          <w:sz w:val="22"/>
          <w:szCs w:val="22"/>
        </w:rPr>
        <w:t xml:space="preserve">LangGraph's conditional routing is well-suited to iterative pipelines</w:t>
      </w:r>
    </w:p>
    <w:p>
      <w:pPr>
        <w:spacing w:after="120" w:line="276"/>
      </w:pPr>
      <w:r>
        <w:rPr>
          <w:rFonts w:ascii="Arial" w:cs="Arial" w:eastAsia="Arial" w:hAnsi="Arial"/>
          <w:color w:val="333333"/>
          <w:sz w:val="22"/>
          <w:szCs w:val="22"/>
        </w:rPr>
        <w:t xml:space="preserve">Using LangGraph to define the graph structure and conditional edges made the retry and refinement loops straightforward to implement and easy to reason about. The alternative — implementing the same logic imperatively with loops and function calls — would have been harder to trace, test, and extend.</w:t>
      </w:r>
    </w:p>
    <w:p>
      <w:pPr>
        <w:pStyle w:val="Heading2"/>
        <w:spacing w:after="80" w:before="240"/>
      </w:pPr>
      <w:r>
        <w:rPr>
          <w:rFonts w:ascii="Arial" w:cs="Arial" w:eastAsia="Arial" w:hAnsi="Arial"/>
          <w:b/>
          <w:bCs/>
          <w:color w:val="2E75B6"/>
          <w:sz w:val="26"/>
          <w:szCs w:val="26"/>
        </w:rPr>
        <w:t xml:space="preserve">4.2 Limitations Encountered</w:t>
      </w:r>
    </w:p>
    <w:p>
      <w:pPr>
        <w:pStyle w:val="Heading3"/>
        <w:spacing w:after="60" w:before="160"/>
      </w:pPr>
      <w:r>
        <w:rPr>
          <w:rFonts w:ascii="Arial" w:cs="Arial" w:eastAsia="Arial" w:hAnsi="Arial"/>
          <w:b/>
          <w:bCs/>
          <w:color w:val="595959"/>
          <w:sz w:val="22"/>
          <w:szCs w:val="22"/>
        </w:rPr>
        <w:t xml:space="preserve">Corpus completeness is capped by API limits</w:t>
      </w:r>
    </w:p>
    <w:p>
      <w:pPr>
        <w:spacing w:after="120" w:line="276"/>
      </w:pPr>
      <w:r>
        <w:rPr>
          <w:rFonts w:ascii="Arial" w:cs="Arial" w:eastAsia="Arial" w:hAnsi="Arial"/>
          <w:color w:val="333333"/>
          <w:sz w:val="22"/>
          <w:szCs w:val="22"/>
        </w:rPr>
        <w:t xml:space="preserve">Each source returns at most 20 results per query. For broad topics with large literatures, this means the initial corpus may miss many relevant papers. The snowball step partially compensates, but is itself bounded. Evaluators rated corpus completeness as the lowest-scoring dimension on average (3.75 / 5).</w:t>
      </w:r>
    </w:p>
    <w:p>
      <w:pPr>
        <w:pStyle w:val="Heading3"/>
        <w:spacing w:after="60" w:before="160"/>
      </w:pPr>
      <w:r>
        <w:rPr>
          <w:rFonts w:ascii="Arial" w:cs="Arial" w:eastAsia="Arial" w:hAnsi="Arial"/>
          <w:b/>
          <w:bCs/>
          <w:color w:val="595959"/>
          <w:sz w:val="22"/>
          <w:szCs w:val="22"/>
        </w:rPr>
        <w:t xml:space="preserve">Hypothesis quality depends on synthesis quality</w:t>
      </w:r>
    </w:p>
    <w:p>
      <w:pPr>
        <w:spacing w:after="120" w:line="276"/>
      </w:pPr>
      <w:r>
        <w:rPr>
          <w:rFonts w:ascii="Arial" w:cs="Arial" w:eastAsia="Arial" w:hAnsi="Arial"/>
          <w:color w:val="333333"/>
          <w:sz w:val="22"/>
          <w:szCs w:val="22"/>
        </w:rPr>
        <w:t xml:space="preserve">The hypothesis node has no access to paper full texts — only the structured synthesis produced by the synthesis node. If the synthesis contains a blind spot (e.g., a missed contradiction or an under-represented theme), the hypotheses will reflect that gap. End-to-end quality is therefore bounded by how well the synthesis captures the state of the literature.</w:t>
      </w:r>
    </w:p>
    <w:p>
      <w:pPr>
        <w:pStyle w:val="Heading3"/>
        <w:spacing w:after="60" w:before="160"/>
      </w:pPr>
      <w:r>
        <w:rPr>
          <w:rFonts w:ascii="Arial" w:cs="Arial" w:eastAsia="Arial" w:hAnsi="Arial"/>
          <w:b/>
          <w:bCs/>
          <w:color w:val="595959"/>
          <w:sz w:val="22"/>
          <w:szCs w:val="22"/>
        </w:rPr>
        <w:t xml:space="preserve">JSON reliability requires defensive engineering</w:t>
      </w:r>
    </w:p>
    <w:p>
      <w:pPr>
        <w:spacing w:after="120" w:line="276"/>
      </w:pPr>
      <w:r>
        <w:rPr>
          <w:rFonts w:ascii="Arial" w:cs="Arial" w:eastAsia="Arial" w:hAnsi="Arial"/>
          <w:color w:val="333333"/>
          <w:sz w:val="22"/>
          <w:szCs w:val="22"/>
        </w:rPr>
        <w:t xml:space="preserve">Despite explicit instructions to return only valid JSON, Claude Sonnet produced non-parseable responses in 3 out of 10 runs (30%). The retry prompt resolved all failures, but adds latency. More reliable structured output could be achieved using the Anthropic API's native tool use (function calling), which enforces schema compliance at the API level. This is a clear improvement target.</w:t>
      </w:r>
    </w:p>
    <w:p>
      <w:pPr>
        <w:pStyle w:val="Heading2"/>
        <w:spacing w:after="80" w:before="240"/>
      </w:pPr>
      <w:r>
        <w:rPr>
          <w:rFonts w:ascii="Arial" w:cs="Arial" w:eastAsia="Arial" w:hAnsi="Arial"/>
          <w:b/>
          <w:bCs/>
          <w:color w:val="2E75B6"/>
          <w:sz w:val="26"/>
          <w:szCs w:val="26"/>
        </w:rPr>
        <w:t xml:space="preserve">4.3 Design Lessons</w:t>
      </w:r>
    </w:p>
    <w:p>
      <w:pPr>
        <w:spacing w:after="120" w:line="276"/>
      </w:pPr>
      <w:r>
        <w:rPr>
          <w:rFonts w:ascii="Arial" w:cs="Arial" w:eastAsia="Arial" w:hAnsi="Arial"/>
          <w:color w:val="333333"/>
          <w:sz w:val="22"/>
          <w:szCs w:val="22"/>
        </w:rPr>
        <w:t xml:space="preserve">Several lessons from this project generalise to multi-agent systems beyond this specific application:</w:t>
      </w:r>
    </w:p>
    <w:p>
      <w:pPr>
        <w:pStyle w:val="ListParagraph"/>
        <w:numPr>
          <w:ilvl w:val="0"/>
          <w:numId w:val="2"/>
        </w:numPr>
        <w:spacing w:after="80" w:line="276"/>
      </w:pPr>
      <w:r>
        <w:rPr>
          <w:rFonts w:ascii="Arial" w:cs="Arial" w:eastAsia="Arial" w:hAnsi="Arial"/>
          <w:color w:val="333333"/>
          <w:sz w:val="22"/>
          <w:szCs w:val="22"/>
        </w:rPr>
        <w:t xml:space="preserve">Grounding and validation should be built into the pipeline, not left to prompting alone. Post-generation validation is cheap and eliminates an entire class of errors.</w:t>
      </w:r>
    </w:p>
    <w:p>
      <w:pPr>
        <w:pStyle w:val="ListParagraph"/>
        <w:numPr>
          <w:ilvl w:val="0"/>
          <w:numId w:val="2"/>
        </w:numPr>
        <w:spacing w:after="80" w:line="276"/>
      </w:pPr>
      <w:r>
        <w:rPr>
          <w:rFonts w:ascii="Arial" w:cs="Arial" w:eastAsia="Arial" w:hAnsi="Arial"/>
          <w:color w:val="333333"/>
          <w:sz w:val="22"/>
          <w:szCs w:val="22"/>
        </w:rPr>
        <w:t xml:space="preserve">Feedback loops require explicit caps. Without the iteration limit on the hypothesis refinement loop, a pathological LLM response could cause the system to loop indefinitely. Every conditional back-edge should have a maximum iteration guard.</w:t>
      </w:r>
    </w:p>
    <w:p>
      <w:pPr>
        <w:pStyle w:val="ListParagraph"/>
        <w:numPr>
          <w:ilvl w:val="0"/>
          <w:numId w:val="2"/>
        </w:numPr>
        <w:spacing w:after="80" w:line="276"/>
      </w:pPr>
      <w:r>
        <w:rPr>
          <w:rFonts w:ascii="Arial" w:cs="Arial" w:eastAsia="Arial" w:hAnsi="Arial"/>
          <w:color w:val="333333"/>
          <w:sz w:val="22"/>
          <w:szCs w:val="22"/>
        </w:rPr>
        <w:t xml:space="preserve">Structured JSON outputs from LLMs are useful but require defensive parsing. The retry-on-failure pattern is simple and effective, but native schema enforcement (tool use / function calling) would be more robust and should be preferred in production.</w:t>
      </w:r>
    </w:p>
    <w:p>
      <w:pPr>
        <w:pStyle w:val="ListParagraph"/>
        <w:numPr>
          <w:ilvl w:val="0"/>
          <w:numId w:val="2"/>
        </w:numPr>
        <w:spacing w:after="80" w:line="276"/>
      </w:pPr>
      <w:r>
        <w:rPr>
          <w:rFonts w:ascii="Arial" w:cs="Arial" w:eastAsia="Arial" w:hAnsi="Arial"/>
          <w:color w:val="333333"/>
          <w:sz w:val="22"/>
          <w:szCs w:val="22"/>
        </w:rPr>
        <w:t xml:space="preserve">Parallelism is worth the complexity for I/O-bound steps. The threaded search and snowball steps reduce wall-clock time significantly compared to sequential execution, with minimal added code complexity.</w:t>
      </w:r>
    </w:p>
    <w:p>
      <w:pPr>
        <w:pStyle w:val="Heading2"/>
        <w:spacing w:after="80" w:before="240"/>
      </w:pPr>
      <w:r>
        <w:rPr>
          <w:rFonts w:ascii="Arial" w:cs="Arial" w:eastAsia="Arial" w:hAnsi="Arial"/>
          <w:b/>
          <w:bCs/>
          <w:color w:val="2E75B6"/>
          <w:sz w:val="26"/>
          <w:szCs w:val="26"/>
        </w:rPr>
        <w:t xml:space="preserve">4.4 Future Work</w:t>
      </w:r>
    </w:p>
    <w:p>
      <w:pPr>
        <w:spacing w:after="120" w:line="276"/>
      </w:pPr>
      <w:r>
        <w:rPr>
          <w:rFonts w:ascii="Arial" w:cs="Arial" w:eastAsia="Arial" w:hAnsi="Arial"/>
          <w:color w:val="333333"/>
          <w:sz w:val="22"/>
          <w:szCs w:val="22"/>
        </w:rPr>
        <w:t xml:space="preserve">Several extensions would improve the system's value for real research workflows:</w:t>
      </w:r>
    </w:p>
    <w:p>
      <w:pPr>
        <w:pStyle w:val="ListParagraph"/>
        <w:numPr>
          <w:ilvl w:val="0"/>
          <w:numId w:val="3"/>
        </w:numPr>
        <w:spacing w:after="80" w:line="276"/>
      </w:pPr>
      <w:r>
        <w:rPr>
          <w:rFonts w:ascii="Arial" w:cs="Arial" w:eastAsia="Arial" w:hAnsi="Arial"/>
          <w:color w:val="333333"/>
          <w:sz w:val="22"/>
          <w:szCs w:val="22"/>
        </w:rPr>
        <w:t xml:space="preserve">Human-in-the-loop filtering. Adding a review step after critic_node would let a researcher prune irrelevant papers before synthesis, improving downstream quality.</w:t>
      </w:r>
    </w:p>
    <w:p>
      <w:pPr>
        <w:pStyle w:val="ListParagraph"/>
        <w:numPr>
          <w:ilvl w:val="0"/>
          <w:numId w:val="3"/>
        </w:numPr>
        <w:spacing w:after="80" w:line="276"/>
      </w:pPr>
      <w:r>
        <w:rPr>
          <w:rFonts w:ascii="Arial" w:cs="Arial" w:eastAsia="Arial" w:hAnsi="Arial"/>
          <w:color w:val="333333"/>
          <w:sz w:val="22"/>
          <w:szCs w:val="22"/>
        </w:rPr>
        <w:t xml:space="preserve">Additional corpora. Integrating ACL Anthology (for NLP research) and PubMed (for biomedical topics) would extend the system's applicability beyond CS/AI.</w:t>
      </w:r>
    </w:p>
    <w:p>
      <w:pPr>
        <w:pStyle w:val="ListParagraph"/>
        <w:numPr>
          <w:ilvl w:val="0"/>
          <w:numId w:val="3"/>
        </w:numPr>
        <w:spacing w:after="80" w:line="276"/>
      </w:pPr>
      <w:r>
        <w:rPr>
          <w:rFonts w:ascii="Arial" w:cs="Arial" w:eastAsia="Arial" w:hAnsi="Arial"/>
          <w:color w:val="333333"/>
          <w:sz w:val="22"/>
          <w:szCs w:val="22"/>
        </w:rPr>
        <w:t xml:space="preserve">Tool-use JSON enforcement. Switching from prompt-based JSON requests to Anthropic function calling would eliminate parse failures entirely.</w:t>
      </w:r>
    </w:p>
    <w:p>
      <w:pPr>
        <w:pStyle w:val="ListParagraph"/>
        <w:numPr>
          <w:ilvl w:val="0"/>
          <w:numId w:val="3"/>
        </w:numPr>
        <w:spacing w:after="80" w:line="276"/>
      </w:pPr>
      <w:r>
        <w:rPr>
          <w:rFonts w:ascii="Arial" w:cs="Arial" w:eastAsia="Arial" w:hAnsi="Arial"/>
          <w:color w:val="333333"/>
          <w:sz w:val="22"/>
          <w:szCs w:val="22"/>
        </w:rPr>
        <w:t xml:space="preserve">Iterative synthesis grounding scores. A quantitative grounding score computed per synthesis run would allow automated regression testing of prompt changes.</w:t>
      </w:r>
    </w:p>
    <w:p>
      <w:pPr>
        <w:pStyle w:val="ListParagraph"/>
        <w:numPr>
          <w:ilvl w:val="0"/>
          <w:numId w:val="3"/>
        </w:numPr>
        <w:spacing w:after="80" w:line="276"/>
      </w:pPr>
      <w:r>
        <w:rPr>
          <w:rFonts w:ascii="Arial" w:cs="Arial" w:eastAsia="Arial" w:hAnsi="Arial"/>
          <w:color w:val="333333"/>
          <w:sz w:val="22"/>
          <w:szCs w:val="22"/>
        </w:rPr>
        <w:t xml:space="preserve">Multi-round hypothesis critique. Currently the loop runs at most twice. Allowing more passes, gated on a convergence criterion rather than a hard iteration cap, could further improve hypothesis quality for ambiguous or broad research questions.</w:t>
      </w:r>
    </w:p>
    <w:p>
      <w:pPr>
        <w:pStyle w:val="ListParagraph"/>
        <w:numPr>
          <w:ilvl w:val="0"/>
          <w:numId w:val="3"/>
        </w:numPr>
        <w:spacing w:after="80" w:line="276"/>
      </w:pPr>
      <w:r>
        <w:rPr>
          <w:rFonts w:ascii="Arial" w:cs="Arial" w:eastAsia="Arial" w:hAnsi="Arial"/>
          <w:color w:val="333333"/>
          <w:sz w:val="22"/>
          <w:szCs w:val="22"/>
        </w:rPr>
        <w:t xml:space="preserve">LaTeX export. Generating a structured LaTeX document from the final research brief would allow direct integration into academic writing workflows.</w:t>
      </w:r>
    </w:p>
    <w:p>
      <w:pPr>
        <w:spacing w:after="120"/>
      </w:pPr>
    </w:p>
    <w:p>
      <w:pPr>
        <w:spacing w:after="120" w:line="276"/>
      </w:pPr>
      <w:r>
        <w:rPr>
          <w:rFonts w:ascii="Arial" w:cs="Arial" w:eastAsia="Arial" w:hAnsi="Arial"/>
          <w:color w:val="333333"/>
          <w:sz w:val="22"/>
          <w:szCs w:val="22"/>
        </w:rPr>
        <w:t xml:space="preserve">Overall, the project demonstrates that a graph of specialised LLM agents, each given a narrow, well-defined task and structured outputs, can produce research-grade artefacts that a researcher can immediately use as a starting point. The combination of enforced grounding, adversarial critique, and citation expansion addresses the core pain points identified in the motivation section, and the qualitative and quantitative evaluation confirms that the design decisions work as intended.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595959"/>
        <w:sz w:val="18"/>
        <w:szCs w:val="18"/>
      </w:rPr>
      <w:t xml:space="preserve">AI Agents Academic Research Assistant</w:t>
    </w:r>
    <w:r>
      <w:rPr>
        <w:sz w:val="18"/>
        <w:szCs w:val="18"/>
      </w:rPr>
      <w:t xml:space="preserve">	</w:t>
    </w:r>
    <w:r>
      <w:rPr>
        <w:rFonts w:ascii="Arial" w:cs="Arial" w:eastAsia="Arial" w:hAnsi="Arial"/>
        <w:b/>
        <w:bCs/>
        <w:color w:val="595959"/>
        <w:sz w:val="18"/>
        <w:szCs w:val="18"/>
      </w:rPr>
      <w:t xml:space="preserve">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2026-05-15T23:39:12.932Z</dcterms:created>
  <dcterms:modified xsi:type="dcterms:W3CDTF">2026-05-15T23:39:12.933Z</dcterms:modified>
</cp:coreProperties>
</file>

<file path=docProps/custom.xml><?xml version="1.0" encoding="utf-8"?>
<Properties xmlns="http://schemas.openxmlformats.org/officeDocument/2006/custom-properties" xmlns:vt="http://schemas.openxmlformats.org/officeDocument/2006/docPropsVTypes"/>
</file>