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Calibri" w:eastAsia="等线"/>
          <w:b/>
          <w:sz w:val="30"/>
        </w:rPr>
        <w:t>客户工艺知识采集表 · 填写说明</w:t>
      </w:r>
    </w:p>
    <w:p>
      <w:pPr>
        <w:spacing w:after="120"/>
      </w:pPr>
      <w:r>
        <w:rPr>
          <w:rFonts w:ascii="Calibri" w:eastAsia="等线"/>
          <w:sz w:val="22"/>
        </w:rPr>
        <w:t>本表用于将贵司设备能力、工艺 SOP 和实际料号经验配置进系统。不需要整理全厂资料，也不需要毛坯库存或刀具库存数量。</w:t>
      </w:r>
    </w:p>
    <w:p>
      <w:pPr>
        <w:spacing w:after="120"/>
      </w:pPr>
      <w:r>
        <w:rPr>
          <w:rFonts w:ascii="Calibri" w:eastAsia="等线"/>
          <w:b/>
          <w:sz w:val="30"/>
        </w:rPr>
        <w:t>首轮建议范围</w:t>
      </w:r>
    </w:p>
    <w:p>
      <w:pPr>
        <w:spacing w:after="120"/>
      </w:pPr>
      <w:r>
        <w:rPr>
          <w:rFonts w:ascii="Calibri" w:eastAsia="等线"/>
          <w:sz w:val="22"/>
        </w:rPr>
        <w:t>选择2～3个常用设备、1套简单回转件SOP、2个完整料号：一个简单纯车削件和本次讨论的外壳。</w:t>
      </w:r>
    </w:p>
    <w:p>
      <w:pPr>
        <w:spacing w:after="120"/>
      </w:pPr>
      <w:r>
        <w:rPr>
          <w:rFonts w:ascii="Calibri" w:eastAsia="等线"/>
          <w:sz w:val="22"/>
        </w:rPr>
        <w:t>01设备档案、02设备工序能力：填写实际配置、尺寸上限、主背轴/动力刀能力及各工序支持条件。</w:t>
      </w:r>
    </w:p>
    <w:p>
      <w:pPr>
        <w:spacing w:after="120"/>
      </w:pPr>
      <w:r>
        <w:rPr>
          <w:rFonts w:ascii="Calibri" w:eastAsia="等线"/>
          <w:sz w:val="22"/>
        </w:rPr>
        <w:t>03选型与余量规则：填写如何选择实心棒料、设备和粗精余量，注明适用材料、条件、单位与例外。</w:t>
      </w:r>
    </w:p>
    <w:p>
      <w:pPr>
        <w:spacing w:after="120"/>
      </w:pPr>
      <w:r>
        <w:rPr>
          <w:rFonts w:ascii="Calibri" w:eastAsia="等线"/>
          <w:sz w:val="22"/>
        </w:rPr>
        <w:t>05标准工艺SOP：填写先做什么、后做什么、为什么这样排序，以及何时增加或跳过步骤。</w:t>
      </w:r>
    </w:p>
    <w:p>
      <w:pPr>
        <w:spacing w:after="120"/>
      </w:pPr>
      <w:r>
        <w:rPr>
          <w:rFonts w:ascii="Calibri" w:eastAsia="等线"/>
          <w:sz w:val="22"/>
        </w:rPr>
        <w:t>09基准料号资料、10料号实际步骤：提供客户认可的真实完整路线，从毛坯、端面基准到主背轴加工完成。</w:t>
      </w:r>
    </w:p>
    <w:p>
      <w:pPr>
        <w:spacing w:after="120"/>
      </w:pPr>
      <w:r>
        <w:rPr>
          <w:rFonts w:ascii="Calibri" w:eastAsia="等线"/>
          <w:sz w:val="22"/>
        </w:rPr>
        <w:t>11验收与待确认：请明确答复余量0.05/0.1的单双边口径、33.5/35的机型边界、钻径/柄径、外壳径向孔和切断转接顺序。</w:t>
      </w:r>
    </w:p>
    <w:p>
      <w:pPr>
        <w:spacing w:after="120"/>
      </w:pPr>
      <w:r>
        <w:rPr>
          <w:rFonts w:ascii="Calibri" w:eastAsia="等线"/>
          <w:b/>
          <w:sz w:val="30"/>
        </w:rPr>
        <w:t>其余资料可以随后补充</w:t>
      </w:r>
    </w:p>
    <w:p>
      <w:pPr>
        <w:spacing w:after="120"/>
      </w:pPr>
      <w:r>
        <w:rPr>
          <w:rFonts w:ascii="Calibri" w:eastAsia="等线"/>
          <w:sz w:val="22"/>
        </w:rPr>
        <w:t>06装夹、07刀具、08参数用于完善刀路计算；04特征方法可双方一起整理；12成本资料为选填，不影响首轮开发。</w:t>
      </w:r>
    </w:p>
    <w:p>
      <w:pPr>
        <w:spacing w:after="120"/>
      </w:pPr>
      <w:r>
        <w:rPr>
          <w:rFonts w:ascii="Calibri" w:eastAsia="等线"/>
          <w:b/>
          <w:sz w:val="30"/>
        </w:rPr>
        <w:t>填写方式</w:t>
      </w:r>
    </w:p>
    <w:p>
      <w:pPr>
        <w:spacing w:after="120"/>
      </w:pPr>
      <w:r>
        <w:rPr>
          <w:rFonts w:ascii="Calibri" w:eastAsia="等线"/>
          <w:sz w:val="22"/>
        </w:rPr>
        <w:t>★表示首轮且适用时必填。灰色“示例勿当正式数据”只作参考；黄色“预填待核对”仍需核对。请在“客户正式填写”行填写确认数据。</w:t>
      </w:r>
    </w:p>
    <w:p>
      <w:pPr>
        <w:spacing w:after="120"/>
      </w:pPr>
      <w:r>
        <w:rPr>
          <w:rFonts w:ascii="Calibri" w:eastAsia="等线"/>
          <w:sz w:val="22"/>
        </w:rPr>
        <w:t>数字未知请留空并在备注写待确认，不要填0代替未知。余量明确径向单边/直径差/轴向单面；进给明确mm/rev、mm/min或mm/tooth。</w:t>
      </w:r>
    </w:p>
    <w:p>
      <w:pPr>
        <w:spacing w:after="120"/>
      </w:pPr>
      <w:r>
        <w:rPr>
          <w:rFonts w:ascii="Calibri" w:eastAsia="等线"/>
          <w:sz w:val="22"/>
        </w:rPr>
        <w:t>设备、刀具、料号、步骤通过ID关联。可用预置编号或贵司现有编号；多个ID用英文逗号分隔。悬停表头可查看详细说明。</w:t>
      </w:r>
    </w:p>
    <w:p>
      <w:pPr>
        <w:spacing w:after="120"/>
      </w:pPr>
      <w:r>
        <w:rPr>
          <w:rFonts w:ascii="Calibri" w:eastAsia="等线"/>
          <w:sz w:val="22"/>
        </w:rPr>
        <w:t>已有设备清单、SOP、刀具手册或程序可提供文件名、版本及页码，不必重新抄写。建议由工艺负责人汇总，设备与编程工程师确认。</w:t>
      </w:r>
    </w:p>
    <w:p>
      <w:pPr>
        <w:spacing w:after="120"/>
      </w:pPr>
      <w:r>
        <w:rPr>
          <w:rFonts w:ascii="Calibri" w:eastAsia="等线"/>
          <w:sz w:val="22"/>
        </w:rPr>
        <w:t>本表示例与会议预填均不是批准加工标准。我们希望获得选择依据、适用边界和完整案例，以便双方对照系统结果进行验收。</w:t>
      </w:r>
    </w:p>
    <w:sectPr>
      <w:pgSz w:w="11906" w:h="16838"/>
      <w:pgMar w:top="1000" w:right="1000" w:bottom="1000" w:left="1000"/>
    </w:sectPr>
  </w:body>
</w:document>
</file>