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C63DE3">
      <w:bookmarkStart w:id="0" w:name="_GoBack"/>
      <w:bookmarkEnd w:id="0"/>
    </w:p>
    <w:p w14:paraId="51F3B276">
      <w:pPr>
        <w:spacing w:after="120" w:line="240" w:lineRule="auto"/>
        <w:jc w:val="center"/>
        <w:rPr>
          <w:rFonts w:hint="eastAsia" w:ascii="宋体" w:hAnsi="宋体" w:eastAsia="宋体" w:cs="宋体"/>
          <w:b/>
          <w:color w:val="0B2545"/>
          <w:sz w:val="44"/>
          <w:lang w:eastAsia="zh-CN"/>
        </w:rPr>
      </w:pPr>
      <w:r>
        <w:rPr>
          <w:rFonts w:hint="eastAsia" w:ascii="宋体" w:hAnsi="宋体" w:eastAsia="宋体" w:cs="宋体"/>
          <w:b/>
          <w:color w:val="0B2545"/>
          <w:sz w:val="44"/>
          <w:lang w:eastAsia="zh-CN"/>
        </w:rPr>
        <w:t>联调测试报告</w:t>
      </w:r>
    </w:p>
    <w:p w14:paraId="5AF52549">
      <w:pPr>
        <w:spacing w:after="120" w:line="240" w:lineRule="auto"/>
        <w:jc w:val="center"/>
        <w:rPr>
          <w:rFonts w:hint="eastAsia" w:ascii="宋体" w:hAnsi="宋体" w:eastAsia="宋体" w:cs="宋体"/>
          <w:b/>
          <w:color w:val="0B2545"/>
          <w:sz w:val="44"/>
          <w:lang w:eastAsia="zh-CN"/>
        </w:rPr>
      </w:pPr>
    </w:p>
    <w:p w14:paraId="4B881FCF">
      <w:pPr>
        <w:spacing w:after="120" w:line="240" w:lineRule="auto"/>
        <w:jc w:val="center"/>
        <w:rPr>
          <w:rFonts w:hint="eastAsia" w:ascii="宋体" w:hAnsi="宋体" w:eastAsia="宋体" w:cs="宋体"/>
          <w:b/>
          <w:color w:val="666666"/>
          <w:sz w:val="28"/>
          <w:lang w:eastAsia="zh-CN"/>
        </w:rPr>
      </w:pPr>
      <w:r>
        <w:rPr>
          <w:rFonts w:hint="eastAsia" w:ascii="宋体" w:hAnsi="宋体" w:eastAsia="宋体" w:cs="宋体"/>
          <w:b/>
          <w:color w:val="666666"/>
          <w:sz w:val="28"/>
          <w:lang w:eastAsia="zh-CN"/>
        </w:rPr>
        <w:t>北京交通大学就餐仿真系统</w:t>
      </w:r>
    </w:p>
    <w:p w14:paraId="0E59081C">
      <w:pPr>
        <w:spacing w:after="120" w:line="240" w:lineRule="auto"/>
        <w:jc w:val="center"/>
        <w:rPr>
          <w:rFonts w:hint="eastAsia" w:ascii="宋体" w:hAnsi="宋体" w:eastAsia="宋体" w:cs="宋体"/>
          <w:b/>
          <w:color w:val="666666"/>
          <w:sz w:val="28"/>
          <w:lang w:eastAsia="zh-CN"/>
        </w:rPr>
      </w:pPr>
    </w:p>
    <w:p w14:paraId="7554BC49">
      <w:pPr>
        <w:spacing w:after="120" w:line="240" w:lineRule="auto"/>
        <w:jc w:val="center"/>
        <w:rPr>
          <w:rFonts w:hint="eastAsia" w:ascii="宋体" w:hAnsi="宋体" w:eastAsia="宋体" w:cs="宋体"/>
          <w:b w:val="0"/>
          <w:color w:val="666666"/>
          <w:sz w:val="21"/>
          <w:lang w:eastAsia="zh-CN"/>
        </w:rPr>
      </w:pPr>
      <w:r>
        <w:rPr>
          <w:rFonts w:hint="eastAsia" w:ascii="宋体" w:hAnsi="宋体" w:eastAsia="宋体" w:cs="宋体"/>
          <w:b w:val="0"/>
          <w:color w:val="666666"/>
          <w:sz w:val="21"/>
          <w:lang w:eastAsia="zh-CN"/>
        </w:rPr>
        <w:t>文档版本：V1.0    日期：2026年5月31日</w:t>
      </w:r>
    </w:p>
    <w:p w14:paraId="149FF77A">
      <w:pPr>
        <w:spacing w:after="120" w:line="240" w:lineRule="auto"/>
        <w:jc w:val="center"/>
        <w:rPr>
          <w:rFonts w:hint="eastAsia" w:ascii="宋体" w:hAnsi="宋体" w:eastAsia="宋体" w:cs="宋体"/>
          <w:b w:val="0"/>
          <w:color w:val="666666"/>
          <w:sz w:val="21"/>
          <w:lang w:eastAsia="zh-CN"/>
        </w:rPr>
      </w:pPr>
    </w:p>
    <w:p w14:paraId="12ECCC9D">
      <w:pPr>
        <w:spacing w:after="120" w:line="240" w:lineRule="auto"/>
        <w:jc w:val="center"/>
        <w:rPr>
          <w:rFonts w:hint="eastAsia" w:ascii="宋体" w:hAnsi="宋体" w:eastAsia="宋体" w:cs="宋体"/>
          <w:b w:val="0"/>
          <w:color w:val="666666"/>
          <w:sz w:val="21"/>
          <w:lang w:eastAsia="zh-CN"/>
        </w:rPr>
      </w:pPr>
    </w:p>
    <w:p w14:paraId="75ED09B5">
      <w:pPr>
        <w:spacing w:after="120" w:line="240" w:lineRule="auto"/>
        <w:jc w:val="center"/>
        <w:rPr>
          <w:rFonts w:hint="eastAsia" w:ascii="宋体" w:hAnsi="宋体" w:eastAsia="宋体" w:cs="宋体"/>
          <w:b w:val="0"/>
          <w:color w:val="666666"/>
          <w:sz w:val="21"/>
          <w:lang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300"/>
        <w:gridCol w:w="3400"/>
        <w:gridCol w:w="1300"/>
        <w:gridCol w:w="3360"/>
      </w:tblGrid>
      <w:tr w14:paraId="66FD6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1300" w:type="dxa"/>
            <w:shd w:val="clear" w:color="auto" w:fill="F2F4F7"/>
            <w:vAlign w:val="center"/>
          </w:tcPr>
          <w:p w14:paraId="3FA925AE">
            <w:pPr>
              <w:spacing w:after="120" w:line="240" w:lineRule="auto"/>
              <w:jc w:val="center"/>
              <w:rPr>
                <w:rFonts w:hint="eastAsia" w:ascii="宋体" w:hAnsi="宋体" w:eastAsia="宋体" w:cs="宋体"/>
                <w:b/>
                <w:color w:val="666666"/>
                <w:sz w:val="18"/>
                <w:vertAlign w:val="baseline"/>
                <w:lang w:eastAsia="zh-CN"/>
              </w:rPr>
            </w:pPr>
            <w:r>
              <w:rPr>
                <w:rFonts w:hint="eastAsia" w:ascii="宋体" w:hAnsi="宋体" w:eastAsia="宋体" w:cs="宋体"/>
                <w:b/>
                <w:color w:val="666666"/>
                <w:sz w:val="18"/>
                <w:vertAlign w:val="baseline"/>
                <w:lang w:eastAsia="zh-CN"/>
              </w:rPr>
              <w:t>项目</w:t>
            </w:r>
          </w:p>
        </w:tc>
        <w:tc>
          <w:tcPr>
            <w:tcW w:w="3400" w:type="dxa"/>
            <w:shd w:val="clear" w:color="auto" w:fill="F2F4F7"/>
            <w:vAlign w:val="center"/>
          </w:tcPr>
          <w:p w14:paraId="13E7199F">
            <w:pPr>
              <w:spacing w:after="120" w:line="240" w:lineRule="auto"/>
              <w:jc w:val="center"/>
              <w:rPr>
                <w:rFonts w:hint="eastAsia" w:ascii="宋体" w:hAnsi="宋体" w:eastAsia="宋体" w:cs="宋体"/>
                <w:b/>
                <w:color w:val="666666"/>
                <w:sz w:val="18"/>
                <w:vertAlign w:val="baseline"/>
                <w:lang w:eastAsia="zh-CN"/>
              </w:rPr>
            </w:pPr>
            <w:r>
              <w:rPr>
                <w:rFonts w:hint="eastAsia" w:ascii="宋体" w:hAnsi="宋体" w:eastAsia="宋体" w:cs="宋体"/>
                <w:b/>
                <w:color w:val="666666"/>
                <w:sz w:val="18"/>
                <w:vertAlign w:val="baseline"/>
                <w:lang w:eastAsia="zh-CN"/>
              </w:rPr>
              <w:t>内容</w:t>
            </w:r>
          </w:p>
        </w:tc>
        <w:tc>
          <w:tcPr>
            <w:tcW w:w="1300" w:type="dxa"/>
            <w:shd w:val="clear" w:color="auto" w:fill="F2F4F7"/>
            <w:vAlign w:val="center"/>
          </w:tcPr>
          <w:p w14:paraId="0E976698">
            <w:pPr>
              <w:spacing w:after="120" w:line="240" w:lineRule="auto"/>
              <w:jc w:val="center"/>
              <w:rPr>
                <w:rFonts w:hint="eastAsia" w:ascii="宋体" w:hAnsi="宋体" w:eastAsia="宋体" w:cs="宋体"/>
                <w:b/>
                <w:color w:val="666666"/>
                <w:sz w:val="18"/>
                <w:vertAlign w:val="baseline"/>
                <w:lang w:eastAsia="zh-CN"/>
              </w:rPr>
            </w:pPr>
            <w:r>
              <w:rPr>
                <w:rFonts w:hint="eastAsia" w:ascii="宋体" w:hAnsi="宋体" w:eastAsia="宋体" w:cs="宋体"/>
                <w:b/>
                <w:color w:val="666666"/>
                <w:sz w:val="18"/>
                <w:vertAlign w:val="baseline"/>
                <w:lang w:eastAsia="zh-CN"/>
              </w:rPr>
              <w:t>项目</w:t>
            </w:r>
          </w:p>
        </w:tc>
        <w:tc>
          <w:tcPr>
            <w:tcW w:w="3360" w:type="dxa"/>
            <w:shd w:val="clear" w:color="auto" w:fill="F2F4F7"/>
            <w:vAlign w:val="center"/>
          </w:tcPr>
          <w:p w14:paraId="14E6FB57">
            <w:pPr>
              <w:spacing w:after="120" w:line="240" w:lineRule="auto"/>
              <w:jc w:val="center"/>
              <w:rPr>
                <w:rFonts w:hint="eastAsia" w:ascii="宋体" w:hAnsi="宋体" w:eastAsia="宋体" w:cs="宋体"/>
                <w:b/>
                <w:color w:val="666666"/>
                <w:sz w:val="18"/>
                <w:vertAlign w:val="baseline"/>
                <w:lang w:eastAsia="zh-CN"/>
              </w:rPr>
            </w:pPr>
            <w:r>
              <w:rPr>
                <w:rFonts w:hint="eastAsia" w:ascii="宋体" w:hAnsi="宋体" w:eastAsia="宋体" w:cs="宋体"/>
                <w:b/>
                <w:color w:val="666666"/>
                <w:sz w:val="18"/>
                <w:vertAlign w:val="baseline"/>
                <w:lang w:eastAsia="zh-CN"/>
              </w:rPr>
              <w:t>内容</w:t>
            </w:r>
          </w:p>
        </w:tc>
      </w:tr>
      <w:tr w14:paraId="0A463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1300" w:type="dxa"/>
            <w:vAlign w:val="center"/>
          </w:tcPr>
          <w:p w14:paraId="07D1010F">
            <w:pPr>
              <w:spacing w:after="120" w:line="240" w:lineRule="auto"/>
              <w:jc w:val="center"/>
              <w:rPr>
                <w:rFonts w:hint="eastAsia" w:ascii="宋体" w:hAnsi="宋体" w:eastAsia="宋体" w:cs="宋体"/>
                <w:b w:val="0"/>
                <w:color w:val="666666"/>
                <w:sz w:val="18"/>
                <w:vertAlign w:val="baseline"/>
                <w:lang w:eastAsia="zh-CN"/>
              </w:rPr>
            </w:pPr>
            <w:r>
              <w:rPr>
                <w:rFonts w:hint="eastAsia" w:cs="宋体"/>
                <w:b w:val="0"/>
                <w:color w:val="666666"/>
                <w:sz w:val="18"/>
                <w:vertAlign w:val="baseline"/>
                <w:lang w:eastAsia="zh-CN"/>
              </w:rPr>
              <w:t>项目名称</w:t>
            </w:r>
          </w:p>
        </w:tc>
        <w:tc>
          <w:tcPr>
            <w:tcW w:w="3400" w:type="dxa"/>
            <w:vAlign w:val="center"/>
          </w:tcPr>
          <w:p w14:paraId="6F7481F1">
            <w:pPr>
              <w:spacing w:after="120" w:line="240" w:lineRule="auto"/>
              <w:jc w:val="left"/>
              <w:rPr>
                <w:rFonts w:hint="eastAsia" w:ascii="宋体" w:hAnsi="宋体" w:eastAsia="宋体" w:cs="宋体"/>
                <w:b w:val="0"/>
                <w:color w:val="666666"/>
                <w:sz w:val="18"/>
                <w:vertAlign w:val="baseline"/>
                <w:lang w:eastAsia="zh-CN"/>
              </w:rPr>
            </w:pPr>
            <w:r>
              <w:rPr>
                <w:rFonts w:hint="eastAsia" w:cs="宋体"/>
                <w:b w:val="0"/>
                <w:color w:val="666666"/>
                <w:sz w:val="18"/>
                <w:vertAlign w:val="baseline"/>
                <w:lang w:eastAsia="zh-CN"/>
              </w:rPr>
              <w:t>北京交通大学就餐仿真系统</w:t>
            </w:r>
          </w:p>
        </w:tc>
        <w:tc>
          <w:tcPr>
            <w:tcW w:w="1300" w:type="dxa"/>
            <w:vAlign w:val="center"/>
          </w:tcPr>
          <w:p w14:paraId="7A00674E">
            <w:pPr>
              <w:spacing w:after="120" w:line="240" w:lineRule="auto"/>
              <w:jc w:val="left"/>
              <w:rPr>
                <w:rFonts w:hint="eastAsia" w:ascii="宋体" w:hAnsi="宋体" w:eastAsia="宋体" w:cs="宋体"/>
                <w:b w:val="0"/>
                <w:color w:val="666666"/>
                <w:sz w:val="18"/>
                <w:vertAlign w:val="baseline"/>
                <w:lang w:eastAsia="zh-CN"/>
              </w:rPr>
            </w:pPr>
            <w:r>
              <w:rPr>
                <w:rFonts w:hint="eastAsia" w:cs="宋体"/>
                <w:b w:val="0"/>
                <w:color w:val="666666"/>
                <w:sz w:val="18"/>
                <w:vertAlign w:val="baseline"/>
                <w:lang w:eastAsia="zh-CN"/>
              </w:rPr>
              <w:t>小组编号</w:t>
            </w:r>
          </w:p>
        </w:tc>
        <w:tc>
          <w:tcPr>
            <w:tcW w:w="3360" w:type="dxa"/>
            <w:vAlign w:val="center"/>
          </w:tcPr>
          <w:p w14:paraId="195F693B">
            <w:pPr>
              <w:spacing w:after="120" w:line="240" w:lineRule="auto"/>
              <w:jc w:val="left"/>
              <w:rPr>
                <w:rFonts w:hint="eastAsia" w:ascii="宋体" w:hAnsi="宋体" w:eastAsia="宋体" w:cs="宋体"/>
                <w:b w:val="0"/>
                <w:color w:val="666666"/>
                <w:sz w:val="18"/>
                <w:vertAlign w:val="baseline"/>
                <w:lang w:eastAsia="zh-CN"/>
              </w:rPr>
            </w:pPr>
            <w:r>
              <w:rPr>
                <w:rFonts w:hint="eastAsia" w:cs="宋体"/>
                <w:b w:val="0"/>
                <w:color w:val="666666"/>
                <w:sz w:val="18"/>
                <w:vertAlign w:val="baseline"/>
                <w:lang w:eastAsia="zh-CN"/>
              </w:rPr>
              <w:t>第17组</w:t>
            </w:r>
          </w:p>
        </w:tc>
      </w:tr>
      <w:tr w14:paraId="7742F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1300" w:type="dxa"/>
            <w:vAlign w:val="center"/>
          </w:tcPr>
          <w:p w14:paraId="77BF34A9">
            <w:pPr>
              <w:spacing w:after="120" w:line="240" w:lineRule="auto"/>
              <w:jc w:val="center"/>
              <w:rPr>
                <w:rFonts w:hint="eastAsia" w:ascii="宋体" w:hAnsi="宋体" w:eastAsia="宋体" w:cs="宋体"/>
                <w:b w:val="0"/>
                <w:color w:val="666666"/>
                <w:sz w:val="18"/>
                <w:vertAlign w:val="baseline"/>
                <w:lang w:eastAsia="zh-CN"/>
              </w:rPr>
            </w:pPr>
            <w:r>
              <w:rPr>
                <w:rFonts w:hint="eastAsia" w:cs="宋体"/>
                <w:b w:val="0"/>
                <w:color w:val="666666"/>
                <w:sz w:val="18"/>
                <w:vertAlign w:val="baseline"/>
                <w:lang w:eastAsia="zh-CN"/>
              </w:rPr>
              <w:t>报告名称</w:t>
            </w:r>
          </w:p>
        </w:tc>
        <w:tc>
          <w:tcPr>
            <w:tcW w:w="3400" w:type="dxa"/>
            <w:vAlign w:val="center"/>
          </w:tcPr>
          <w:p w14:paraId="2B01F504">
            <w:pPr>
              <w:spacing w:after="120" w:line="240" w:lineRule="auto"/>
              <w:jc w:val="left"/>
              <w:rPr>
                <w:rFonts w:hint="eastAsia" w:ascii="宋体" w:hAnsi="宋体" w:eastAsia="宋体" w:cs="宋体"/>
                <w:b w:val="0"/>
                <w:color w:val="666666"/>
                <w:sz w:val="18"/>
                <w:vertAlign w:val="baseline"/>
                <w:lang w:eastAsia="zh-CN"/>
              </w:rPr>
            </w:pPr>
            <w:r>
              <w:rPr>
                <w:rFonts w:hint="eastAsia" w:cs="宋体"/>
                <w:b w:val="0"/>
                <w:color w:val="666666"/>
                <w:sz w:val="18"/>
                <w:vertAlign w:val="baseline"/>
                <w:lang w:eastAsia="zh-CN"/>
              </w:rPr>
              <w:t>联调测试报告</w:t>
            </w:r>
          </w:p>
        </w:tc>
        <w:tc>
          <w:tcPr>
            <w:tcW w:w="1300" w:type="dxa"/>
            <w:vAlign w:val="center"/>
          </w:tcPr>
          <w:p w14:paraId="6468AF5B">
            <w:pPr>
              <w:spacing w:after="120" w:line="240" w:lineRule="auto"/>
              <w:jc w:val="left"/>
              <w:rPr>
                <w:rFonts w:hint="eastAsia" w:ascii="宋体" w:hAnsi="宋体" w:eastAsia="宋体" w:cs="宋体"/>
                <w:b w:val="0"/>
                <w:color w:val="666666"/>
                <w:sz w:val="18"/>
                <w:vertAlign w:val="baseline"/>
                <w:lang w:eastAsia="zh-CN"/>
              </w:rPr>
            </w:pPr>
            <w:r>
              <w:rPr>
                <w:rFonts w:hint="eastAsia" w:cs="宋体"/>
                <w:b w:val="0"/>
                <w:color w:val="666666"/>
                <w:sz w:val="18"/>
                <w:vertAlign w:val="baseline"/>
                <w:lang w:eastAsia="zh-CN"/>
              </w:rPr>
              <w:t>测试阶段</w:t>
            </w:r>
          </w:p>
        </w:tc>
        <w:tc>
          <w:tcPr>
            <w:tcW w:w="3360" w:type="dxa"/>
            <w:vAlign w:val="center"/>
          </w:tcPr>
          <w:p w14:paraId="0B758738">
            <w:pPr>
              <w:spacing w:after="120" w:line="240" w:lineRule="auto"/>
              <w:jc w:val="left"/>
              <w:rPr>
                <w:rFonts w:hint="eastAsia" w:ascii="宋体" w:hAnsi="宋体" w:eastAsia="宋体" w:cs="宋体"/>
                <w:b w:val="0"/>
                <w:color w:val="666666"/>
                <w:sz w:val="18"/>
                <w:vertAlign w:val="baseline"/>
                <w:lang w:eastAsia="zh-CN"/>
              </w:rPr>
            </w:pPr>
            <w:r>
              <w:rPr>
                <w:rFonts w:hint="eastAsia" w:cs="宋体"/>
                <w:b w:val="0"/>
                <w:color w:val="666666"/>
                <w:sz w:val="18"/>
                <w:vertAlign w:val="baseline"/>
                <w:lang w:eastAsia="zh-CN"/>
              </w:rPr>
              <w:t>开发阶段/联调阶段</w:t>
            </w:r>
          </w:p>
        </w:tc>
      </w:tr>
      <w:tr w14:paraId="5C9FF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1300" w:type="dxa"/>
            <w:vAlign w:val="center"/>
          </w:tcPr>
          <w:p w14:paraId="04BD1503">
            <w:pPr>
              <w:spacing w:after="120" w:line="240" w:lineRule="auto"/>
              <w:jc w:val="center"/>
              <w:rPr>
                <w:rFonts w:hint="eastAsia" w:ascii="宋体" w:hAnsi="宋体" w:eastAsia="宋体" w:cs="宋体"/>
                <w:b w:val="0"/>
                <w:color w:val="666666"/>
                <w:sz w:val="18"/>
                <w:vertAlign w:val="baseline"/>
                <w:lang w:eastAsia="zh-CN"/>
              </w:rPr>
            </w:pPr>
            <w:r>
              <w:rPr>
                <w:rFonts w:hint="eastAsia" w:cs="宋体"/>
                <w:b w:val="0"/>
                <w:color w:val="666666"/>
                <w:sz w:val="18"/>
                <w:vertAlign w:val="baseline"/>
                <w:lang w:eastAsia="zh-CN"/>
              </w:rPr>
              <w:t>学生姓名</w:t>
            </w:r>
          </w:p>
        </w:tc>
        <w:tc>
          <w:tcPr>
            <w:tcW w:w="3400" w:type="dxa"/>
            <w:vAlign w:val="center"/>
          </w:tcPr>
          <w:p w14:paraId="1E92CE78">
            <w:pPr>
              <w:spacing w:after="120" w:line="240" w:lineRule="auto"/>
              <w:jc w:val="left"/>
              <w:rPr>
                <w:rFonts w:hint="eastAsia" w:ascii="宋体" w:hAnsi="宋体" w:eastAsia="宋体" w:cs="宋体"/>
                <w:b w:val="0"/>
                <w:color w:val="666666"/>
                <w:sz w:val="18"/>
                <w:vertAlign w:val="baseline"/>
                <w:lang w:eastAsia="zh-CN"/>
              </w:rPr>
            </w:pPr>
            <w:r>
              <w:rPr>
                <w:rFonts w:hint="eastAsia" w:cs="宋体"/>
                <w:b w:val="0"/>
                <w:color w:val="666666"/>
                <w:sz w:val="18"/>
                <w:vertAlign w:val="baseline"/>
                <w:lang w:eastAsia="zh-CN"/>
              </w:rPr>
              <w:t>王贺</w:t>
            </w:r>
          </w:p>
        </w:tc>
        <w:tc>
          <w:tcPr>
            <w:tcW w:w="1300" w:type="dxa"/>
            <w:vAlign w:val="center"/>
          </w:tcPr>
          <w:p w14:paraId="0BED52A2">
            <w:pPr>
              <w:spacing w:after="120" w:line="240" w:lineRule="auto"/>
              <w:jc w:val="left"/>
              <w:rPr>
                <w:rFonts w:hint="eastAsia" w:ascii="宋体" w:hAnsi="宋体" w:eastAsia="宋体" w:cs="宋体"/>
                <w:b w:val="0"/>
                <w:color w:val="666666"/>
                <w:sz w:val="18"/>
                <w:vertAlign w:val="baseline"/>
                <w:lang w:eastAsia="zh-CN"/>
              </w:rPr>
            </w:pPr>
            <w:r>
              <w:rPr>
                <w:rFonts w:hint="eastAsia" w:cs="宋体"/>
                <w:b w:val="0"/>
                <w:color w:val="666666"/>
                <w:sz w:val="18"/>
                <w:vertAlign w:val="baseline"/>
                <w:lang w:eastAsia="zh-CN"/>
              </w:rPr>
              <w:t>学号</w:t>
            </w:r>
          </w:p>
        </w:tc>
        <w:tc>
          <w:tcPr>
            <w:tcW w:w="3360" w:type="dxa"/>
            <w:vAlign w:val="center"/>
          </w:tcPr>
          <w:p w14:paraId="41309568">
            <w:pPr>
              <w:spacing w:after="120" w:line="240" w:lineRule="auto"/>
              <w:jc w:val="left"/>
              <w:rPr>
                <w:rFonts w:hint="eastAsia" w:ascii="宋体" w:hAnsi="宋体" w:eastAsia="宋体" w:cs="宋体"/>
                <w:b w:val="0"/>
                <w:color w:val="666666"/>
                <w:sz w:val="18"/>
                <w:vertAlign w:val="baseline"/>
                <w:lang w:eastAsia="zh-CN"/>
              </w:rPr>
            </w:pPr>
            <w:r>
              <w:rPr>
                <w:rFonts w:hint="eastAsia" w:cs="宋体"/>
                <w:b w:val="0"/>
                <w:color w:val="666666"/>
                <w:sz w:val="18"/>
                <w:vertAlign w:val="baseline"/>
                <w:lang w:eastAsia="zh-CN"/>
              </w:rPr>
              <w:t>24231189</w:t>
            </w:r>
          </w:p>
        </w:tc>
      </w:tr>
      <w:tr w14:paraId="378E0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1300" w:type="dxa"/>
            <w:vAlign w:val="center"/>
          </w:tcPr>
          <w:p w14:paraId="6F79E90B">
            <w:pPr>
              <w:spacing w:after="120" w:line="240" w:lineRule="auto"/>
              <w:jc w:val="center"/>
              <w:rPr>
                <w:rFonts w:hint="eastAsia" w:ascii="宋体" w:hAnsi="宋体" w:eastAsia="宋体" w:cs="宋体"/>
                <w:b w:val="0"/>
                <w:color w:val="666666"/>
                <w:sz w:val="18"/>
                <w:vertAlign w:val="baseline"/>
                <w:lang w:eastAsia="zh-CN"/>
              </w:rPr>
            </w:pPr>
            <w:r>
              <w:rPr>
                <w:rFonts w:hint="eastAsia" w:cs="宋体"/>
                <w:b w:val="0"/>
                <w:color w:val="666666"/>
                <w:sz w:val="18"/>
                <w:vertAlign w:val="baseline"/>
                <w:lang w:eastAsia="zh-CN"/>
              </w:rPr>
              <w:t>测试对象</w:t>
            </w:r>
          </w:p>
        </w:tc>
        <w:tc>
          <w:tcPr>
            <w:tcW w:w="3400" w:type="dxa"/>
            <w:vAlign w:val="center"/>
          </w:tcPr>
          <w:p w14:paraId="4122DF52">
            <w:pPr>
              <w:spacing w:after="120" w:line="240" w:lineRule="auto"/>
              <w:jc w:val="left"/>
              <w:rPr>
                <w:rFonts w:hint="eastAsia" w:ascii="宋体" w:hAnsi="宋体" w:eastAsia="宋体" w:cs="宋体"/>
                <w:b w:val="0"/>
                <w:color w:val="666666"/>
                <w:sz w:val="18"/>
                <w:vertAlign w:val="baseline"/>
                <w:lang w:eastAsia="zh-CN"/>
              </w:rPr>
            </w:pPr>
            <w:r>
              <w:rPr>
                <w:rFonts w:hint="eastAsia" w:cs="宋体"/>
                <w:b w:val="0"/>
                <w:color w:val="666666"/>
                <w:sz w:val="18"/>
                <w:vertAlign w:val="baseline"/>
                <w:lang w:eastAsia="zh-CN"/>
              </w:rPr>
              <w:t>程序主控与运行入口、仿真逻辑、动画渲染、实时可视化仪表盘</w:t>
            </w:r>
          </w:p>
        </w:tc>
        <w:tc>
          <w:tcPr>
            <w:tcW w:w="1300" w:type="dxa"/>
            <w:vAlign w:val="center"/>
          </w:tcPr>
          <w:p w14:paraId="45F35560">
            <w:pPr>
              <w:spacing w:after="120" w:line="240" w:lineRule="auto"/>
              <w:jc w:val="left"/>
              <w:rPr>
                <w:rFonts w:hint="eastAsia" w:ascii="宋体" w:hAnsi="宋体" w:eastAsia="宋体" w:cs="宋体"/>
                <w:b w:val="0"/>
                <w:color w:val="666666"/>
                <w:sz w:val="18"/>
                <w:vertAlign w:val="baseline"/>
                <w:lang w:eastAsia="zh-CN"/>
              </w:rPr>
            </w:pPr>
            <w:r>
              <w:rPr>
                <w:rFonts w:hint="eastAsia" w:cs="宋体"/>
                <w:b w:val="0"/>
                <w:color w:val="666666"/>
                <w:sz w:val="18"/>
                <w:vertAlign w:val="baseline"/>
                <w:lang w:eastAsia="zh-CN"/>
              </w:rPr>
              <w:t>测试结论</w:t>
            </w:r>
          </w:p>
        </w:tc>
        <w:tc>
          <w:tcPr>
            <w:tcW w:w="3360" w:type="dxa"/>
            <w:vAlign w:val="center"/>
          </w:tcPr>
          <w:p w14:paraId="1AD63E3C">
            <w:pPr>
              <w:spacing w:after="120" w:line="240" w:lineRule="auto"/>
              <w:jc w:val="center"/>
              <w:rPr>
                <w:rFonts w:hint="eastAsia" w:ascii="宋体" w:hAnsi="宋体" w:eastAsia="宋体" w:cs="宋体"/>
                <w:b w:val="0"/>
                <w:color w:val="666666"/>
                <w:sz w:val="18"/>
                <w:vertAlign w:val="baseline"/>
                <w:lang w:eastAsia="zh-CN"/>
              </w:rPr>
            </w:pPr>
            <w:r>
              <w:rPr>
                <w:rFonts w:hint="eastAsia" w:cs="宋体"/>
                <w:b w:val="0"/>
                <w:color w:val="666666"/>
                <w:sz w:val="18"/>
                <w:vertAlign w:val="baseline"/>
                <w:lang w:eastAsia="zh-CN"/>
              </w:rPr>
              <w:t>通过</w:t>
            </w:r>
          </w:p>
        </w:tc>
      </w:tr>
    </w:tbl>
    <w:p w14:paraId="17F0F535">
      <w:pPr>
        <w:spacing w:after="120" w:line="240" w:lineRule="auto"/>
        <w:jc w:val="center"/>
        <w:rPr>
          <w:rFonts w:hint="eastAsia" w:ascii="宋体" w:hAnsi="宋体" w:eastAsia="宋体" w:cs="宋体"/>
          <w:b w:val="0"/>
          <w:color w:val="666666"/>
          <w:sz w:val="21"/>
          <w:lang w:eastAsia="zh-CN"/>
        </w:rPr>
      </w:pPr>
    </w:p>
    <w:p w14:paraId="739A21A6">
      <w:pPr>
        <w:spacing w:after="120" w:line="240" w:lineRule="auto"/>
        <w:jc w:val="center"/>
        <w:rPr>
          <w:rFonts w:hint="eastAsia" w:ascii="宋体" w:hAnsi="宋体" w:eastAsia="宋体" w:cs="宋体"/>
          <w:b w:val="0"/>
          <w:color w:val="666666"/>
          <w:sz w:val="21"/>
          <w:lang w:eastAsia="zh-CN"/>
        </w:rPr>
      </w:pPr>
    </w:p>
    <w:p w14:paraId="647068BE">
      <w:pPr>
        <w:pStyle w:val="2"/>
        <w:bidi w:val="0"/>
        <w:spacing w:after="120" w:line="240" w:lineRule="auto"/>
        <w:rPr>
          <w:rFonts w:hint="eastAsia" w:ascii="宋体" w:hAnsi="宋体" w:eastAsia="宋体" w:cs="宋体"/>
          <w:b/>
          <w:color w:val="2E74B5"/>
          <w:sz w:val="32"/>
          <w:lang w:eastAsia="zh-CN"/>
        </w:rPr>
      </w:pPr>
      <w:r>
        <w:rPr>
          <w:rFonts w:hint="eastAsia" w:ascii="宋体" w:hAnsi="宋体" w:eastAsia="宋体" w:cs="宋体"/>
          <w:b/>
          <w:color w:val="2E74B5"/>
          <w:sz w:val="32"/>
          <w:lang w:eastAsia="zh-CN"/>
        </w:rPr>
        <w:t>一、测试目的</w:t>
      </w:r>
    </w:p>
    <w:p w14:paraId="5DF110F4">
      <w:pPr>
        <w:spacing w:before="240" w:after="120"/>
        <w:rPr>
          <w:rFonts w:hint="eastAsia"/>
          <w:lang w:eastAsia="zh-CN"/>
        </w:rPr>
      </w:pPr>
    </w:p>
    <w:p w14:paraId="7FB6CE90">
      <w:pPr>
        <w:spacing w:before="240" w:after="120" w:line="240" w:lineRule="auto"/>
        <w:rPr>
          <w:rFonts w:hint="eastAsia" w:ascii="宋体" w:hAnsi="宋体" w:eastAsia="宋体" w:cs="宋体"/>
          <w:b w:val="0"/>
          <w:sz w:val="21"/>
          <w:lang w:eastAsia="zh-CN"/>
        </w:rPr>
      </w:pPr>
      <w:r>
        <w:rPr>
          <w:rFonts w:hint="eastAsia" w:ascii="宋体" w:hAnsi="宋体" w:eastAsia="宋体" w:cs="宋体"/>
          <w:b w:val="0"/>
          <w:sz w:val="21"/>
          <w:lang w:eastAsia="zh-CN"/>
        </w:rPr>
        <w:t>本报告用于记录北京交通大学就餐仿真系统在开发阶段完成后的模块联调测试情况。测试重点是验证程序主控、仿真状态推进、动画渲染、实时统计采集和可视化仪表盘之间的数据传递是否正确，确保程序运行后能够在同一窗口中同步展示食堂动态动画和高清实时统计图表。</w:t>
      </w:r>
    </w:p>
    <w:p w14:paraId="7720A695">
      <w:pPr>
        <w:spacing w:before="240" w:after="120" w:line="240" w:lineRule="auto"/>
        <w:rPr>
          <w:rFonts w:hint="eastAsia" w:ascii="宋体" w:hAnsi="宋体" w:eastAsia="宋体" w:cs="宋体"/>
          <w:b w:val="0"/>
          <w:sz w:val="21"/>
          <w:lang w:eastAsia="zh-CN"/>
        </w:rPr>
      </w:pPr>
    </w:p>
    <w:p w14:paraId="1E34265D">
      <w:pPr>
        <w:pStyle w:val="2"/>
        <w:bidi w:val="0"/>
        <w:spacing w:after="120" w:line="240" w:lineRule="auto"/>
        <w:rPr>
          <w:rFonts w:hint="eastAsia" w:ascii="宋体" w:hAnsi="宋体" w:eastAsia="宋体" w:cs="宋体"/>
          <w:b/>
          <w:color w:val="2E74B5"/>
          <w:sz w:val="32"/>
          <w:lang w:eastAsia="zh-CN"/>
        </w:rPr>
      </w:pPr>
      <w:r>
        <w:rPr>
          <w:rFonts w:hint="eastAsia" w:ascii="宋体" w:hAnsi="宋体" w:eastAsia="宋体" w:cs="宋体"/>
          <w:b/>
          <w:color w:val="2E74B5"/>
          <w:sz w:val="32"/>
          <w:lang w:eastAsia="zh-CN"/>
        </w:rPr>
        <w:t>二、联调范围</w:t>
      </w:r>
    </w:p>
    <w:p w14:paraId="5E07E95A">
      <w:pPr>
        <w:spacing w:before="240" w:after="120"/>
        <w:rPr>
          <w:rFonts w:hint="eastAsia"/>
          <w:lang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2900"/>
        <w:gridCol w:w="4360"/>
      </w:tblGrid>
      <w:tr w14:paraId="01EE6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2100" w:type="dxa"/>
            <w:shd w:val="clear" w:color="auto" w:fill="F2F4F7"/>
            <w:vAlign w:val="center"/>
          </w:tcPr>
          <w:p w14:paraId="3B4B5046">
            <w:pPr>
              <w:spacing w:before="240" w:after="120"/>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模块</w:t>
            </w:r>
          </w:p>
        </w:tc>
        <w:tc>
          <w:tcPr>
            <w:tcW w:w="2900" w:type="dxa"/>
            <w:shd w:val="clear" w:color="auto" w:fill="F2F4F7"/>
            <w:vAlign w:val="center"/>
          </w:tcPr>
          <w:p w14:paraId="79AF2A88">
            <w:pPr>
              <w:spacing w:before="240" w:after="120"/>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涉及文件</w:t>
            </w:r>
          </w:p>
        </w:tc>
        <w:tc>
          <w:tcPr>
            <w:tcW w:w="4360" w:type="dxa"/>
            <w:shd w:val="clear" w:color="auto" w:fill="F2F4F7"/>
            <w:vAlign w:val="center"/>
          </w:tcPr>
          <w:p w14:paraId="0B5800D2">
            <w:pPr>
              <w:spacing w:before="240" w:after="120"/>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联调内容</w:t>
            </w:r>
          </w:p>
        </w:tc>
      </w:tr>
      <w:tr w14:paraId="136C4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2100" w:type="dxa"/>
            <w:vAlign w:val="center"/>
          </w:tcPr>
          <w:p w14:paraId="02AB5E47">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程序主控与运行入口</w:t>
            </w:r>
          </w:p>
        </w:tc>
        <w:tc>
          <w:tcPr>
            <w:tcW w:w="2900" w:type="dxa"/>
            <w:vAlign w:val="center"/>
          </w:tcPr>
          <w:p w14:paraId="6C4EB63E">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cafeteria_visualizer.cpp</w:t>
            </w:r>
          </w:p>
        </w:tc>
        <w:tc>
          <w:tcPr>
            <w:tcW w:w="4360" w:type="dxa"/>
            <w:vAlign w:val="center"/>
          </w:tcPr>
          <w:p w14:paraId="633992FB">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创建 Win32 窗口，初始化 GDI+，管理计时器、暂停、重置和事件循环。</w:t>
            </w:r>
          </w:p>
        </w:tc>
      </w:tr>
      <w:tr w14:paraId="7AF00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2100" w:type="dxa"/>
            <w:vAlign w:val="center"/>
          </w:tcPr>
          <w:p w14:paraId="2E4942FC">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仿真逻辑与数据模型</w:t>
            </w:r>
          </w:p>
        </w:tc>
        <w:tc>
          <w:tcPr>
            <w:tcW w:w="2900" w:type="dxa"/>
            <w:vAlign w:val="center"/>
          </w:tcPr>
          <w:p w14:paraId="3815BEB1">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cafeteria_types.h / cafeteria_simulation.cpp</w:t>
            </w:r>
          </w:p>
        </w:tc>
        <w:tc>
          <w:tcPr>
            <w:tcW w:w="4360" w:type="dxa"/>
            <w:vAlign w:val="center"/>
          </w:tcPr>
          <w:p w14:paraId="32D2A5DB">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推进学生进入、排队、取餐、选座、就餐、休息、离开流程，并生成实时指标。</w:t>
            </w:r>
          </w:p>
        </w:tc>
      </w:tr>
      <w:tr w14:paraId="1F5DE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2100" w:type="dxa"/>
            <w:vAlign w:val="center"/>
          </w:tcPr>
          <w:p w14:paraId="6FC95FC9">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动画渲染模块</w:t>
            </w:r>
          </w:p>
        </w:tc>
        <w:tc>
          <w:tcPr>
            <w:tcW w:w="2900" w:type="dxa"/>
            <w:vAlign w:val="center"/>
          </w:tcPr>
          <w:p w14:paraId="45864889">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cafeteria_renderer.cpp / cafeteria_renderer.h</w:t>
            </w:r>
          </w:p>
        </w:tc>
        <w:tc>
          <w:tcPr>
            <w:tcW w:w="4360" w:type="dxa"/>
            <w:vAlign w:val="center"/>
          </w:tcPr>
          <w:p w14:paraId="27581565">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绘制食堂布局、学生运动、座位状态、统计信息与右侧高清仪表盘。</w:t>
            </w:r>
          </w:p>
        </w:tc>
      </w:tr>
      <w:tr w14:paraId="7E6C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2100" w:type="dxa"/>
            <w:vAlign w:val="center"/>
          </w:tcPr>
          <w:p w14:paraId="0CD53204">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可视化统计面板</w:t>
            </w:r>
          </w:p>
        </w:tc>
        <w:tc>
          <w:tcPr>
            <w:tcW w:w="2900" w:type="dxa"/>
            <w:vAlign w:val="center"/>
          </w:tcPr>
          <w:p w14:paraId="7D66058C">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cafeteria_types.h / cafeteria_renderer.cpp</w:t>
            </w:r>
          </w:p>
        </w:tc>
        <w:tc>
          <w:tcPr>
            <w:tcW w:w="4360" w:type="dxa"/>
            <w:vAlign w:val="center"/>
          </w:tcPr>
          <w:p w14:paraId="1C2F391F">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展示实时指标卡、趋势图、窗口负载柱状图和学生状态分布图。</w:t>
            </w:r>
          </w:p>
        </w:tc>
      </w:tr>
    </w:tbl>
    <w:p w14:paraId="212F1488">
      <w:pPr>
        <w:spacing w:before="240" w:after="120"/>
        <w:rPr>
          <w:rFonts w:hint="eastAsia"/>
          <w:lang w:eastAsia="zh-CN"/>
        </w:rPr>
      </w:pPr>
    </w:p>
    <w:p w14:paraId="6EFCF087">
      <w:pPr>
        <w:spacing w:before="240" w:after="120"/>
        <w:rPr>
          <w:rFonts w:hint="eastAsia"/>
          <w:lang w:eastAsia="zh-CN"/>
        </w:rPr>
      </w:pPr>
    </w:p>
    <w:p w14:paraId="5DDAC042">
      <w:pPr>
        <w:pStyle w:val="2"/>
        <w:bidi w:val="0"/>
        <w:spacing w:after="120" w:line="240" w:lineRule="auto"/>
        <w:rPr>
          <w:rFonts w:hint="eastAsia" w:ascii="宋体" w:hAnsi="宋体" w:eastAsia="宋体" w:cs="宋体"/>
          <w:b/>
          <w:color w:val="2E74B5"/>
          <w:sz w:val="32"/>
          <w:lang w:eastAsia="zh-CN"/>
        </w:rPr>
      </w:pPr>
      <w:r>
        <w:rPr>
          <w:rFonts w:hint="eastAsia" w:ascii="宋体" w:hAnsi="宋体" w:eastAsia="宋体" w:cs="宋体"/>
          <w:b/>
          <w:color w:val="2E74B5"/>
          <w:sz w:val="32"/>
          <w:lang w:eastAsia="zh-CN"/>
        </w:rPr>
        <w:t>三、测试环境</w:t>
      </w:r>
    </w:p>
    <w:p w14:paraId="6DAFE38E">
      <w:pPr>
        <w:spacing w:before="240" w:after="120"/>
        <w:rPr>
          <w:rFonts w:hint="eastAsia"/>
          <w:lang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7560"/>
      </w:tblGrid>
      <w:tr w14:paraId="33705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1800" w:type="dxa"/>
            <w:shd w:val="clear" w:color="auto" w:fill="F2F4F7"/>
            <w:vAlign w:val="center"/>
          </w:tcPr>
          <w:p w14:paraId="0EDAAD10">
            <w:pPr>
              <w:spacing w:before="240" w:after="120"/>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类别</w:t>
            </w:r>
          </w:p>
        </w:tc>
        <w:tc>
          <w:tcPr>
            <w:tcW w:w="7560" w:type="dxa"/>
            <w:shd w:val="clear" w:color="auto" w:fill="F2F4F7"/>
            <w:vAlign w:val="center"/>
          </w:tcPr>
          <w:p w14:paraId="371920EE">
            <w:pPr>
              <w:spacing w:before="240" w:after="120"/>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配置或说明</w:t>
            </w:r>
          </w:p>
        </w:tc>
      </w:tr>
      <w:tr w14:paraId="037FD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1800" w:type="dxa"/>
            <w:vAlign w:val="center"/>
          </w:tcPr>
          <w:p w14:paraId="33252FCD">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操作系统</w:t>
            </w:r>
          </w:p>
        </w:tc>
        <w:tc>
          <w:tcPr>
            <w:tcW w:w="7560" w:type="dxa"/>
            <w:vAlign w:val="center"/>
          </w:tcPr>
          <w:p w14:paraId="502410A5">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Windows，本地桌面图形环境</w:t>
            </w:r>
          </w:p>
        </w:tc>
      </w:tr>
      <w:tr w14:paraId="064B4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1800" w:type="dxa"/>
            <w:vAlign w:val="center"/>
          </w:tcPr>
          <w:p w14:paraId="762A6744">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开发语言</w:t>
            </w:r>
          </w:p>
        </w:tc>
        <w:tc>
          <w:tcPr>
            <w:tcW w:w="7560" w:type="dxa"/>
            <w:vAlign w:val="center"/>
          </w:tcPr>
          <w:p w14:paraId="3DDA6C7A">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C++17</w:t>
            </w:r>
          </w:p>
        </w:tc>
      </w:tr>
      <w:tr w14:paraId="0CA0F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1800" w:type="dxa"/>
            <w:vAlign w:val="center"/>
          </w:tcPr>
          <w:p w14:paraId="505D59EA">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图形接口</w:t>
            </w:r>
          </w:p>
        </w:tc>
        <w:tc>
          <w:tcPr>
            <w:tcW w:w="7560" w:type="dxa"/>
            <w:vAlign w:val="center"/>
          </w:tcPr>
          <w:p w14:paraId="06DF3719">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Win32 API、GDI、GDI+</w:t>
            </w:r>
          </w:p>
        </w:tc>
      </w:tr>
      <w:tr w14:paraId="6EA88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1800" w:type="dxa"/>
            <w:vAlign w:val="center"/>
          </w:tcPr>
          <w:p w14:paraId="2234441C">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编译器</w:t>
            </w:r>
          </w:p>
        </w:tc>
        <w:tc>
          <w:tcPr>
            <w:tcW w:w="7560" w:type="dxa"/>
            <w:vAlign w:val="center"/>
          </w:tcPr>
          <w:p w14:paraId="59086C1C">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C:\Users\20970\Desktop\mingw64\bin\g++.exe</w:t>
            </w:r>
          </w:p>
        </w:tc>
      </w:tr>
      <w:tr w14:paraId="25944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1800" w:type="dxa"/>
            <w:vAlign w:val="center"/>
          </w:tcPr>
          <w:p w14:paraId="32346BCE">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编译命令</w:t>
            </w:r>
          </w:p>
        </w:tc>
        <w:tc>
          <w:tcPr>
            <w:tcW w:w="7560" w:type="dxa"/>
            <w:vAlign w:val="center"/>
          </w:tcPr>
          <w:p w14:paraId="09D14312">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g++ cafeteria_visualizer.cpp cafeteria_renderer.cpp cafeteria_simulation.cpp -std=c++17 -O2 -mwindows -lgdiplus -lgdi32 -luser32 -o cafeteria_visualizer.exe</w:t>
            </w:r>
          </w:p>
        </w:tc>
      </w:tr>
      <w:tr w14:paraId="04613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1800" w:type="dxa"/>
            <w:vAlign w:val="center"/>
          </w:tcPr>
          <w:p w14:paraId="3BDA328B">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运行程序</w:t>
            </w:r>
          </w:p>
        </w:tc>
        <w:tc>
          <w:tcPr>
            <w:tcW w:w="7560" w:type="dxa"/>
            <w:vAlign w:val="center"/>
          </w:tcPr>
          <w:p w14:paraId="55A38BA9">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D:\code\软件综合实训\cafeteria_visualizer.exe</w:t>
            </w:r>
          </w:p>
        </w:tc>
      </w:tr>
    </w:tbl>
    <w:p w14:paraId="15E0C4BA">
      <w:pPr>
        <w:spacing w:before="240" w:after="120"/>
        <w:rPr>
          <w:rFonts w:hint="eastAsia"/>
          <w:lang w:eastAsia="zh-CN"/>
        </w:rPr>
      </w:pPr>
    </w:p>
    <w:p w14:paraId="306FFB71">
      <w:pPr>
        <w:spacing w:before="240" w:after="120"/>
        <w:rPr>
          <w:rFonts w:hint="eastAsia"/>
          <w:lang w:eastAsia="zh-CN"/>
        </w:rPr>
      </w:pPr>
    </w:p>
    <w:p w14:paraId="7B221397">
      <w:pPr>
        <w:pStyle w:val="2"/>
        <w:bidi w:val="0"/>
        <w:spacing w:after="120" w:line="240" w:lineRule="auto"/>
        <w:rPr>
          <w:rFonts w:hint="eastAsia" w:ascii="宋体" w:hAnsi="宋体" w:eastAsia="宋体" w:cs="宋体"/>
          <w:b/>
          <w:color w:val="2E74B5"/>
          <w:sz w:val="32"/>
          <w:lang w:eastAsia="zh-CN"/>
        </w:rPr>
      </w:pPr>
      <w:r>
        <w:rPr>
          <w:rFonts w:hint="eastAsia" w:ascii="宋体" w:hAnsi="宋体" w:eastAsia="宋体" w:cs="宋体"/>
          <w:b/>
          <w:color w:val="2E74B5"/>
          <w:sz w:val="32"/>
          <w:lang w:eastAsia="zh-CN"/>
        </w:rPr>
        <w:t>四、联调测试策略</w:t>
      </w:r>
    </w:p>
    <w:p w14:paraId="0D6F9F58">
      <w:pPr>
        <w:spacing w:before="240" w:after="120"/>
        <w:rPr>
          <w:rFonts w:hint="eastAsia"/>
          <w:lang w:eastAsia="zh-CN"/>
        </w:rPr>
      </w:pPr>
    </w:p>
    <w:p w14:paraId="672BA8CC">
      <w:pPr>
        <w:spacing w:before="240" w:after="120" w:line="240" w:lineRule="auto"/>
        <w:rPr>
          <w:rFonts w:hint="eastAsia" w:ascii="宋体" w:hAnsi="宋体" w:eastAsia="宋体" w:cs="宋体"/>
          <w:b w:val="0"/>
          <w:sz w:val="21"/>
          <w:lang w:eastAsia="zh-CN"/>
        </w:rPr>
      </w:pPr>
      <w:r>
        <w:rPr>
          <w:rFonts w:hint="eastAsia" w:ascii="宋体" w:hAnsi="宋体" w:eastAsia="宋体" w:cs="宋体"/>
          <w:b w:val="0"/>
          <w:sz w:val="21"/>
          <w:lang w:eastAsia="zh-CN"/>
        </w:rPr>
        <w:t>采用自底向上的联调方式，先确认仿真状态能够稳定推进，再验证渲染模块能正确读取状态并显示动画。</w:t>
      </w:r>
    </w:p>
    <w:p w14:paraId="13066C4F">
      <w:pPr>
        <w:spacing w:before="240" w:after="120" w:line="240" w:lineRule="auto"/>
        <w:ind w:left="360" w:hanging="360"/>
        <w:rPr>
          <w:rFonts w:hint="eastAsia" w:ascii="宋体" w:hAnsi="宋体" w:eastAsia="宋体" w:cs="宋体"/>
          <w:b w:val="0"/>
          <w:sz w:val="21"/>
          <w:lang w:eastAsia="zh-CN"/>
        </w:rPr>
      </w:pPr>
    </w:p>
    <w:p w14:paraId="062DE6C7">
      <w:pPr>
        <w:spacing w:before="240" w:after="120" w:line="240" w:lineRule="auto"/>
        <w:ind w:left="360" w:hanging="360"/>
        <w:rPr>
          <w:rFonts w:hint="eastAsia" w:ascii="宋体" w:hAnsi="宋体" w:eastAsia="宋体" w:cs="宋体"/>
          <w:b w:val="0"/>
          <w:sz w:val="21"/>
          <w:lang w:eastAsia="zh-CN"/>
        </w:rPr>
      </w:pPr>
      <w:r>
        <w:rPr>
          <w:rFonts w:hint="eastAsia" w:ascii="宋体" w:hAnsi="宋体" w:eastAsia="宋体" w:cs="宋体"/>
          <w:b w:val="0"/>
          <w:sz w:val="21"/>
          <w:lang w:eastAsia="zh-CN"/>
        </w:rPr>
        <w:t>在仿真每个 tick 结束后记录统计样本，避免改变原有学生状态机和动画运动逻辑。</w:t>
      </w:r>
    </w:p>
    <w:p w14:paraId="1027E000">
      <w:pPr>
        <w:spacing w:before="240" w:after="120" w:line="240" w:lineRule="auto"/>
        <w:ind w:left="360" w:hanging="360"/>
        <w:rPr>
          <w:rFonts w:hint="eastAsia" w:ascii="宋体" w:hAnsi="宋体" w:eastAsia="宋体" w:cs="宋体"/>
          <w:b w:val="0"/>
          <w:sz w:val="21"/>
          <w:lang w:eastAsia="zh-CN"/>
        </w:rPr>
      </w:pPr>
    </w:p>
    <w:p w14:paraId="1D9FA643">
      <w:pPr>
        <w:spacing w:before="240" w:after="120" w:line="240" w:lineRule="auto"/>
        <w:ind w:left="360" w:hanging="360"/>
        <w:rPr>
          <w:rFonts w:hint="eastAsia" w:ascii="宋体" w:hAnsi="宋体" w:eastAsia="宋体" w:cs="宋体"/>
          <w:b w:val="0"/>
          <w:sz w:val="21"/>
          <w:lang w:eastAsia="zh-CN"/>
        </w:rPr>
      </w:pPr>
      <w:r>
        <w:rPr>
          <w:rFonts w:hint="eastAsia" w:ascii="宋体" w:hAnsi="宋体" w:eastAsia="宋体" w:cs="宋体"/>
          <w:b w:val="0"/>
          <w:sz w:val="21"/>
          <w:lang w:eastAsia="zh-CN"/>
        </w:rPr>
        <w:t>仪表盘与动画共用主窗口、同一事件循环和同一次 WM_PAINT 重绘，保证数据同步。</w:t>
      </w:r>
    </w:p>
    <w:p w14:paraId="73590C91">
      <w:pPr>
        <w:spacing w:before="240" w:after="120" w:line="240" w:lineRule="auto"/>
        <w:ind w:left="360" w:hanging="360"/>
        <w:rPr>
          <w:rFonts w:hint="eastAsia" w:ascii="宋体" w:hAnsi="宋体" w:eastAsia="宋体" w:cs="宋体"/>
          <w:b w:val="0"/>
          <w:sz w:val="21"/>
          <w:lang w:eastAsia="zh-CN"/>
        </w:rPr>
      </w:pPr>
    </w:p>
    <w:p w14:paraId="5F3CF875">
      <w:pPr>
        <w:spacing w:before="240" w:after="120" w:line="240" w:lineRule="auto"/>
        <w:ind w:left="360" w:hanging="360"/>
        <w:rPr>
          <w:rFonts w:hint="eastAsia" w:ascii="宋体" w:hAnsi="宋体" w:eastAsia="宋体" w:cs="宋体"/>
          <w:b w:val="0"/>
          <w:sz w:val="21"/>
          <w:lang w:eastAsia="zh-CN"/>
        </w:rPr>
      </w:pPr>
      <w:r>
        <w:rPr>
          <w:rFonts w:hint="eastAsia" w:ascii="宋体" w:hAnsi="宋体" w:eastAsia="宋体" w:cs="宋体"/>
          <w:b w:val="0"/>
          <w:sz w:val="21"/>
          <w:lang w:eastAsia="zh-CN"/>
        </w:rPr>
        <w:t>测试过程中覆盖正常运行、暂停继续、重置、长时间刷新和窗口显示完整性等场景。</w:t>
      </w:r>
    </w:p>
    <w:p w14:paraId="6D52C2EB">
      <w:pPr>
        <w:spacing w:before="240" w:after="120" w:line="240" w:lineRule="auto"/>
        <w:ind w:left="360" w:hanging="360"/>
        <w:rPr>
          <w:rFonts w:hint="eastAsia" w:ascii="宋体" w:hAnsi="宋体" w:eastAsia="宋体" w:cs="宋体"/>
          <w:b w:val="0"/>
          <w:sz w:val="21"/>
          <w:lang w:eastAsia="zh-CN"/>
        </w:rPr>
      </w:pPr>
    </w:p>
    <w:p w14:paraId="5316FBC9">
      <w:pPr>
        <w:pStyle w:val="2"/>
        <w:bidi w:val="0"/>
        <w:spacing w:after="120" w:line="240" w:lineRule="auto"/>
        <w:rPr>
          <w:rFonts w:hint="eastAsia" w:ascii="宋体" w:hAnsi="宋体" w:eastAsia="宋体" w:cs="宋体"/>
          <w:b/>
          <w:color w:val="2E74B5"/>
          <w:sz w:val="32"/>
          <w:lang w:eastAsia="zh-CN"/>
        </w:rPr>
      </w:pPr>
      <w:r>
        <w:rPr>
          <w:rFonts w:hint="eastAsia" w:ascii="宋体" w:hAnsi="宋体" w:eastAsia="宋体" w:cs="宋体"/>
          <w:b/>
          <w:color w:val="2E74B5"/>
          <w:sz w:val="32"/>
          <w:lang w:eastAsia="zh-CN"/>
        </w:rPr>
        <w:t>五、联调测试用例</w:t>
      </w:r>
    </w:p>
    <w:p w14:paraId="5EC1FCD5">
      <w:pPr>
        <w:spacing w:before="240" w:after="120"/>
        <w:rPr>
          <w:rFonts w:hint="eastAsia"/>
          <w:lang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840"/>
        <w:gridCol w:w="1320"/>
        <w:gridCol w:w="2560"/>
        <w:gridCol w:w="2320"/>
        <w:gridCol w:w="2320"/>
      </w:tblGrid>
      <w:tr w14:paraId="36A60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840" w:type="dxa"/>
            <w:shd w:val="clear" w:color="auto" w:fill="F2F4F7"/>
            <w:vAlign w:val="center"/>
          </w:tcPr>
          <w:p w14:paraId="5CD5226B">
            <w:pPr>
              <w:spacing w:before="240" w:after="120"/>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编号</w:t>
            </w:r>
          </w:p>
        </w:tc>
        <w:tc>
          <w:tcPr>
            <w:tcW w:w="1320" w:type="dxa"/>
            <w:shd w:val="clear" w:color="auto" w:fill="F2F4F7"/>
            <w:vAlign w:val="center"/>
          </w:tcPr>
          <w:p w14:paraId="6E920814">
            <w:pPr>
              <w:spacing w:before="240" w:after="120"/>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测试项</w:t>
            </w:r>
          </w:p>
        </w:tc>
        <w:tc>
          <w:tcPr>
            <w:tcW w:w="2560" w:type="dxa"/>
            <w:shd w:val="clear" w:color="auto" w:fill="F2F4F7"/>
            <w:vAlign w:val="center"/>
          </w:tcPr>
          <w:p w14:paraId="4427EA63">
            <w:pPr>
              <w:spacing w:before="240" w:after="120"/>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操作步骤</w:t>
            </w:r>
          </w:p>
        </w:tc>
        <w:tc>
          <w:tcPr>
            <w:tcW w:w="2320" w:type="dxa"/>
            <w:shd w:val="clear" w:color="auto" w:fill="F2F4F7"/>
            <w:vAlign w:val="center"/>
          </w:tcPr>
          <w:p w14:paraId="2985CE95">
            <w:pPr>
              <w:spacing w:before="240" w:after="120"/>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预期结果</w:t>
            </w:r>
          </w:p>
        </w:tc>
        <w:tc>
          <w:tcPr>
            <w:tcW w:w="2320" w:type="dxa"/>
            <w:shd w:val="clear" w:color="auto" w:fill="F2F4F7"/>
            <w:vAlign w:val="center"/>
          </w:tcPr>
          <w:p w14:paraId="1DD192BE">
            <w:pPr>
              <w:spacing w:before="240" w:after="120"/>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实际结果/结论</w:t>
            </w:r>
          </w:p>
        </w:tc>
      </w:tr>
      <w:tr w14:paraId="7BA38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840" w:type="dxa"/>
            <w:vAlign w:val="center"/>
          </w:tcPr>
          <w:p w14:paraId="5851941B">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IT-01</w:t>
            </w:r>
          </w:p>
        </w:tc>
        <w:tc>
          <w:tcPr>
            <w:tcW w:w="1320" w:type="dxa"/>
            <w:vAlign w:val="center"/>
          </w:tcPr>
          <w:p w14:paraId="2C4EA280">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程序启动联调</w:t>
            </w:r>
          </w:p>
        </w:tc>
        <w:tc>
          <w:tcPr>
            <w:tcW w:w="2560" w:type="dxa"/>
            <w:vAlign w:val="center"/>
          </w:tcPr>
          <w:p w14:paraId="5292904F">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启动 cafeteria_visualizer.exe。</w:t>
            </w:r>
          </w:p>
        </w:tc>
        <w:tc>
          <w:tcPr>
            <w:tcW w:w="2320" w:type="dxa"/>
            <w:vAlign w:val="center"/>
          </w:tcPr>
          <w:p w14:paraId="5C14D0EE">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左侧动画区域和右侧仪表盘同时显示。</w:t>
            </w:r>
          </w:p>
        </w:tc>
        <w:tc>
          <w:tcPr>
            <w:tcW w:w="2320" w:type="dxa"/>
            <w:vAlign w:val="center"/>
          </w:tcPr>
          <w:p w14:paraId="63E7E49B">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程序启动成功，窗口保持运行，通过。</w:t>
            </w:r>
          </w:p>
        </w:tc>
      </w:tr>
      <w:tr w14:paraId="4222D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840" w:type="dxa"/>
            <w:vAlign w:val="center"/>
          </w:tcPr>
          <w:p w14:paraId="0C27CD37">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IT-02</w:t>
            </w:r>
          </w:p>
        </w:tc>
        <w:tc>
          <w:tcPr>
            <w:tcW w:w="1320" w:type="dxa"/>
            <w:vAlign w:val="center"/>
          </w:tcPr>
          <w:p w14:paraId="77141F51">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仿真状态推进</w:t>
            </w:r>
          </w:p>
        </w:tc>
        <w:tc>
          <w:tcPr>
            <w:tcW w:w="2560" w:type="dxa"/>
            <w:vAlign w:val="center"/>
          </w:tcPr>
          <w:p w14:paraId="579B412C">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观察学生从入口进入并经过排队、取餐、选座、就餐、离开流程。</w:t>
            </w:r>
          </w:p>
        </w:tc>
        <w:tc>
          <w:tcPr>
            <w:tcW w:w="2320" w:type="dxa"/>
            <w:vAlign w:val="center"/>
          </w:tcPr>
          <w:p w14:paraId="7DE42C66">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学生状态连续变化，座位占用和释放符合流程。</w:t>
            </w:r>
          </w:p>
        </w:tc>
        <w:tc>
          <w:tcPr>
            <w:tcW w:w="2320" w:type="dxa"/>
            <w:vAlign w:val="center"/>
          </w:tcPr>
          <w:p w14:paraId="4BA93C48">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动画流程完整，未出现卡死或异常退出，通过。</w:t>
            </w:r>
          </w:p>
        </w:tc>
      </w:tr>
      <w:tr w14:paraId="6044D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840" w:type="dxa"/>
            <w:vAlign w:val="center"/>
          </w:tcPr>
          <w:p w14:paraId="1A3C90FF">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IT-03</w:t>
            </w:r>
          </w:p>
        </w:tc>
        <w:tc>
          <w:tcPr>
            <w:tcW w:w="1320" w:type="dxa"/>
            <w:vAlign w:val="center"/>
          </w:tcPr>
          <w:p w14:paraId="71FBDEC6">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实时指标采集</w:t>
            </w:r>
          </w:p>
        </w:tc>
        <w:tc>
          <w:tcPr>
            <w:tcW w:w="2560" w:type="dxa"/>
            <w:vAlign w:val="center"/>
          </w:tcPr>
          <w:p w14:paraId="1AC7F9F9">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观察 Active、Queue、Served、Seat use、Throughput、Left 指标。</w:t>
            </w:r>
          </w:p>
        </w:tc>
        <w:tc>
          <w:tcPr>
            <w:tcW w:w="2320" w:type="dxa"/>
            <w:vAlign w:val="center"/>
          </w:tcPr>
          <w:p w14:paraId="36B6A266">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指标随仿真过程实时变化，服务人数只增不减。</w:t>
            </w:r>
          </w:p>
        </w:tc>
        <w:tc>
          <w:tcPr>
            <w:tcW w:w="2320" w:type="dxa"/>
            <w:vAlign w:val="center"/>
          </w:tcPr>
          <w:p w14:paraId="77CA431F">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各项指标随动画同步刷新，通过。</w:t>
            </w:r>
          </w:p>
        </w:tc>
      </w:tr>
      <w:tr w14:paraId="3B166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840" w:type="dxa"/>
            <w:vAlign w:val="center"/>
          </w:tcPr>
          <w:p w14:paraId="7E0334EA">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IT-04</w:t>
            </w:r>
          </w:p>
        </w:tc>
        <w:tc>
          <w:tcPr>
            <w:tcW w:w="1320" w:type="dxa"/>
            <w:vAlign w:val="center"/>
          </w:tcPr>
          <w:p w14:paraId="6E6F0ED0">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趋势图联调</w:t>
            </w:r>
          </w:p>
        </w:tc>
        <w:tc>
          <w:tcPr>
            <w:tcW w:w="2560" w:type="dxa"/>
            <w:vAlign w:val="center"/>
          </w:tcPr>
          <w:p w14:paraId="1F90EFBE">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持续运行程序，观察 300 tick 历史趋势图。</w:t>
            </w:r>
          </w:p>
        </w:tc>
        <w:tc>
          <w:tcPr>
            <w:tcW w:w="2320" w:type="dxa"/>
            <w:vAlign w:val="center"/>
          </w:tcPr>
          <w:p w14:paraId="3493C0DD">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Active、Queue+Serve、Seat% 三条趋势线持续更新。</w:t>
            </w:r>
          </w:p>
        </w:tc>
        <w:tc>
          <w:tcPr>
            <w:tcW w:w="2320" w:type="dxa"/>
            <w:vAlign w:val="center"/>
          </w:tcPr>
          <w:p w14:paraId="098419FB">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趋势图实时滚动，曲线无明显断裂，通过。</w:t>
            </w:r>
          </w:p>
        </w:tc>
      </w:tr>
      <w:tr w14:paraId="250D0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840" w:type="dxa"/>
            <w:vAlign w:val="center"/>
          </w:tcPr>
          <w:p w14:paraId="05427EBD">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IT-05</w:t>
            </w:r>
          </w:p>
        </w:tc>
        <w:tc>
          <w:tcPr>
            <w:tcW w:w="1320" w:type="dxa"/>
            <w:vAlign w:val="center"/>
          </w:tcPr>
          <w:p w14:paraId="790E3B6D">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窗口负载图</w:t>
            </w:r>
          </w:p>
        </w:tc>
        <w:tc>
          <w:tcPr>
            <w:tcW w:w="2560" w:type="dxa"/>
            <w:vAlign w:val="center"/>
          </w:tcPr>
          <w:p w14:paraId="61B59060">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观察四个取餐窗口负载柱状图。</w:t>
            </w:r>
          </w:p>
        </w:tc>
        <w:tc>
          <w:tcPr>
            <w:tcW w:w="2320" w:type="dxa"/>
            <w:vAlign w:val="center"/>
          </w:tcPr>
          <w:p w14:paraId="464AF381">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柱状高度反映各窗口队列和服务负载差异。</w:t>
            </w:r>
          </w:p>
        </w:tc>
        <w:tc>
          <w:tcPr>
            <w:tcW w:w="2320" w:type="dxa"/>
            <w:vAlign w:val="center"/>
          </w:tcPr>
          <w:p w14:paraId="48DFA556">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窗口负载随排队情况变化，通过。</w:t>
            </w:r>
          </w:p>
        </w:tc>
      </w:tr>
      <w:tr w14:paraId="14017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840" w:type="dxa"/>
            <w:vAlign w:val="center"/>
          </w:tcPr>
          <w:p w14:paraId="1CA3328C">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IT-06</w:t>
            </w:r>
          </w:p>
        </w:tc>
        <w:tc>
          <w:tcPr>
            <w:tcW w:w="1320" w:type="dxa"/>
            <w:vAlign w:val="center"/>
          </w:tcPr>
          <w:p w14:paraId="24C502FB">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学生状态分布</w:t>
            </w:r>
          </w:p>
        </w:tc>
        <w:tc>
          <w:tcPr>
            <w:tcW w:w="2560" w:type="dxa"/>
            <w:vAlign w:val="center"/>
          </w:tcPr>
          <w:p w14:paraId="6B89F657">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观察 Serve、Eat、Wait、Rest、Leave 状态分布条。</w:t>
            </w:r>
          </w:p>
        </w:tc>
        <w:tc>
          <w:tcPr>
            <w:tcW w:w="2320" w:type="dxa"/>
            <w:vAlign w:val="center"/>
          </w:tcPr>
          <w:p w14:paraId="5900AD16">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状态分布随学生行为变化。</w:t>
            </w:r>
          </w:p>
        </w:tc>
        <w:tc>
          <w:tcPr>
            <w:tcW w:w="2320" w:type="dxa"/>
            <w:vAlign w:val="center"/>
          </w:tcPr>
          <w:p w14:paraId="5B2A527C">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分布条和图例显示正常，通过。</w:t>
            </w:r>
          </w:p>
        </w:tc>
      </w:tr>
      <w:tr w14:paraId="4840D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840" w:type="dxa"/>
            <w:vAlign w:val="center"/>
          </w:tcPr>
          <w:p w14:paraId="3F24989D">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IT-07</w:t>
            </w:r>
          </w:p>
        </w:tc>
        <w:tc>
          <w:tcPr>
            <w:tcW w:w="1320" w:type="dxa"/>
            <w:vAlign w:val="center"/>
          </w:tcPr>
          <w:p w14:paraId="55DB60BB">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暂停与继续</w:t>
            </w:r>
          </w:p>
        </w:tc>
        <w:tc>
          <w:tcPr>
            <w:tcW w:w="2560" w:type="dxa"/>
            <w:vAlign w:val="center"/>
          </w:tcPr>
          <w:p w14:paraId="4EAA4BFD">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按空格键暂停，再次按空格键继续。</w:t>
            </w:r>
          </w:p>
        </w:tc>
        <w:tc>
          <w:tcPr>
            <w:tcW w:w="2320" w:type="dxa"/>
            <w:vAlign w:val="center"/>
          </w:tcPr>
          <w:p w14:paraId="1C2D67D3">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暂停时动画和统计停止推进，继续后恢复刷新。</w:t>
            </w:r>
          </w:p>
        </w:tc>
        <w:tc>
          <w:tcPr>
            <w:tcW w:w="2320" w:type="dxa"/>
            <w:vAlign w:val="center"/>
          </w:tcPr>
          <w:p w14:paraId="3764B14C">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暂停/继续功能正常，通过。</w:t>
            </w:r>
          </w:p>
        </w:tc>
      </w:tr>
      <w:tr w14:paraId="3BCCA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840" w:type="dxa"/>
            <w:vAlign w:val="center"/>
          </w:tcPr>
          <w:p w14:paraId="5F4C4600">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IT-08</w:t>
            </w:r>
          </w:p>
        </w:tc>
        <w:tc>
          <w:tcPr>
            <w:tcW w:w="1320" w:type="dxa"/>
            <w:vAlign w:val="center"/>
          </w:tcPr>
          <w:p w14:paraId="06CD862A">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重置功能</w:t>
            </w:r>
          </w:p>
        </w:tc>
        <w:tc>
          <w:tcPr>
            <w:tcW w:w="2560" w:type="dxa"/>
            <w:vAlign w:val="center"/>
          </w:tcPr>
          <w:p w14:paraId="072F5B2B">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按 R 键重置仿真。</w:t>
            </w:r>
          </w:p>
        </w:tc>
        <w:tc>
          <w:tcPr>
            <w:tcW w:w="2320" w:type="dxa"/>
            <w:vAlign w:val="center"/>
          </w:tcPr>
          <w:p w14:paraId="17A33362">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学生、座位、队列和统计历史恢复初始状态。</w:t>
            </w:r>
          </w:p>
        </w:tc>
        <w:tc>
          <w:tcPr>
            <w:tcW w:w="2320" w:type="dxa"/>
            <w:vAlign w:val="center"/>
          </w:tcPr>
          <w:p w14:paraId="390E5F82">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重置后仿真重新开始，通过。</w:t>
            </w:r>
          </w:p>
        </w:tc>
      </w:tr>
      <w:tr w14:paraId="1EF4B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840" w:type="dxa"/>
            <w:vAlign w:val="center"/>
          </w:tcPr>
          <w:p w14:paraId="1FF6FA39">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IT-09</w:t>
            </w:r>
          </w:p>
        </w:tc>
        <w:tc>
          <w:tcPr>
            <w:tcW w:w="1320" w:type="dxa"/>
            <w:vAlign w:val="center"/>
          </w:tcPr>
          <w:p w14:paraId="70D68A23">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编译链接</w:t>
            </w:r>
          </w:p>
        </w:tc>
        <w:tc>
          <w:tcPr>
            <w:tcW w:w="2560" w:type="dxa"/>
            <w:vAlign w:val="center"/>
          </w:tcPr>
          <w:p w14:paraId="229A9E43">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使用 MinGW g++ 执行编译命令。</w:t>
            </w:r>
          </w:p>
        </w:tc>
        <w:tc>
          <w:tcPr>
            <w:tcW w:w="2320" w:type="dxa"/>
            <w:vAlign w:val="center"/>
          </w:tcPr>
          <w:p w14:paraId="63C55C68">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生成新的 cafeteria_visualizer.exe，链接 GDI+ 成功。</w:t>
            </w:r>
          </w:p>
        </w:tc>
        <w:tc>
          <w:tcPr>
            <w:tcW w:w="2320" w:type="dxa"/>
            <w:vAlign w:val="center"/>
          </w:tcPr>
          <w:p w14:paraId="6080DF07">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编译通过，生成可执行文件，通过。</w:t>
            </w:r>
          </w:p>
        </w:tc>
      </w:tr>
    </w:tbl>
    <w:p w14:paraId="13999BF9">
      <w:pPr>
        <w:spacing w:before="240" w:after="120"/>
        <w:rPr>
          <w:rFonts w:hint="eastAsia"/>
          <w:lang w:eastAsia="zh-CN"/>
        </w:rPr>
      </w:pPr>
    </w:p>
    <w:p w14:paraId="239F3656">
      <w:pPr>
        <w:spacing w:before="240" w:after="120"/>
        <w:rPr>
          <w:rFonts w:hint="eastAsia"/>
          <w:lang w:eastAsia="zh-CN"/>
        </w:rPr>
      </w:pPr>
    </w:p>
    <w:p w14:paraId="45CED9B7">
      <w:pPr>
        <w:pStyle w:val="2"/>
        <w:bidi w:val="0"/>
        <w:spacing w:after="120" w:line="240" w:lineRule="auto"/>
        <w:rPr>
          <w:rFonts w:hint="eastAsia" w:ascii="宋体" w:hAnsi="宋体" w:eastAsia="宋体" w:cs="宋体"/>
          <w:b/>
          <w:color w:val="2E74B5"/>
          <w:sz w:val="32"/>
          <w:lang w:eastAsia="zh-CN"/>
        </w:rPr>
      </w:pPr>
      <w:r>
        <w:rPr>
          <w:rFonts w:hint="eastAsia" w:ascii="宋体" w:hAnsi="宋体" w:eastAsia="宋体" w:cs="宋体"/>
          <w:b/>
          <w:color w:val="2E74B5"/>
          <w:sz w:val="32"/>
          <w:lang w:eastAsia="zh-CN"/>
        </w:rPr>
        <w:t>六、关键联调数据与可视化指标</w:t>
      </w:r>
    </w:p>
    <w:p w14:paraId="3D69D01E">
      <w:pPr>
        <w:spacing w:before="240" w:after="120"/>
        <w:rPr>
          <w:rFonts w:hint="eastAsia"/>
          <w:lang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000"/>
        <w:gridCol w:w="2760"/>
        <w:gridCol w:w="1900"/>
        <w:gridCol w:w="2700"/>
      </w:tblGrid>
      <w:tr w14:paraId="2101E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2000" w:type="dxa"/>
            <w:shd w:val="clear" w:color="auto" w:fill="F2F4F7"/>
            <w:vAlign w:val="center"/>
          </w:tcPr>
          <w:p w14:paraId="0DF671DB">
            <w:pPr>
              <w:spacing w:before="240" w:after="120"/>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指标</w:t>
            </w:r>
          </w:p>
        </w:tc>
        <w:tc>
          <w:tcPr>
            <w:tcW w:w="2760" w:type="dxa"/>
            <w:shd w:val="clear" w:color="auto" w:fill="F2F4F7"/>
            <w:vAlign w:val="center"/>
          </w:tcPr>
          <w:p w14:paraId="2D329D7E">
            <w:pPr>
              <w:spacing w:before="240" w:after="120"/>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来源</w:t>
            </w:r>
          </w:p>
        </w:tc>
        <w:tc>
          <w:tcPr>
            <w:tcW w:w="1900" w:type="dxa"/>
            <w:shd w:val="clear" w:color="auto" w:fill="F2F4F7"/>
            <w:vAlign w:val="center"/>
          </w:tcPr>
          <w:p w14:paraId="54373AA7">
            <w:pPr>
              <w:spacing w:before="240" w:after="120"/>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刷新方式</w:t>
            </w:r>
          </w:p>
        </w:tc>
        <w:tc>
          <w:tcPr>
            <w:tcW w:w="2700" w:type="dxa"/>
            <w:shd w:val="clear" w:color="auto" w:fill="F2F4F7"/>
            <w:vAlign w:val="center"/>
          </w:tcPr>
          <w:p w14:paraId="4C8460D6">
            <w:pPr>
              <w:spacing w:before="240" w:after="120"/>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用途</w:t>
            </w:r>
          </w:p>
        </w:tc>
      </w:tr>
      <w:tr w14:paraId="4B990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2000" w:type="dxa"/>
            <w:vAlign w:val="center"/>
          </w:tcPr>
          <w:p w14:paraId="38C48AD9">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Active 当前系统人数</w:t>
            </w:r>
          </w:p>
        </w:tc>
        <w:tc>
          <w:tcPr>
            <w:tcW w:w="2760" w:type="dxa"/>
            <w:vAlign w:val="center"/>
          </w:tcPr>
          <w:p w14:paraId="09B2D0CD">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students 中未完成学生数量</w:t>
            </w:r>
          </w:p>
        </w:tc>
        <w:tc>
          <w:tcPr>
            <w:tcW w:w="1900" w:type="dxa"/>
            <w:vAlign w:val="center"/>
          </w:tcPr>
          <w:p w14:paraId="6D474EDC">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每个仿真 tick 后采样</w:t>
            </w:r>
          </w:p>
        </w:tc>
        <w:tc>
          <w:tcPr>
            <w:tcW w:w="2700" w:type="dxa"/>
            <w:vAlign w:val="center"/>
          </w:tcPr>
          <w:p w14:paraId="1F263C87">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判断系统总体客流压力。</w:t>
            </w:r>
          </w:p>
        </w:tc>
      </w:tr>
      <w:tr w14:paraId="10E0C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2000" w:type="dxa"/>
            <w:vAlign w:val="center"/>
          </w:tcPr>
          <w:p w14:paraId="164DDADC">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Queue 排队人数</w:t>
            </w:r>
          </w:p>
        </w:tc>
        <w:tc>
          <w:tcPr>
            <w:tcW w:w="2760" w:type="dxa"/>
            <w:vAlign w:val="center"/>
          </w:tcPr>
          <w:p w14:paraId="0793A369">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四个窗口 queue 长度合计</w:t>
            </w:r>
          </w:p>
        </w:tc>
        <w:tc>
          <w:tcPr>
            <w:tcW w:w="1900" w:type="dxa"/>
            <w:vAlign w:val="center"/>
          </w:tcPr>
          <w:p w14:paraId="73714D31">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每帧刷新</w:t>
            </w:r>
          </w:p>
        </w:tc>
        <w:tc>
          <w:tcPr>
            <w:tcW w:w="2700" w:type="dxa"/>
            <w:vAlign w:val="center"/>
          </w:tcPr>
          <w:p w14:paraId="67E795F2">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观察窗口排队拥堵情况。</w:t>
            </w:r>
          </w:p>
        </w:tc>
      </w:tr>
      <w:tr w14:paraId="05EAA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2000" w:type="dxa"/>
            <w:vAlign w:val="center"/>
          </w:tcPr>
          <w:p w14:paraId="1412868A">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Served 已服务人数</w:t>
            </w:r>
          </w:p>
        </w:tc>
        <w:tc>
          <w:tcPr>
            <w:tcW w:w="2760" w:type="dxa"/>
            <w:vAlign w:val="center"/>
          </w:tcPr>
          <w:p w14:paraId="1C2C52C1">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state.served</w:t>
            </w:r>
          </w:p>
        </w:tc>
        <w:tc>
          <w:tcPr>
            <w:tcW w:w="1900" w:type="dxa"/>
            <w:vAlign w:val="center"/>
          </w:tcPr>
          <w:p w14:paraId="5027DAD0">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服务结束时递增</w:t>
            </w:r>
          </w:p>
        </w:tc>
        <w:tc>
          <w:tcPr>
            <w:tcW w:w="2700" w:type="dxa"/>
            <w:vAlign w:val="center"/>
          </w:tcPr>
          <w:p w14:paraId="114BD7DC">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反映取餐完成量。</w:t>
            </w:r>
          </w:p>
        </w:tc>
      </w:tr>
      <w:tr w14:paraId="04630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2000" w:type="dxa"/>
            <w:vAlign w:val="center"/>
          </w:tcPr>
          <w:p w14:paraId="56C9E2D6">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Seat use 座位占用率</w:t>
            </w:r>
          </w:p>
        </w:tc>
        <w:tc>
          <w:tcPr>
            <w:tcW w:w="2760" w:type="dxa"/>
            <w:vAlign w:val="center"/>
          </w:tcPr>
          <w:p w14:paraId="0E0C7D76">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已占用座位/总座位</w:t>
            </w:r>
          </w:p>
        </w:tc>
        <w:tc>
          <w:tcPr>
            <w:tcW w:w="1900" w:type="dxa"/>
            <w:vAlign w:val="center"/>
          </w:tcPr>
          <w:p w14:paraId="74AF54C9">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每帧刷新</w:t>
            </w:r>
          </w:p>
        </w:tc>
        <w:tc>
          <w:tcPr>
            <w:tcW w:w="2700" w:type="dxa"/>
            <w:vAlign w:val="center"/>
          </w:tcPr>
          <w:p w14:paraId="5517B3E5">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评估就餐区资源利用率。</w:t>
            </w:r>
          </w:p>
        </w:tc>
      </w:tr>
      <w:tr w14:paraId="695FA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2000" w:type="dxa"/>
            <w:vAlign w:val="center"/>
          </w:tcPr>
          <w:p w14:paraId="6F5FD7AE">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Throughput 吞吐率</w:t>
            </w:r>
          </w:p>
        </w:tc>
        <w:tc>
          <w:tcPr>
            <w:tcW w:w="2760" w:type="dxa"/>
            <w:vAlign w:val="center"/>
          </w:tcPr>
          <w:p w14:paraId="68ABD1AB">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已服务人数/仿真时间</w:t>
            </w:r>
          </w:p>
        </w:tc>
        <w:tc>
          <w:tcPr>
            <w:tcW w:w="1900" w:type="dxa"/>
            <w:vAlign w:val="center"/>
          </w:tcPr>
          <w:p w14:paraId="5908B091">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每帧计算</w:t>
            </w:r>
          </w:p>
        </w:tc>
        <w:tc>
          <w:tcPr>
            <w:tcW w:w="2700" w:type="dxa"/>
            <w:vAlign w:val="center"/>
          </w:tcPr>
          <w:p w14:paraId="712B0468">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衡量单位时间服务能力。</w:t>
            </w:r>
          </w:p>
        </w:tc>
      </w:tr>
      <w:tr w14:paraId="2DFBF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2000" w:type="dxa"/>
            <w:vAlign w:val="center"/>
          </w:tcPr>
          <w:p w14:paraId="4BC4DC82">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Window load 窗口负载</w:t>
            </w:r>
          </w:p>
        </w:tc>
        <w:tc>
          <w:tcPr>
            <w:tcW w:w="2760" w:type="dxa"/>
            <w:vAlign w:val="center"/>
          </w:tcPr>
          <w:p w14:paraId="16790BD0">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各窗口队列和当前服务学生</w:t>
            </w:r>
          </w:p>
        </w:tc>
        <w:tc>
          <w:tcPr>
            <w:tcW w:w="1900" w:type="dxa"/>
            <w:vAlign w:val="center"/>
          </w:tcPr>
          <w:p w14:paraId="2E0A1991">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每帧刷新</w:t>
            </w:r>
          </w:p>
        </w:tc>
        <w:tc>
          <w:tcPr>
            <w:tcW w:w="2700" w:type="dxa"/>
            <w:vAlign w:val="center"/>
          </w:tcPr>
          <w:p w14:paraId="6F04FF58">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比较不同窗口压力差异。</w:t>
            </w:r>
          </w:p>
        </w:tc>
      </w:tr>
      <w:tr w14:paraId="181D9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2000" w:type="dxa"/>
            <w:vAlign w:val="center"/>
          </w:tcPr>
          <w:p w14:paraId="5BC16D8F">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Student state mix</w:t>
            </w:r>
          </w:p>
        </w:tc>
        <w:tc>
          <w:tcPr>
            <w:tcW w:w="2760" w:type="dxa"/>
            <w:vAlign w:val="center"/>
          </w:tcPr>
          <w:p w14:paraId="79BC056D">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Service/Eating/Waiting/Resting/Leaving 计数</w:t>
            </w:r>
          </w:p>
        </w:tc>
        <w:tc>
          <w:tcPr>
            <w:tcW w:w="1900" w:type="dxa"/>
            <w:vAlign w:val="center"/>
          </w:tcPr>
          <w:p w14:paraId="26C00B7E">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每帧刷新</w:t>
            </w:r>
          </w:p>
        </w:tc>
        <w:tc>
          <w:tcPr>
            <w:tcW w:w="2700" w:type="dxa"/>
            <w:vAlign w:val="center"/>
          </w:tcPr>
          <w:p w14:paraId="1C374B60">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展示学生状态结构和流程瓶颈。</w:t>
            </w:r>
          </w:p>
        </w:tc>
      </w:tr>
    </w:tbl>
    <w:p w14:paraId="4B018CCC">
      <w:pPr>
        <w:spacing w:before="240" w:after="120"/>
        <w:rPr>
          <w:rFonts w:hint="eastAsia"/>
          <w:lang w:eastAsia="zh-CN"/>
        </w:rPr>
      </w:pPr>
    </w:p>
    <w:p w14:paraId="471901AF">
      <w:pPr>
        <w:spacing w:before="240" w:after="120"/>
        <w:rPr>
          <w:rFonts w:hint="eastAsia"/>
          <w:lang w:eastAsia="zh-CN"/>
        </w:rPr>
      </w:pPr>
    </w:p>
    <w:p w14:paraId="58D1F03B">
      <w:pPr>
        <w:pStyle w:val="2"/>
        <w:bidi w:val="0"/>
        <w:spacing w:after="120" w:line="240" w:lineRule="auto"/>
        <w:rPr>
          <w:rFonts w:hint="eastAsia" w:ascii="宋体" w:hAnsi="宋体" w:eastAsia="宋体" w:cs="宋体"/>
          <w:b/>
          <w:color w:val="2E74B5"/>
          <w:sz w:val="32"/>
          <w:lang w:eastAsia="zh-CN"/>
        </w:rPr>
      </w:pPr>
      <w:r>
        <w:rPr>
          <w:rFonts w:hint="eastAsia" w:ascii="宋体" w:hAnsi="宋体" w:eastAsia="宋体" w:cs="宋体"/>
          <w:b/>
          <w:color w:val="2E74B5"/>
          <w:sz w:val="32"/>
          <w:lang w:eastAsia="zh-CN"/>
        </w:rPr>
        <w:t>七、问题记录与处理情况</w:t>
      </w:r>
    </w:p>
    <w:p w14:paraId="5B4A13AF">
      <w:pPr>
        <w:spacing w:before="240" w:after="120"/>
        <w:rPr>
          <w:rFonts w:hint="eastAsia"/>
          <w:lang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840"/>
        <w:gridCol w:w="2640"/>
        <w:gridCol w:w="2440"/>
        <w:gridCol w:w="3440"/>
      </w:tblGrid>
      <w:tr w14:paraId="28C70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840" w:type="dxa"/>
            <w:shd w:val="clear" w:color="auto" w:fill="F2F4F7"/>
            <w:vAlign w:val="center"/>
          </w:tcPr>
          <w:p w14:paraId="5843AB50">
            <w:pPr>
              <w:spacing w:before="240" w:after="120"/>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编号</w:t>
            </w:r>
          </w:p>
        </w:tc>
        <w:tc>
          <w:tcPr>
            <w:tcW w:w="2640" w:type="dxa"/>
            <w:shd w:val="clear" w:color="auto" w:fill="F2F4F7"/>
            <w:vAlign w:val="center"/>
          </w:tcPr>
          <w:p w14:paraId="59662B39">
            <w:pPr>
              <w:spacing w:before="240" w:after="120"/>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问题描述</w:t>
            </w:r>
          </w:p>
        </w:tc>
        <w:tc>
          <w:tcPr>
            <w:tcW w:w="2440" w:type="dxa"/>
            <w:shd w:val="clear" w:color="auto" w:fill="F2F4F7"/>
            <w:vAlign w:val="center"/>
          </w:tcPr>
          <w:p w14:paraId="48A0B861">
            <w:pPr>
              <w:spacing w:before="240" w:after="120"/>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原因分析</w:t>
            </w:r>
          </w:p>
        </w:tc>
        <w:tc>
          <w:tcPr>
            <w:tcW w:w="3440" w:type="dxa"/>
            <w:shd w:val="clear" w:color="auto" w:fill="F2F4F7"/>
            <w:vAlign w:val="center"/>
          </w:tcPr>
          <w:p w14:paraId="2DEA2B78">
            <w:pPr>
              <w:spacing w:before="240" w:after="120"/>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处理方式与状态</w:t>
            </w:r>
          </w:p>
        </w:tc>
      </w:tr>
      <w:tr w14:paraId="06484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840" w:type="dxa"/>
            <w:vAlign w:val="center"/>
          </w:tcPr>
          <w:p w14:paraId="464D45C8">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D-01</w:t>
            </w:r>
          </w:p>
        </w:tc>
        <w:tc>
          <w:tcPr>
            <w:tcW w:w="2640" w:type="dxa"/>
            <w:vAlign w:val="center"/>
          </w:tcPr>
          <w:p w14:paraId="1481EB37">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初版图表信息量不足、视觉效果较弱。</w:t>
            </w:r>
          </w:p>
        </w:tc>
        <w:tc>
          <w:tcPr>
            <w:tcW w:w="2440" w:type="dxa"/>
            <w:vAlign w:val="center"/>
          </w:tcPr>
          <w:p w14:paraId="17526E2E">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仅使用简单 GDI 折线图，展示维度偏少。</w:t>
            </w:r>
          </w:p>
        </w:tc>
        <w:tc>
          <w:tcPr>
            <w:tcW w:w="3440" w:type="dxa"/>
            <w:vAlign w:val="center"/>
          </w:tcPr>
          <w:p w14:paraId="203C84B9">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升级为 GDI+ 高清仪表盘，增加指标卡、趋势图、窗口负载和状态分布，完成。</w:t>
            </w:r>
          </w:p>
        </w:tc>
      </w:tr>
      <w:tr w14:paraId="0D78E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840" w:type="dxa"/>
            <w:vAlign w:val="center"/>
          </w:tcPr>
          <w:p w14:paraId="4F42700A">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D-02</w:t>
            </w:r>
          </w:p>
        </w:tc>
        <w:tc>
          <w:tcPr>
            <w:tcW w:w="2640" w:type="dxa"/>
            <w:vAlign w:val="center"/>
          </w:tcPr>
          <w:p w14:paraId="4A9F1EFC">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编译时出现 wWinMain 链接错误。</w:t>
            </w:r>
          </w:p>
        </w:tc>
        <w:tc>
          <w:tcPr>
            <w:tcW w:w="2440" w:type="dxa"/>
            <w:vAlign w:val="center"/>
          </w:tcPr>
          <w:p w14:paraId="2405028E">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编译参数 -municode 与当前 WinMain 入口不匹配。</w:t>
            </w:r>
          </w:p>
        </w:tc>
        <w:tc>
          <w:tcPr>
            <w:tcW w:w="3440" w:type="dxa"/>
            <w:vAlign w:val="center"/>
          </w:tcPr>
          <w:p w14:paraId="2DAB7AD2">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取消 -municode，保持 WinMain 入口方式，完成。</w:t>
            </w:r>
          </w:p>
        </w:tc>
      </w:tr>
      <w:tr w14:paraId="459F5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840" w:type="dxa"/>
            <w:vAlign w:val="center"/>
          </w:tcPr>
          <w:p w14:paraId="362F0567">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D-03</w:t>
            </w:r>
          </w:p>
        </w:tc>
        <w:tc>
          <w:tcPr>
            <w:tcW w:w="2640" w:type="dxa"/>
            <w:vAlign w:val="center"/>
          </w:tcPr>
          <w:p w14:paraId="1A2F6DB7">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引入 GDI+ 后出现 PROPID 类型未定义。</w:t>
            </w:r>
          </w:p>
        </w:tc>
        <w:tc>
          <w:tcPr>
            <w:tcW w:w="2440" w:type="dxa"/>
            <w:vAlign w:val="center"/>
          </w:tcPr>
          <w:p w14:paraId="0C7AC770">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MinGW 的 gdiplus.h 需要先包含 objidl.h。</w:t>
            </w:r>
          </w:p>
        </w:tc>
        <w:tc>
          <w:tcPr>
            <w:tcW w:w="3440" w:type="dxa"/>
            <w:vAlign w:val="center"/>
          </w:tcPr>
          <w:p w14:paraId="1792B8A5">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在相关源码中补充 #include &lt;objidl.h&gt;，完成。</w:t>
            </w:r>
          </w:p>
        </w:tc>
      </w:tr>
      <w:tr w14:paraId="4802C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840" w:type="dxa"/>
            <w:vAlign w:val="center"/>
          </w:tcPr>
          <w:p w14:paraId="576E43DE">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D-04</w:t>
            </w:r>
          </w:p>
        </w:tc>
        <w:tc>
          <w:tcPr>
            <w:tcW w:w="2640" w:type="dxa"/>
            <w:vAlign w:val="center"/>
          </w:tcPr>
          <w:p w14:paraId="72EA2EF4">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当前环境无法使用 git 命令。</w:t>
            </w:r>
          </w:p>
        </w:tc>
        <w:tc>
          <w:tcPr>
            <w:tcW w:w="2440" w:type="dxa"/>
            <w:vAlign w:val="center"/>
          </w:tcPr>
          <w:p w14:paraId="397F16D1">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git.exe 未加入系统 PATH 或未安装。</w:t>
            </w:r>
          </w:p>
        </w:tc>
        <w:tc>
          <w:tcPr>
            <w:tcW w:w="3440" w:type="dxa"/>
            <w:vAlign w:val="center"/>
          </w:tcPr>
          <w:p w14:paraId="22789DB2">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本次直接在源码文件中完成修改并重新编译验证，完成。</w:t>
            </w:r>
          </w:p>
        </w:tc>
      </w:tr>
    </w:tbl>
    <w:p w14:paraId="09F74216">
      <w:pPr>
        <w:spacing w:before="240" w:after="120"/>
        <w:rPr>
          <w:rFonts w:hint="eastAsia"/>
          <w:lang w:eastAsia="zh-CN"/>
        </w:rPr>
      </w:pPr>
    </w:p>
    <w:p w14:paraId="3146F5C3">
      <w:pPr>
        <w:spacing w:before="240" w:after="120"/>
        <w:rPr>
          <w:rFonts w:hint="eastAsia"/>
          <w:lang w:eastAsia="zh-CN"/>
        </w:rPr>
      </w:pPr>
    </w:p>
    <w:p w14:paraId="2B9E9196">
      <w:pPr>
        <w:pStyle w:val="2"/>
        <w:bidi w:val="0"/>
        <w:spacing w:after="120" w:line="240" w:lineRule="auto"/>
        <w:rPr>
          <w:rFonts w:hint="eastAsia" w:ascii="宋体" w:hAnsi="宋体" w:eastAsia="宋体" w:cs="宋体"/>
          <w:b/>
          <w:color w:val="2E74B5"/>
          <w:sz w:val="32"/>
          <w:lang w:eastAsia="zh-CN"/>
        </w:rPr>
      </w:pPr>
      <w:r>
        <w:rPr>
          <w:rFonts w:hint="eastAsia" w:ascii="宋体" w:hAnsi="宋体" w:eastAsia="宋体" w:cs="宋体"/>
          <w:b/>
          <w:color w:val="2E74B5"/>
          <w:sz w:val="32"/>
          <w:lang w:eastAsia="zh-CN"/>
        </w:rPr>
        <w:t>八、测试结论</w:t>
      </w:r>
    </w:p>
    <w:p w14:paraId="24B71CA2">
      <w:pPr>
        <w:spacing w:before="240" w:after="120"/>
        <w:rPr>
          <w:rFonts w:hint="eastAsia"/>
          <w:lang w:eastAsia="zh-CN"/>
        </w:rPr>
      </w:pPr>
    </w:p>
    <w:p w14:paraId="767497C1">
      <w:pPr>
        <w:spacing w:before="240" w:after="120" w:line="240" w:lineRule="auto"/>
        <w:rPr>
          <w:rFonts w:hint="eastAsia" w:ascii="宋体" w:hAnsi="宋体" w:eastAsia="宋体" w:cs="宋体"/>
          <w:b w:val="0"/>
          <w:sz w:val="21"/>
          <w:lang w:eastAsia="zh-CN"/>
        </w:rPr>
      </w:pPr>
      <w:r>
        <w:rPr>
          <w:rFonts w:hint="eastAsia" w:ascii="宋体" w:hAnsi="宋体" w:eastAsia="宋体" w:cs="宋体"/>
          <w:b w:val="0"/>
          <w:sz w:val="21"/>
          <w:lang w:eastAsia="zh-CN"/>
        </w:rPr>
        <w:t>经联调测试，系统主控入口、仿真逻辑、动画渲染和实时可视化仪表盘能够协同工作。程序启动后可在同一窗口中同时显示食堂动态动画和高清统计图表，统计指标能够随仿真状态实时刷新，暂停、继续、重置和编译运行均通过测试。综合判断，本阶段联调测试通过，系统具备进入后续验收和报告整理阶段的条件。</w:t>
      </w:r>
    </w:p>
    <w:p w14:paraId="3983F67D">
      <w:pPr>
        <w:spacing w:before="240" w:after="120" w:line="240" w:lineRule="auto"/>
        <w:rPr>
          <w:rFonts w:hint="eastAsia" w:ascii="宋体" w:hAnsi="宋体" w:eastAsia="宋体" w:cs="宋体"/>
          <w:b w:val="0"/>
          <w:sz w:val="21"/>
          <w:lang w:eastAsia="zh-CN"/>
        </w:rPr>
      </w:pPr>
    </w:p>
    <w:p w14:paraId="559FC136">
      <w:pPr>
        <w:rPr>
          <w:rFonts w:hint="eastAsia" w:ascii="宋体" w:hAnsi="宋体" w:eastAsia="宋体" w:cs="宋体"/>
          <w:b w:val="0"/>
          <w:sz w:val="21"/>
          <w:lang w:eastAsia="zh-CN"/>
        </w:rPr>
      </w:pPr>
      <w:r>
        <w:rPr>
          <w:rFonts w:hint="eastAsia" w:ascii="宋体" w:hAnsi="宋体" w:eastAsia="宋体" w:cs="宋体"/>
          <w:b w:val="0"/>
          <w:sz w:val="21"/>
          <w:lang w:eastAsia="zh-CN"/>
        </w:rPr>
        <w:br w:type="page"/>
      </w:r>
    </w:p>
    <w:p w14:paraId="4F9533DA">
      <w:pPr>
        <w:spacing w:before="240" w:after="120" w:line="240" w:lineRule="auto"/>
        <w:rPr>
          <w:rFonts w:hint="eastAsia" w:ascii="宋体" w:hAnsi="宋体" w:eastAsia="宋体" w:cs="宋体"/>
          <w:b w:val="0"/>
          <w:sz w:val="21"/>
          <w:lang w:eastAsia="zh-CN"/>
        </w:rPr>
      </w:pPr>
    </w:p>
    <w:p w14:paraId="1D2C23C1">
      <w:pPr>
        <w:pStyle w:val="2"/>
        <w:bidi w:val="0"/>
        <w:spacing w:after="120" w:line="240" w:lineRule="auto"/>
        <w:rPr>
          <w:rFonts w:hint="eastAsia" w:ascii="宋体" w:hAnsi="宋体" w:eastAsia="宋体" w:cs="宋体"/>
          <w:b/>
          <w:color w:val="2E74B5"/>
          <w:sz w:val="32"/>
          <w:lang w:eastAsia="zh-CN"/>
        </w:rPr>
      </w:pPr>
      <w:r>
        <w:rPr>
          <w:rFonts w:hint="eastAsia" w:ascii="宋体" w:hAnsi="宋体" w:eastAsia="宋体" w:cs="宋体"/>
          <w:b/>
          <w:color w:val="2E74B5"/>
          <w:sz w:val="32"/>
          <w:lang w:eastAsia="zh-CN"/>
        </w:rPr>
        <w:t>九、附录：本次联调涉及的主要源码变更</w:t>
      </w:r>
    </w:p>
    <w:p w14:paraId="29B102B8">
      <w:pPr>
        <w:spacing w:before="240" w:after="120"/>
        <w:rPr>
          <w:rFonts w:hint="eastAsia"/>
          <w:lang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600"/>
        <w:gridCol w:w="6760"/>
      </w:tblGrid>
      <w:tr w14:paraId="71DB2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2600" w:type="dxa"/>
            <w:shd w:val="clear" w:color="auto" w:fill="F2F4F7"/>
            <w:vAlign w:val="center"/>
          </w:tcPr>
          <w:p w14:paraId="33C54475">
            <w:pPr>
              <w:spacing w:before="240" w:after="120"/>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文件</w:t>
            </w:r>
          </w:p>
        </w:tc>
        <w:tc>
          <w:tcPr>
            <w:tcW w:w="6760" w:type="dxa"/>
            <w:shd w:val="clear" w:color="auto" w:fill="F2F4F7"/>
            <w:vAlign w:val="center"/>
          </w:tcPr>
          <w:p w14:paraId="1D9075B3">
            <w:pPr>
              <w:spacing w:before="240" w:after="120"/>
              <w:jc w:val="center"/>
              <w:rPr>
                <w:rFonts w:hint="eastAsia" w:ascii="宋体" w:hAnsi="宋体" w:eastAsia="宋体" w:cs="宋体"/>
                <w:b/>
                <w:sz w:val="18"/>
                <w:vertAlign w:val="baseline"/>
                <w:lang w:eastAsia="zh-CN"/>
              </w:rPr>
            </w:pPr>
            <w:r>
              <w:rPr>
                <w:rFonts w:hint="eastAsia" w:ascii="宋体" w:hAnsi="宋体" w:eastAsia="宋体" w:cs="宋体"/>
                <w:b/>
                <w:sz w:val="18"/>
                <w:vertAlign w:val="baseline"/>
                <w:lang w:eastAsia="zh-CN"/>
              </w:rPr>
              <w:t>主要变更</w:t>
            </w:r>
          </w:p>
        </w:tc>
      </w:tr>
      <w:tr w14:paraId="24E76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2600" w:type="dxa"/>
            <w:vAlign w:val="center"/>
          </w:tcPr>
          <w:p w14:paraId="6B6204BC">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cafeteria_types.h</w:t>
            </w:r>
          </w:p>
        </w:tc>
        <w:tc>
          <w:tcPr>
            <w:tcW w:w="6760" w:type="dxa"/>
            <w:vAlign w:val="center"/>
          </w:tcPr>
          <w:p w14:paraId="0A20BE53">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新增 SimulationMetrics、MetricSample、窗口宽度和历史采样长度配置。</w:t>
            </w:r>
          </w:p>
        </w:tc>
      </w:tr>
      <w:tr w14:paraId="7EC6F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2600" w:type="dxa"/>
            <w:vAlign w:val="center"/>
          </w:tcPr>
          <w:p w14:paraId="47E328FF">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cafeteria_simulation.cpp</w:t>
            </w:r>
          </w:p>
        </w:tc>
        <w:tc>
          <w:tcPr>
            <w:tcW w:w="6760" w:type="dxa"/>
            <w:vAlign w:val="center"/>
          </w:tcPr>
          <w:p w14:paraId="04E455F1">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新增 RecordMetrics 统计采集逻辑，并在重置和仿真更新后记录样本。</w:t>
            </w:r>
          </w:p>
        </w:tc>
      </w:tr>
      <w:tr w14:paraId="04D6B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2600" w:type="dxa"/>
            <w:vAlign w:val="center"/>
          </w:tcPr>
          <w:p w14:paraId="587D0D9F">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cafeteria_renderer.cpp</w:t>
            </w:r>
          </w:p>
        </w:tc>
        <w:tc>
          <w:tcPr>
            <w:tcW w:w="6760" w:type="dxa"/>
            <w:vAlign w:val="center"/>
          </w:tcPr>
          <w:p w14:paraId="54AD10F4">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新增 GDI+ 高清仪表盘绘制，包括指标卡、趋势曲线、柱状图和状态分布。</w:t>
            </w:r>
          </w:p>
        </w:tc>
      </w:tr>
      <w:tr w14:paraId="5AD89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wAfter w:w="0" w:type="auto"/>
        </w:trPr>
        <w:tc>
          <w:tcPr>
            <w:tcW w:w="2600" w:type="dxa"/>
            <w:vAlign w:val="center"/>
          </w:tcPr>
          <w:p w14:paraId="709DC31B">
            <w:pPr>
              <w:spacing w:before="240" w:after="120"/>
              <w:jc w:val="center"/>
              <w:rPr>
                <w:rFonts w:hint="eastAsia" w:ascii="宋体" w:hAnsi="宋体" w:eastAsia="宋体" w:cs="宋体"/>
                <w:sz w:val="18"/>
                <w:vertAlign w:val="baseline"/>
                <w:lang w:eastAsia="zh-CN"/>
              </w:rPr>
            </w:pPr>
            <w:r>
              <w:rPr>
                <w:rFonts w:hint="eastAsia" w:cs="宋体"/>
                <w:sz w:val="18"/>
                <w:vertAlign w:val="baseline"/>
                <w:lang w:eastAsia="zh-CN"/>
              </w:rPr>
              <w:t>cafeteria_visualizer.cpp</w:t>
            </w:r>
          </w:p>
        </w:tc>
        <w:tc>
          <w:tcPr>
            <w:tcW w:w="6760" w:type="dxa"/>
            <w:vAlign w:val="center"/>
          </w:tcPr>
          <w:p w14:paraId="6094B893">
            <w:pPr>
              <w:spacing w:before="240" w:after="120"/>
              <w:jc w:val="left"/>
              <w:rPr>
                <w:rFonts w:hint="eastAsia" w:ascii="宋体" w:hAnsi="宋体" w:eastAsia="宋体" w:cs="宋体"/>
                <w:sz w:val="18"/>
                <w:vertAlign w:val="baseline"/>
                <w:lang w:eastAsia="zh-CN"/>
              </w:rPr>
            </w:pPr>
            <w:r>
              <w:rPr>
                <w:rFonts w:hint="eastAsia" w:cs="宋体"/>
                <w:sz w:val="18"/>
                <w:vertAlign w:val="baseline"/>
                <w:lang w:eastAsia="zh-CN"/>
              </w:rPr>
              <w:t>新增 GDI+ 初始化与关闭流程，保持原有 Win32 消息循环。</w:t>
            </w:r>
          </w:p>
        </w:tc>
      </w:tr>
    </w:tbl>
    <w:p w14:paraId="6996FC0E">
      <w:pPr>
        <w:spacing w:before="240" w:after="120"/>
        <w:rPr>
          <w:rFonts w:hint="eastAsia"/>
          <w:lang w:eastAsia="zh-CN"/>
        </w:rPr>
      </w:pPr>
    </w:p>
    <w:p w14:paraId="578657B3">
      <w:pPr>
        <w:spacing w:before="240" w:after="120"/>
        <w:rPr>
          <w:rFonts w:hint="eastAsia"/>
          <w:lang w:eastAsia="zh-CN"/>
        </w:rPr>
      </w:pPr>
    </w:p>
    <w:sectPr>
      <w:headerReference r:id="rId3" w:type="default"/>
      <w:footerReference r:id="rId4" w:type="default"/>
      <w:pgSz w:w="11906" w:h="16838"/>
      <w:pgMar w:top="1440" w:right="1440" w:bottom="144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5D0E6">
    <w:pPr>
      <w:pStyle w:val="3"/>
      <w:jc w:val="center"/>
      <w:rPr>
        <w:rFonts w:hint="eastAsia" w:eastAsia="宋体"/>
        <w:lang w:eastAsia="zh-CN"/>
      </w:rPr>
    </w:pPr>
    <w:r>
      <w:rPr>
        <w:rFonts w:hint="eastAsia" w:ascii="宋体" w:hAnsi="宋体" w:eastAsia="宋体" w:cs="宋体"/>
        <w:b w:val="0"/>
        <w:color w:val="777777"/>
        <w:sz w:val="18"/>
        <w:lang w:eastAsia="zh-CN"/>
      </w:rPr>
      <w:t>北京交通大学就餐仿真系统联调测试报告</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D0B717">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67505D"/>
    <w:rsid w:val="186750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hint="eastAsia" w:ascii="宋体" w:hAnsi="宋体" w:eastAsia="宋体" w:cs="宋体"/>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eastAsia="黑体"/>
      <w:b/>
      <w:kern w:val="44"/>
      <w:sz w:val="44"/>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2026-05-31T15:38:00Z</dcterms:created>
  <dc:creator>子衿</dc:creator>
  <cp:lastModifiedBy>子衿</cp:lastModifiedBy>
  <dcterms:modified xsi:type="dcterms:W3CDTF">2026-05-31T15:38:24Z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5718BAF1029848CA8698C77E2BC1CA90_11</vt:lpwstr>
  </property>
  <property fmtid="{D5CDD505-2E9C-101B-9397-08002B2CF9AE}" pid="4" name="KSOTemplateDocerSaveRecord">
    <vt:lpwstr>eyJoZGlkIjoiZDFlNjA5OTI2NjU0YzgxNmU4N2NmNmRkMTQ1MjdhOTIiLCJ1c2VySWQiOiIxNjM0MjE4Mjg5In0=</vt:lpwstr>
  </property>
</Properties>
</file>