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1125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4410"/>
        <w:gridCol w:w="1260"/>
        <w:gridCol w:w="1260"/>
        <w:gridCol w:w="900"/>
        <w:gridCol w:w="1260"/>
        <w:gridCol w:w="1260"/>
        <w:gridCol w:w="900"/>
      </w:tblGrid>
      <w:tr w:rsidR="00D31D77" w:rsidTr="00056DFA">
        <w:tc>
          <w:tcPr>
            <w:tcW w:w="4410" w:type="dxa"/>
            <w:vMerge w:val="restart"/>
          </w:tcPr>
          <w:p w:rsidR="00D31D77" w:rsidRDefault="00D31D77" w:rsidP="00056DFA"/>
        </w:tc>
        <w:tc>
          <w:tcPr>
            <w:tcW w:w="3420" w:type="dxa"/>
            <w:gridSpan w:val="3"/>
          </w:tcPr>
          <w:p w:rsidR="00D31D77" w:rsidRPr="001718C8" w:rsidRDefault="00D31D77" w:rsidP="00056DFA">
            <w:pPr>
              <w:jc w:val="center"/>
              <w:rPr>
                <w:b/>
              </w:rPr>
            </w:pPr>
            <w:r>
              <w:rPr>
                <w:b/>
              </w:rPr>
              <w:t>Prolactinomas</w:t>
            </w:r>
          </w:p>
        </w:tc>
        <w:tc>
          <w:tcPr>
            <w:tcW w:w="3420" w:type="dxa"/>
            <w:gridSpan w:val="3"/>
          </w:tcPr>
          <w:p w:rsidR="00D31D77" w:rsidRPr="001718C8" w:rsidRDefault="00D31D77" w:rsidP="00056DFA">
            <w:pPr>
              <w:jc w:val="center"/>
              <w:rPr>
                <w:b/>
              </w:rPr>
            </w:pPr>
            <w:r>
              <w:rPr>
                <w:b/>
              </w:rPr>
              <w:t>NF-PitNETs</w:t>
            </w:r>
          </w:p>
        </w:tc>
      </w:tr>
      <w:tr w:rsidR="00D31D77" w:rsidTr="00056DFA">
        <w:tc>
          <w:tcPr>
            <w:tcW w:w="4410" w:type="dxa"/>
            <w:vMerge/>
          </w:tcPr>
          <w:p w:rsidR="00D31D77" w:rsidRDefault="00D31D77" w:rsidP="00056DFA"/>
        </w:tc>
        <w:tc>
          <w:tcPr>
            <w:tcW w:w="1260" w:type="dxa"/>
          </w:tcPr>
          <w:p w:rsidR="00D31D77" w:rsidRPr="001718C8" w:rsidRDefault="00D31D77" w:rsidP="00056DFA">
            <w:pPr>
              <w:jc w:val="center"/>
              <w:rPr>
                <w:b/>
              </w:rPr>
            </w:pPr>
            <w:r w:rsidRPr="001718C8">
              <w:rPr>
                <w:b/>
                <w:i/>
              </w:rPr>
              <w:t>AIP</w:t>
            </w:r>
            <w:r w:rsidRPr="001718C8">
              <w:rPr>
                <w:b/>
              </w:rPr>
              <w:t>mut</w:t>
            </w:r>
          </w:p>
          <w:p w:rsidR="00D31D77" w:rsidRPr="00672A4B" w:rsidRDefault="00D31D77" w:rsidP="00056DFA">
            <w:pPr>
              <w:jc w:val="center"/>
            </w:pPr>
            <w:r w:rsidRPr="00672A4B">
              <w:t>n=</w:t>
            </w:r>
            <w:r>
              <w:t>17</w:t>
            </w:r>
          </w:p>
        </w:tc>
        <w:tc>
          <w:tcPr>
            <w:tcW w:w="1260" w:type="dxa"/>
          </w:tcPr>
          <w:p w:rsidR="00D31D77" w:rsidRPr="001718C8" w:rsidRDefault="00D31D77" w:rsidP="00056DFA">
            <w:pPr>
              <w:jc w:val="center"/>
              <w:rPr>
                <w:b/>
              </w:rPr>
            </w:pPr>
            <w:r w:rsidRPr="001718C8">
              <w:rPr>
                <w:b/>
                <w:i/>
              </w:rPr>
              <w:t>AIP</w:t>
            </w:r>
            <w:r w:rsidRPr="001718C8">
              <w:rPr>
                <w:b/>
              </w:rPr>
              <w:t>neg</w:t>
            </w:r>
          </w:p>
          <w:p w:rsidR="00D31D77" w:rsidRPr="00672A4B" w:rsidRDefault="00D31D77" w:rsidP="00056DFA">
            <w:pPr>
              <w:jc w:val="center"/>
            </w:pPr>
            <w:r w:rsidRPr="00672A4B">
              <w:t>n=</w:t>
            </w:r>
            <w:r>
              <w:t>377</w:t>
            </w:r>
          </w:p>
        </w:tc>
        <w:tc>
          <w:tcPr>
            <w:tcW w:w="900" w:type="dxa"/>
          </w:tcPr>
          <w:p w:rsidR="00D31D77" w:rsidRPr="001718C8" w:rsidRDefault="00D31D77" w:rsidP="00056DFA">
            <w:pPr>
              <w:jc w:val="center"/>
              <w:rPr>
                <w:b/>
              </w:rPr>
            </w:pPr>
            <w:r w:rsidRPr="001718C8">
              <w:rPr>
                <w:b/>
                <w:i/>
              </w:rPr>
              <w:t xml:space="preserve">p </w:t>
            </w:r>
            <w:r w:rsidRPr="001718C8">
              <w:rPr>
                <w:b/>
              </w:rPr>
              <w:t>value</w:t>
            </w:r>
          </w:p>
        </w:tc>
        <w:tc>
          <w:tcPr>
            <w:tcW w:w="1260" w:type="dxa"/>
          </w:tcPr>
          <w:p w:rsidR="00D31D77" w:rsidRPr="001718C8" w:rsidRDefault="00D31D77" w:rsidP="00056DFA">
            <w:pPr>
              <w:jc w:val="center"/>
              <w:rPr>
                <w:b/>
              </w:rPr>
            </w:pPr>
            <w:r w:rsidRPr="001718C8">
              <w:rPr>
                <w:b/>
                <w:i/>
              </w:rPr>
              <w:t>AIP</w:t>
            </w:r>
            <w:r w:rsidRPr="001718C8">
              <w:rPr>
                <w:b/>
              </w:rPr>
              <w:t>mut</w:t>
            </w:r>
          </w:p>
          <w:p w:rsidR="00D31D77" w:rsidRPr="00672A4B" w:rsidRDefault="00D31D77" w:rsidP="00056DFA">
            <w:pPr>
              <w:jc w:val="center"/>
            </w:pPr>
            <w:r w:rsidRPr="00672A4B">
              <w:t>n=</w:t>
            </w:r>
            <w:r>
              <w:t>14</w:t>
            </w:r>
          </w:p>
        </w:tc>
        <w:tc>
          <w:tcPr>
            <w:tcW w:w="1260" w:type="dxa"/>
          </w:tcPr>
          <w:p w:rsidR="00D31D77" w:rsidRPr="001718C8" w:rsidRDefault="00D31D77" w:rsidP="00056DFA">
            <w:pPr>
              <w:jc w:val="center"/>
              <w:rPr>
                <w:b/>
              </w:rPr>
            </w:pPr>
            <w:r w:rsidRPr="001718C8">
              <w:rPr>
                <w:b/>
                <w:i/>
              </w:rPr>
              <w:t>AIP</w:t>
            </w:r>
            <w:r w:rsidRPr="001718C8">
              <w:rPr>
                <w:b/>
              </w:rPr>
              <w:t>neg</w:t>
            </w:r>
          </w:p>
          <w:p w:rsidR="00D31D77" w:rsidRPr="00672A4B" w:rsidRDefault="00D31D77" w:rsidP="00056DFA">
            <w:pPr>
              <w:jc w:val="center"/>
            </w:pPr>
            <w:r w:rsidRPr="00672A4B">
              <w:t>n=</w:t>
            </w:r>
            <w:r>
              <w:t>172</w:t>
            </w:r>
          </w:p>
        </w:tc>
        <w:tc>
          <w:tcPr>
            <w:tcW w:w="900" w:type="dxa"/>
          </w:tcPr>
          <w:p w:rsidR="00D31D77" w:rsidRPr="001718C8" w:rsidRDefault="00D31D77" w:rsidP="00056DFA">
            <w:pPr>
              <w:jc w:val="center"/>
              <w:rPr>
                <w:b/>
              </w:rPr>
            </w:pPr>
            <w:r w:rsidRPr="001718C8">
              <w:rPr>
                <w:b/>
                <w:i/>
              </w:rPr>
              <w:t xml:space="preserve">p </w:t>
            </w:r>
            <w:r w:rsidRPr="001718C8">
              <w:rPr>
                <w:b/>
              </w:rPr>
              <w:t>value</w:t>
            </w:r>
          </w:p>
        </w:tc>
      </w:tr>
      <w:tr w:rsidR="00D31D77" w:rsidTr="00056DFA">
        <w:tc>
          <w:tcPr>
            <w:tcW w:w="4410" w:type="dxa"/>
          </w:tcPr>
          <w:p w:rsidR="00D31D77" w:rsidRPr="005D0EE4" w:rsidRDefault="00D31D77" w:rsidP="00056DFA">
            <w:pPr>
              <w:rPr>
                <w:b/>
              </w:rPr>
            </w:pPr>
            <w:r w:rsidRPr="005D0EE4">
              <w:rPr>
                <w:b/>
              </w:rPr>
              <w:t>Cohort type based on family history of PitNETs</w:t>
            </w:r>
          </w:p>
          <w:p w:rsidR="00D31D77" w:rsidRPr="005D0EE4" w:rsidRDefault="00D31D77" w:rsidP="00056DFA">
            <w:r w:rsidRPr="005D0EE4">
              <w:t>Familial cohort</w:t>
            </w:r>
          </w:p>
          <w:p w:rsidR="00D31D77" w:rsidRPr="00FC3C7E" w:rsidRDefault="00D31D77" w:rsidP="00056DFA">
            <w:pPr>
              <w:rPr>
                <w:highlight w:val="yellow"/>
              </w:rPr>
            </w:pPr>
            <w:r w:rsidRPr="005D0EE4">
              <w:t>Sporadic cohort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</w:p>
          <w:p w:rsidR="00D31D77" w:rsidRDefault="00D31D77" w:rsidP="00056DFA">
            <w:pPr>
              <w:jc w:val="center"/>
            </w:pPr>
            <w:r>
              <w:t>82.4%</w:t>
            </w:r>
          </w:p>
          <w:p w:rsidR="00D31D77" w:rsidRDefault="00D31D77" w:rsidP="00056DFA">
            <w:pPr>
              <w:jc w:val="center"/>
            </w:pPr>
            <w:r>
              <w:t>17.6%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</w:p>
          <w:p w:rsidR="00D31D77" w:rsidRDefault="00D31D77" w:rsidP="00056DFA">
            <w:pPr>
              <w:jc w:val="center"/>
            </w:pPr>
            <w:r>
              <w:t>48.5%</w:t>
            </w:r>
          </w:p>
          <w:p w:rsidR="00D31D77" w:rsidRDefault="00D31D77" w:rsidP="00056DFA">
            <w:pPr>
              <w:jc w:val="center"/>
            </w:pPr>
            <w:r>
              <w:t>51.5%</w:t>
            </w:r>
          </w:p>
        </w:tc>
        <w:tc>
          <w:tcPr>
            <w:tcW w:w="900" w:type="dxa"/>
          </w:tcPr>
          <w:p w:rsidR="00D31D77" w:rsidRDefault="00D31D77" w:rsidP="00056DFA">
            <w:pPr>
              <w:jc w:val="center"/>
            </w:pPr>
          </w:p>
          <w:p w:rsidR="00D31D77" w:rsidRPr="006906CB" w:rsidRDefault="00D31D77" w:rsidP="00056DFA">
            <w:pPr>
              <w:jc w:val="center"/>
              <w:rPr>
                <w:b/>
              </w:rPr>
            </w:pPr>
            <w:r w:rsidRPr="006906CB">
              <w:rPr>
                <w:b/>
              </w:rPr>
              <w:t>0.00</w:t>
            </w:r>
            <w:r>
              <w:rPr>
                <w:b/>
              </w:rPr>
              <w:t>6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</w:p>
          <w:p w:rsidR="00D31D77" w:rsidRDefault="00D31D77" w:rsidP="00056DFA">
            <w:pPr>
              <w:jc w:val="center"/>
            </w:pPr>
            <w:r>
              <w:t>100%</w:t>
            </w:r>
          </w:p>
          <w:p w:rsidR="00D31D77" w:rsidRDefault="00D31D77" w:rsidP="00056DFA">
            <w:pPr>
              <w:jc w:val="center"/>
            </w:pPr>
            <w:r>
              <w:t>0%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</w:p>
          <w:p w:rsidR="00D31D77" w:rsidRDefault="00D31D77" w:rsidP="00056DFA">
            <w:pPr>
              <w:jc w:val="center"/>
            </w:pPr>
            <w:r>
              <w:t>68.6%</w:t>
            </w:r>
          </w:p>
          <w:p w:rsidR="00D31D77" w:rsidRDefault="00D31D77" w:rsidP="00056DFA">
            <w:pPr>
              <w:jc w:val="center"/>
            </w:pPr>
            <w:r>
              <w:t>31.4%</w:t>
            </w:r>
          </w:p>
        </w:tc>
        <w:tc>
          <w:tcPr>
            <w:tcW w:w="900" w:type="dxa"/>
          </w:tcPr>
          <w:p w:rsidR="00D31D77" w:rsidRDefault="00D31D77" w:rsidP="00056DFA">
            <w:pPr>
              <w:jc w:val="center"/>
            </w:pPr>
          </w:p>
          <w:p w:rsidR="00D31D77" w:rsidRPr="006906CB" w:rsidRDefault="00D31D77" w:rsidP="00056DFA">
            <w:pPr>
              <w:jc w:val="center"/>
              <w:rPr>
                <w:b/>
              </w:rPr>
            </w:pPr>
            <w:r w:rsidRPr="006906CB">
              <w:rPr>
                <w:b/>
              </w:rPr>
              <w:t>0.</w:t>
            </w:r>
            <w:r>
              <w:rPr>
                <w:b/>
              </w:rPr>
              <w:t>013</w:t>
            </w:r>
          </w:p>
        </w:tc>
      </w:tr>
      <w:tr w:rsidR="00D31D77" w:rsidTr="00056DFA">
        <w:tc>
          <w:tcPr>
            <w:tcW w:w="4410" w:type="dxa"/>
          </w:tcPr>
          <w:p w:rsidR="00D31D77" w:rsidRPr="005D0EE4" w:rsidRDefault="00D31D77" w:rsidP="00056DFA">
            <w:pPr>
              <w:rPr>
                <w:b/>
              </w:rPr>
            </w:pPr>
            <w:r w:rsidRPr="005D0EE4">
              <w:rPr>
                <w:b/>
              </w:rPr>
              <w:t>Gender</w:t>
            </w:r>
          </w:p>
          <w:p w:rsidR="00D31D77" w:rsidRPr="005D0EE4" w:rsidRDefault="00D31D77" w:rsidP="00056DFA">
            <w:r w:rsidRPr="005D0EE4">
              <w:t>Male</w:t>
            </w:r>
          </w:p>
          <w:p w:rsidR="00D31D77" w:rsidRPr="00FC3C7E" w:rsidRDefault="00D31D77" w:rsidP="00056DFA">
            <w:pPr>
              <w:rPr>
                <w:highlight w:val="yellow"/>
              </w:rPr>
            </w:pPr>
            <w:r w:rsidRPr="005D0EE4">
              <w:t>Female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</w:p>
          <w:p w:rsidR="00D31D77" w:rsidRDefault="00D31D77" w:rsidP="00056DFA">
            <w:pPr>
              <w:jc w:val="center"/>
            </w:pPr>
            <w:r>
              <w:t>52.9%</w:t>
            </w:r>
          </w:p>
          <w:p w:rsidR="00D31D77" w:rsidRDefault="00D31D77" w:rsidP="00056DFA">
            <w:pPr>
              <w:jc w:val="center"/>
            </w:pPr>
            <w:r>
              <w:t>47.1%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</w:p>
          <w:p w:rsidR="00D31D77" w:rsidRDefault="00D31D77" w:rsidP="00056DFA">
            <w:pPr>
              <w:jc w:val="center"/>
            </w:pPr>
            <w:r>
              <w:t>33.2%</w:t>
            </w:r>
          </w:p>
          <w:p w:rsidR="00D31D77" w:rsidRDefault="00D31D77" w:rsidP="00056DFA">
            <w:pPr>
              <w:jc w:val="center"/>
            </w:pPr>
            <w:r>
              <w:t>66.8%</w:t>
            </w:r>
          </w:p>
        </w:tc>
        <w:tc>
          <w:tcPr>
            <w:tcW w:w="900" w:type="dxa"/>
          </w:tcPr>
          <w:p w:rsidR="00D31D77" w:rsidRDefault="00D31D77" w:rsidP="00056DFA">
            <w:pPr>
              <w:jc w:val="center"/>
            </w:pPr>
          </w:p>
          <w:p w:rsidR="00D31D77" w:rsidRPr="007D0545" w:rsidRDefault="00D31D77" w:rsidP="00056DFA">
            <w:pPr>
              <w:jc w:val="center"/>
            </w:pPr>
            <w:r w:rsidRPr="007D0545">
              <w:t>0.</w:t>
            </w:r>
            <w:r>
              <w:t>092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</w:p>
          <w:p w:rsidR="00D31D77" w:rsidRDefault="00D31D77" w:rsidP="00056DFA">
            <w:pPr>
              <w:jc w:val="center"/>
            </w:pPr>
            <w:r>
              <w:t>64.3%</w:t>
            </w:r>
          </w:p>
          <w:p w:rsidR="00D31D77" w:rsidRDefault="00D31D77" w:rsidP="00056DFA">
            <w:pPr>
              <w:jc w:val="center"/>
            </w:pPr>
            <w:r>
              <w:t>35.7%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</w:p>
          <w:p w:rsidR="00D31D77" w:rsidRDefault="00D31D77" w:rsidP="00056DFA">
            <w:pPr>
              <w:jc w:val="center"/>
            </w:pPr>
            <w:r>
              <w:t>57.0%</w:t>
            </w:r>
          </w:p>
          <w:p w:rsidR="00D31D77" w:rsidRDefault="00D31D77" w:rsidP="00056DFA">
            <w:pPr>
              <w:jc w:val="center"/>
            </w:pPr>
            <w:r>
              <w:t>43.0%</w:t>
            </w:r>
          </w:p>
        </w:tc>
        <w:tc>
          <w:tcPr>
            <w:tcW w:w="900" w:type="dxa"/>
          </w:tcPr>
          <w:p w:rsidR="00D31D77" w:rsidRDefault="00D31D77" w:rsidP="00056DFA">
            <w:pPr>
              <w:jc w:val="center"/>
            </w:pPr>
          </w:p>
          <w:p w:rsidR="00D31D77" w:rsidRPr="007D0545" w:rsidRDefault="00D31D77" w:rsidP="00056DFA">
            <w:pPr>
              <w:jc w:val="center"/>
            </w:pPr>
            <w:r w:rsidRPr="007D0545">
              <w:t>0.</w:t>
            </w:r>
            <w:r>
              <w:t>595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</w:rPr>
            </w:pPr>
            <w:r w:rsidRPr="00C3452F">
              <w:rPr>
                <w:b/>
              </w:rPr>
              <w:t xml:space="preserve">Age at disease onset </w:t>
            </w:r>
            <w:r w:rsidRPr="00C3452F">
              <w:rPr>
                <w:b/>
                <w:color w:val="000000" w:themeColor="text1"/>
                <w:shd w:val="clear" w:color="auto" w:fill="FFFFFF"/>
              </w:rPr>
              <w:t xml:space="preserve">≤ 18 </w:t>
            </w:r>
            <w:proofErr w:type="spellStart"/>
            <w:r w:rsidRPr="00C3452F">
              <w:rPr>
                <w:b/>
                <w:color w:val="000000" w:themeColor="text1"/>
                <w:shd w:val="clear" w:color="auto" w:fill="FFFFFF"/>
              </w:rPr>
              <w:t>yr</w:t>
            </w:r>
            <w:proofErr w:type="spellEnd"/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45.5%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40.6%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5057CA">
              <w:t>0.</w:t>
            </w:r>
            <w:r>
              <w:t>747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50.0%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12.4%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  <w:rPr>
                <w:b/>
              </w:rPr>
            </w:pPr>
            <w:r w:rsidRPr="00983DBB">
              <w:rPr>
                <w:b/>
              </w:rPr>
              <w:t>0.00</w:t>
            </w:r>
            <w:r>
              <w:rPr>
                <w:b/>
              </w:rPr>
              <w:t>3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</w:rPr>
            </w:pPr>
            <w:r w:rsidRPr="00A4422B">
              <w:rPr>
                <w:b/>
              </w:rPr>
              <w:t>Age at first symptoms (</w:t>
            </w:r>
            <w:proofErr w:type="spellStart"/>
            <w:r w:rsidRPr="00A4422B">
              <w:rPr>
                <w:b/>
              </w:rPr>
              <w:t>yr</w:t>
            </w:r>
            <w:proofErr w:type="spellEnd"/>
            <w:r w:rsidRPr="00A4422B">
              <w:rPr>
                <w:b/>
              </w:rPr>
              <w:t>)</w:t>
            </w:r>
          </w:p>
        </w:tc>
        <w:tc>
          <w:tcPr>
            <w:tcW w:w="1260" w:type="dxa"/>
          </w:tcPr>
          <w:p w:rsidR="00D31D77" w:rsidRPr="001F0BEF" w:rsidRDefault="00D31D77" w:rsidP="00056DFA">
            <w:pPr>
              <w:jc w:val="center"/>
            </w:pPr>
            <w:r>
              <w:t>27.5 ± 17.9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24.1 ± 10.8</w:t>
            </w:r>
          </w:p>
        </w:tc>
        <w:tc>
          <w:tcPr>
            <w:tcW w:w="900" w:type="dxa"/>
          </w:tcPr>
          <w:p w:rsidR="00D31D77" w:rsidRPr="00D31890" w:rsidRDefault="00D31D77" w:rsidP="00056DFA">
            <w:pPr>
              <w:jc w:val="center"/>
            </w:pPr>
            <w:r w:rsidRPr="00D31890">
              <w:t>0.</w:t>
            </w:r>
            <w:r>
              <w:t>959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22.6 ± 7.7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36.6 ± 17.3</w:t>
            </w:r>
          </w:p>
        </w:tc>
        <w:tc>
          <w:tcPr>
            <w:tcW w:w="900" w:type="dxa"/>
          </w:tcPr>
          <w:p w:rsidR="00D31D77" w:rsidRPr="00A4422B" w:rsidRDefault="00D31D77" w:rsidP="00056DFA">
            <w:pPr>
              <w:jc w:val="center"/>
              <w:rPr>
                <w:b/>
              </w:rPr>
            </w:pPr>
            <w:r w:rsidRPr="00A4422B">
              <w:rPr>
                <w:b/>
              </w:rPr>
              <w:t>0.016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highlight w:val="yellow"/>
              </w:rPr>
            </w:pPr>
            <w:r w:rsidRPr="00FB5405">
              <w:rPr>
                <w:b/>
              </w:rPr>
              <w:t>Age at diagnosis (</w:t>
            </w:r>
            <w:proofErr w:type="spellStart"/>
            <w:r w:rsidRPr="00FB5405">
              <w:rPr>
                <w:b/>
              </w:rPr>
              <w:t>yr</w:t>
            </w:r>
            <w:proofErr w:type="spellEnd"/>
            <w:r w:rsidRPr="00FB5405">
              <w:rPr>
                <w:b/>
              </w:rPr>
              <w:t>)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30.7 ± 16.5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26.2 ± 11.2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D31890">
              <w:t>0.</w:t>
            </w:r>
            <w:r>
              <w:t>619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29.2 ± 14.8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39.4 ± 17.3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  <w:rPr>
                <w:b/>
              </w:rPr>
            </w:pPr>
            <w:r w:rsidRPr="00A4422B">
              <w:rPr>
                <w:b/>
              </w:rPr>
              <w:t>0.038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highlight w:val="yellow"/>
              </w:rPr>
            </w:pPr>
            <w:r w:rsidRPr="00F539AA">
              <w:rPr>
                <w:b/>
              </w:rPr>
              <w:t>Delay in diagnosis (</w:t>
            </w:r>
            <w:proofErr w:type="spellStart"/>
            <w:r w:rsidRPr="00F539AA">
              <w:rPr>
                <w:b/>
              </w:rPr>
              <w:t>yr</w:t>
            </w:r>
            <w:proofErr w:type="spellEnd"/>
            <w:r w:rsidRPr="00F539AA">
              <w:rPr>
                <w:b/>
              </w:rPr>
              <w:t>)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4.5 ± 8.8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2.4 ± 4.6</w:t>
            </w:r>
          </w:p>
        </w:tc>
        <w:tc>
          <w:tcPr>
            <w:tcW w:w="900" w:type="dxa"/>
          </w:tcPr>
          <w:p w:rsidR="00D31D77" w:rsidRPr="00B05E2F" w:rsidRDefault="00D31D77" w:rsidP="00056DFA">
            <w:pPr>
              <w:jc w:val="center"/>
            </w:pPr>
            <w:r>
              <w:t>0.665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1.1 ± 2.3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1.5 ± 3.3</w:t>
            </w:r>
          </w:p>
        </w:tc>
        <w:tc>
          <w:tcPr>
            <w:tcW w:w="900" w:type="dxa"/>
          </w:tcPr>
          <w:p w:rsidR="00D31D77" w:rsidRPr="00B05E2F" w:rsidRDefault="00D31D77" w:rsidP="00056DFA">
            <w:pPr>
              <w:jc w:val="center"/>
            </w:pPr>
            <w:r>
              <w:t>0.761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</w:rPr>
            </w:pPr>
            <w:r w:rsidRPr="005D0EE4">
              <w:rPr>
                <w:b/>
              </w:rPr>
              <w:t>Pituitary apoplexy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16.7%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2.8%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  <w:rPr>
                <w:b/>
              </w:rPr>
            </w:pPr>
            <w:r w:rsidRPr="006906CB">
              <w:rPr>
                <w:b/>
              </w:rPr>
              <w:t>0.0</w:t>
            </w:r>
            <w:r>
              <w:rPr>
                <w:b/>
              </w:rPr>
              <w:t>09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8.6%</w:t>
            </w:r>
          </w:p>
        </w:tc>
        <w:tc>
          <w:tcPr>
            <w:tcW w:w="900" w:type="dxa"/>
          </w:tcPr>
          <w:p w:rsidR="00D31D77" w:rsidRPr="00301642" w:rsidRDefault="00D31D77" w:rsidP="00056DFA">
            <w:pPr>
              <w:jc w:val="center"/>
            </w:pPr>
            <w:r w:rsidRPr="00301642">
              <w:t>0.</w:t>
            </w:r>
            <w:r>
              <w:t>270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</w:rPr>
            </w:pPr>
            <w:r w:rsidRPr="005D0EE4">
              <w:rPr>
                <w:b/>
              </w:rPr>
              <w:t>Hypopituitarism at diagnosis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62.5%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59.0%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>
              <w:t>0.846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9.1%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41.5%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  <w:rPr>
                <w:b/>
              </w:rPr>
            </w:pPr>
            <w:r w:rsidRPr="0037602A">
              <w:rPr>
                <w:b/>
              </w:rPr>
              <w:t>0.041</w:t>
            </w:r>
          </w:p>
        </w:tc>
      </w:tr>
      <w:tr w:rsidR="00D31D77" w:rsidRPr="00F539AA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</w:rPr>
            </w:pPr>
            <w:r w:rsidRPr="00F539AA">
              <w:rPr>
                <w:b/>
              </w:rPr>
              <w:t>Number of pituitary deficiencies at diagnosis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1.38 ± 1.51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0.93 ± 1.04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>
              <w:t>0.470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0.18 ± 0.60</w:t>
            </w:r>
          </w:p>
        </w:tc>
        <w:tc>
          <w:tcPr>
            <w:tcW w:w="1260" w:type="dxa"/>
          </w:tcPr>
          <w:p w:rsidR="00D31D77" w:rsidRPr="00F539AA" w:rsidRDefault="00D31D77" w:rsidP="00056DFA">
            <w:pPr>
              <w:jc w:val="center"/>
              <w:rPr>
                <w:lang w:val="pt-PT"/>
              </w:rPr>
            </w:pPr>
            <w:r w:rsidRPr="00F539AA">
              <w:rPr>
                <w:lang w:val="pt-PT"/>
              </w:rPr>
              <w:t>1.</w:t>
            </w:r>
            <w:r>
              <w:rPr>
                <w:lang w:val="pt-PT"/>
              </w:rPr>
              <w:t>00</w:t>
            </w:r>
            <w:r w:rsidRPr="00F539AA">
              <w:rPr>
                <w:lang w:val="pt-PT"/>
              </w:rPr>
              <w:t xml:space="preserve"> ± 1.</w:t>
            </w:r>
            <w:r>
              <w:rPr>
                <w:lang w:val="pt-PT"/>
              </w:rPr>
              <w:t>4</w:t>
            </w:r>
            <w:r w:rsidRPr="00F539AA">
              <w:rPr>
                <w:lang w:val="pt-PT"/>
              </w:rPr>
              <w:t>0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  <w:rPr>
                <w:b/>
                <w:lang w:val="pt-PT"/>
              </w:rPr>
            </w:pPr>
            <w:r w:rsidRPr="00F539AA">
              <w:rPr>
                <w:b/>
                <w:lang w:val="pt-PT"/>
              </w:rPr>
              <w:t>0.045</w:t>
            </w:r>
          </w:p>
        </w:tc>
      </w:tr>
      <w:tr w:rsidR="00D31D77" w:rsidRPr="00F539AA" w:rsidTr="00056DFA">
        <w:tc>
          <w:tcPr>
            <w:tcW w:w="4410" w:type="dxa"/>
          </w:tcPr>
          <w:p w:rsidR="00D31D77" w:rsidRPr="00F539AA" w:rsidRDefault="00D31D77" w:rsidP="00056DFA">
            <w:pPr>
              <w:rPr>
                <w:b/>
                <w:highlight w:val="yellow"/>
                <w:lang w:val="pt-PT"/>
              </w:rPr>
            </w:pPr>
            <w:r w:rsidRPr="00F539AA">
              <w:rPr>
                <w:b/>
                <w:lang w:val="pt-PT"/>
              </w:rPr>
              <w:t>Macroadenoma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  <w:rPr>
                <w:lang w:val="pt-PT"/>
              </w:rPr>
            </w:pPr>
            <w:r w:rsidRPr="00F539AA">
              <w:rPr>
                <w:lang w:val="pt-PT"/>
              </w:rPr>
              <w:t>75.0</w:t>
            </w:r>
            <w:r>
              <w:rPr>
                <w:lang w:val="pt-PT"/>
              </w:rPr>
              <w:t>%</w:t>
            </w:r>
          </w:p>
        </w:tc>
        <w:tc>
          <w:tcPr>
            <w:tcW w:w="1260" w:type="dxa"/>
          </w:tcPr>
          <w:p w:rsidR="00D31D77" w:rsidRPr="00F539AA" w:rsidRDefault="00D31D77" w:rsidP="00056DF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63.7%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  <w:rPr>
                <w:lang w:val="pt-PT"/>
              </w:rPr>
            </w:pPr>
            <w:r w:rsidRPr="00F539AA">
              <w:rPr>
                <w:lang w:val="pt-PT"/>
              </w:rPr>
              <w:t>0.358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  <w:rPr>
                <w:lang w:val="pt-PT"/>
              </w:rPr>
            </w:pPr>
            <w:r w:rsidRPr="00F539AA">
              <w:rPr>
                <w:lang w:val="pt-PT"/>
              </w:rPr>
              <w:t>30.8</w:t>
            </w:r>
            <w:r>
              <w:rPr>
                <w:lang w:val="pt-PT"/>
              </w:rPr>
              <w:t>%</w:t>
            </w:r>
          </w:p>
        </w:tc>
        <w:tc>
          <w:tcPr>
            <w:tcW w:w="1260" w:type="dxa"/>
          </w:tcPr>
          <w:p w:rsidR="00D31D77" w:rsidRPr="00F539AA" w:rsidRDefault="00D31D77" w:rsidP="00056DFA">
            <w:pPr>
              <w:jc w:val="center"/>
              <w:rPr>
                <w:lang w:val="pt-PT"/>
              </w:rPr>
            </w:pPr>
            <w:r w:rsidRPr="00F539AA">
              <w:rPr>
                <w:lang w:val="pt-PT"/>
              </w:rPr>
              <w:t>85.0</w:t>
            </w:r>
            <w:r>
              <w:rPr>
                <w:lang w:val="pt-PT"/>
              </w:rPr>
              <w:t>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  <w:rPr>
                <w:b/>
                <w:lang w:val="pt-PT"/>
              </w:rPr>
            </w:pPr>
            <w:r w:rsidRPr="00F539AA">
              <w:rPr>
                <w:b/>
                <w:lang w:val="pt-PT"/>
              </w:rPr>
              <w:t>&lt;0.001</w:t>
            </w:r>
          </w:p>
        </w:tc>
      </w:tr>
      <w:tr w:rsidR="00D31D77" w:rsidRPr="00344431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</w:rPr>
            </w:pPr>
            <w:proofErr w:type="spellStart"/>
            <w:r w:rsidRPr="00FA68A6">
              <w:rPr>
                <w:b/>
                <w:lang w:val="pt-PT"/>
              </w:rPr>
              <w:t>Maximum</w:t>
            </w:r>
            <w:proofErr w:type="spellEnd"/>
            <w:r w:rsidRPr="00FA68A6">
              <w:rPr>
                <w:b/>
                <w:lang w:val="pt-PT"/>
              </w:rPr>
              <w:t xml:space="preserve"> tumor </w:t>
            </w:r>
            <w:proofErr w:type="spellStart"/>
            <w:r w:rsidRPr="00FA68A6">
              <w:rPr>
                <w:b/>
                <w:lang w:val="pt-PT"/>
              </w:rPr>
              <w:t>diam</w:t>
            </w:r>
            <w:r w:rsidRPr="00FA68A6">
              <w:rPr>
                <w:b/>
              </w:rPr>
              <w:t>eter</w:t>
            </w:r>
            <w:proofErr w:type="spellEnd"/>
            <w:r w:rsidRPr="00FA68A6">
              <w:rPr>
                <w:b/>
              </w:rPr>
              <w:t xml:space="preserve"> (mm)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14.4 ± 16.1</w:t>
            </w:r>
          </w:p>
        </w:tc>
        <w:tc>
          <w:tcPr>
            <w:tcW w:w="1260" w:type="dxa"/>
          </w:tcPr>
          <w:p w:rsidR="00D31D77" w:rsidRPr="000C7BBA" w:rsidRDefault="00D31D77" w:rsidP="00056DF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  <w:r w:rsidRPr="000C7BBA">
              <w:rPr>
                <w:lang w:val="pt-PT"/>
              </w:rPr>
              <w:t>.</w:t>
            </w:r>
            <w:r>
              <w:rPr>
                <w:lang w:val="pt-PT"/>
              </w:rPr>
              <w:t>6</w:t>
            </w:r>
            <w:r w:rsidRPr="000C7BBA">
              <w:rPr>
                <w:lang w:val="pt-PT"/>
              </w:rPr>
              <w:t xml:space="preserve"> ± </w:t>
            </w:r>
            <w:r>
              <w:rPr>
                <w:lang w:val="pt-PT"/>
              </w:rPr>
              <w:t>19</w:t>
            </w:r>
            <w:r w:rsidRPr="000C7BBA">
              <w:rPr>
                <w:lang w:val="pt-PT"/>
              </w:rPr>
              <w:t>.</w:t>
            </w:r>
            <w:r>
              <w:rPr>
                <w:lang w:val="pt-PT"/>
              </w:rPr>
              <w:t>7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  <w:rPr>
                <w:lang w:val="pt-PT"/>
              </w:rPr>
            </w:pPr>
            <w:r w:rsidRPr="000C7BBA">
              <w:rPr>
                <w:lang w:val="pt-PT"/>
              </w:rPr>
              <w:t>0.</w:t>
            </w:r>
            <w:r>
              <w:rPr>
                <w:lang w:val="pt-PT"/>
              </w:rPr>
              <w:t>270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9.0 ± 9.8</w:t>
            </w:r>
          </w:p>
        </w:tc>
        <w:tc>
          <w:tcPr>
            <w:tcW w:w="1260" w:type="dxa"/>
          </w:tcPr>
          <w:p w:rsidR="00D31D77" w:rsidRPr="000C7BBA" w:rsidRDefault="00D31D77" w:rsidP="00056DF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  <w:r w:rsidRPr="000C7BBA">
              <w:rPr>
                <w:lang w:val="pt-PT"/>
              </w:rPr>
              <w:t>.</w:t>
            </w:r>
            <w:r>
              <w:rPr>
                <w:lang w:val="pt-PT"/>
              </w:rPr>
              <w:t>8</w:t>
            </w:r>
            <w:r w:rsidRPr="000C7BBA">
              <w:rPr>
                <w:lang w:val="pt-PT"/>
              </w:rPr>
              <w:t xml:space="preserve"> ± </w:t>
            </w:r>
            <w:r>
              <w:rPr>
                <w:lang w:val="pt-PT"/>
              </w:rPr>
              <w:t>15</w:t>
            </w:r>
            <w:r w:rsidRPr="000C7BBA">
              <w:rPr>
                <w:lang w:val="pt-PT"/>
              </w:rPr>
              <w:t>.</w:t>
            </w:r>
            <w:r>
              <w:rPr>
                <w:lang w:val="pt-PT"/>
              </w:rPr>
              <w:t>9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  <w:rPr>
                <w:b/>
                <w:lang w:val="pt-PT"/>
              </w:rPr>
            </w:pPr>
            <w:r w:rsidRPr="002B4E1F">
              <w:rPr>
                <w:b/>
                <w:lang w:val="pt-PT"/>
              </w:rPr>
              <w:t>0.00</w:t>
            </w:r>
            <w:r>
              <w:rPr>
                <w:b/>
                <w:lang w:val="pt-PT"/>
              </w:rPr>
              <w:t>1</w:t>
            </w:r>
          </w:p>
        </w:tc>
      </w:tr>
      <w:tr w:rsidR="00D31D77" w:rsidRPr="00344431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  <w:lang w:val="pt-PT"/>
              </w:rPr>
            </w:pPr>
            <w:r w:rsidRPr="00AE231C">
              <w:rPr>
                <w:b/>
                <w:lang w:val="pt-PT"/>
              </w:rPr>
              <w:t>Suprasellar extension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42.9%</w:t>
            </w:r>
          </w:p>
        </w:tc>
        <w:tc>
          <w:tcPr>
            <w:tcW w:w="1260" w:type="dxa"/>
          </w:tcPr>
          <w:p w:rsidR="00D31D77" w:rsidRPr="000C7BBA" w:rsidRDefault="00D31D77" w:rsidP="00056DF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34.9%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  <w:rPr>
                <w:lang w:val="pt-PT"/>
              </w:rPr>
            </w:pPr>
            <w:r w:rsidRPr="00AD3E41">
              <w:rPr>
                <w:lang w:val="pt-PT"/>
              </w:rPr>
              <w:t>0.</w:t>
            </w:r>
            <w:r>
              <w:rPr>
                <w:lang w:val="pt-PT"/>
              </w:rPr>
              <w:t>665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27.3%</w:t>
            </w:r>
          </w:p>
        </w:tc>
        <w:tc>
          <w:tcPr>
            <w:tcW w:w="1260" w:type="dxa"/>
          </w:tcPr>
          <w:p w:rsidR="00D31D77" w:rsidRPr="000C7BBA" w:rsidRDefault="00D31D77" w:rsidP="00056DF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56.2%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  <w:rPr>
                <w:lang w:val="pt-PT"/>
              </w:rPr>
            </w:pPr>
            <w:r w:rsidRPr="00AD3E41">
              <w:rPr>
                <w:lang w:val="pt-PT"/>
              </w:rPr>
              <w:t>0.</w:t>
            </w:r>
            <w:r>
              <w:rPr>
                <w:lang w:val="pt-PT"/>
              </w:rPr>
              <w:t>071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  <w:lang w:val="pt-PT"/>
              </w:rPr>
            </w:pPr>
            <w:r w:rsidRPr="00564C0B">
              <w:rPr>
                <w:b/>
                <w:lang w:val="pt-PT"/>
              </w:rPr>
              <w:t xml:space="preserve">Cavernous </w:t>
            </w:r>
            <w:proofErr w:type="spellStart"/>
            <w:r w:rsidRPr="00564C0B">
              <w:rPr>
                <w:b/>
                <w:lang w:val="pt-PT"/>
              </w:rPr>
              <w:t>sinus</w:t>
            </w:r>
            <w:proofErr w:type="spellEnd"/>
            <w:r w:rsidRPr="00564C0B">
              <w:rPr>
                <w:b/>
                <w:lang w:val="pt-PT"/>
              </w:rPr>
              <w:t xml:space="preserve"> </w:t>
            </w:r>
            <w:proofErr w:type="spellStart"/>
            <w:r w:rsidRPr="00564C0B">
              <w:rPr>
                <w:b/>
                <w:lang w:val="pt-PT"/>
              </w:rPr>
              <w:t>invasion</w:t>
            </w:r>
            <w:proofErr w:type="spellEnd"/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  <w:rPr>
                <w:lang w:val="pt-PT"/>
              </w:rPr>
            </w:pPr>
            <w:r w:rsidRPr="00344431">
              <w:rPr>
                <w:lang w:val="pt-PT"/>
              </w:rPr>
              <w:t>1</w:t>
            </w:r>
            <w:r>
              <w:rPr>
                <w:lang w:val="pt-PT"/>
              </w:rPr>
              <w:t>6</w:t>
            </w:r>
            <w:r w:rsidRPr="00344431">
              <w:rPr>
                <w:lang w:val="pt-PT"/>
              </w:rPr>
              <w:t>.</w:t>
            </w:r>
            <w:r>
              <w:rPr>
                <w:lang w:val="pt-PT"/>
              </w:rPr>
              <w:t>7%</w:t>
            </w:r>
          </w:p>
        </w:tc>
        <w:tc>
          <w:tcPr>
            <w:tcW w:w="1260" w:type="dxa"/>
          </w:tcPr>
          <w:p w:rsidR="00D31D77" w:rsidRPr="005056CE" w:rsidRDefault="00D31D77" w:rsidP="00056DFA">
            <w:pPr>
              <w:jc w:val="center"/>
              <w:rPr>
                <w:lang w:val="pt-PT"/>
              </w:rPr>
            </w:pPr>
            <w:r w:rsidRPr="00344431">
              <w:rPr>
                <w:lang w:val="pt-PT"/>
              </w:rPr>
              <w:t>22.</w:t>
            </w:r>
            <w:r>
              <w:rPr>
                <w:lang w:val="pt-PT"/>
              </w:rPr>
              <w:t>7%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>
              <w:t>0.728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18.2%</w:t>
            </w:r>
          </w:p>
        </w:tc>
        <w:tc>
          <w:tcPr>
            <w:tcW w:w="1260" w:type="dxa"/>
          </w:tcPr>
          <w:p w:rsidR="00D31D77" w:rsidRPr="005056CE" w:rsidRDefault="00D31D77" w:rsidP="00056DF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22.4%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>
              <w:t>0.753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</w:rPr>
            </w:pPr>
            <w:r w:rsidRPr="00652D86">
              <w:rPr>
                <w:b/>
              </w:rPr>
              <w:t>Ki-67 &gt; 3%</w:t>
            </w:r>
          </w:p>
        </w:tc>
        <w:tc>
          <w:tcPr>
            <w:tcW w:w="1260" w:type="dxa"/>
          </w:tcPr>
          <w:p w:rsidR="00D31D77" w:rsidRPr="00F45AD7" w:rsidRDefault="00D31D77" w:rsidP="00056DFA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52.9%</w:t>
            </w:r>
          </w:p>
        </w:tc>
        <w:tc>
          <w:tcPr>
            <w:tcW w:w="900" w:type="dxa"/>
          </w:tcPr>
          <w:p w:rsidR="00D31D77" w:rsidRDefault="00D31D77" w:rsidP="00056DFA">
            <w:pPr>
              <w:jc w:val="center"/>
            </w:pPr>
            <w:r>
              <w:t>0.303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33.3%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63.2%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>
              <w:t>0.907</w:t>
            </w:r>
          </w:p>
        </w:tc>
      </w:tr>
      <w:tr w:rsidR="00D31D77" w:rsidTr="00056DFA">
        <w:tc>
          <w:tcPr>
            <w:tcW w:w="4410" w:type="dxa"/>
          </w:tcPr>
          <w:p w:rsidR="00D31D77" w:rsidRPr="00FA68A6" w:rsidRDefault="00D31D77" w:rsidP="00056DFA">
            <w:pPr>
              <w:rPr>
                <w:b/>
              </w:rPr>
            </w:pPr>
            <w:r w:rsidRPr="00FA68A6">
              <w:rPr>
                <w:b/>
              </w:rPr>
              <w:t>Number of treatments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1.12 ± 0.78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1.39 ± 0.90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>
              <w:t>0.212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0.46 ± 0.78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1.19 ± 1.01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  <w:rPr>
                <w:b/>
              </w:rPr>
            </w:pPr>
            <w:r w:rsidRPr="00847BB5">
              <w:rPr>
                <w:b/>
              </w:rPr>
              <w:t>0.0</w:t>
            </w:r>
            <w:r>
              <w:rPr>
                <w:b/>
              </w:rPr>
              <w:t>05</w:t>
            </w:r>
          </w:p>
        </w:tc>
      </w:tr>
      <w:tr w:rsidR="00D31D77" w:rsidRPr="00972A13" w:rsidTr="00056DFA">
        <w:tc>
          <w:tcPr>
            <w:tcW w:w="4410" w:type="dxa"/>
          </w:tcPr>
          <w:p w:rsidR="00D31D77" w:rsidRPr="00FA68A6" w:rsidRDefault="00D31D77" w:rsidP="00056DFA">
            <w:pPr>
              <w:rPr>
                <w:b/>
              </w:rPr>
            </w:pPr>
            <w:r w:rsidRPr="00FA68A6">
              <w:rPr>
                <w:b/>
              </w:rPr>
              <w:t>Number of surgeries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0.35 ± 0.49</w:t>
            </w:r>
          </w:p>
        </w:tc>
        <w:tc>
          <w:tcPr>
            <w:tcW w:w="1260" w:type="dxa"/>
          </w:tcPr>
          <w:p w:rsidR="00D31D77" w:rsidRPr="00972A13" w:rsidRDefault="00D31D77" w:rsidP="00056DF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972A13">
              <w:rPr>
                <w:lang w:val="pt-PT"/>
              </w:rPr>
              <w:t>.</w:t>
            </w:r>
            <w:r>
              <w:rPr>
                <w:lang w:val="pt-PT"/>
              </w:rPr>
              <w:t>35</w:t>
            </w:r>
            <w:r w:rsidRPr="00972A13">
              <w:rPr>
                <w:lang w:val="pt-PT"/>
              </w:rPr>
              <w:t xml:space="preserve"> ± 0.</w:t>
            </w:r>
            <w:r>
              <w:rPr>
                <w:lang w:val="pt-PT"/>
              </w:rPr>
              <w:t>68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  <w:rPr>
                <w:lang w:val="pt-PT"/>
              </w:rPr>
            </w:pPr>
            <w:r w:rsidRPr="00972A13">
              <w:rPr>
                <w:lang w:val="pt-PT"/>
              </w:rPr>
              <w:t>0.</w:t>
            </w:r>
            <w:r>
              <w:rPr>
                <w:lang w:val="pt-PT"/>
              </w:rPr>
              <w:t>609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0.31 ± 0.48</w:t>
            </w:r>
          </w:p>
        </w:tc>
        <w:tc>
          <w:tcPr>
            <w:tcW w:w="1260" w:type="dxa"/>
          </w:tcPr>
          <w:p w:rsidR="00D31D77" w:rsidRPr="00972A13" w:rsidRDefault="00D31D77" w:rsidP="00056DF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  <w:r w:rsidRPr="00972A13">
              <w:rPr>
                <w:lang w:val="pt-PT"/>
              </w:rPr>
              <w:t>.</w:t>
            </w:r>
            <w:r>
              <w:rPr>
                <w:lang w:val="pt-PT"/>
              </w:rPr>
              <w:t>89</w:t>
            </w:r>
            <w:r w:rsidRPr="00972A13">
              <w:rPr>
                <w:lang w:val="pt-PT"/>
              </w:rPr>
              <w:t xml:space="preserve"> ± 0.</w:t>
            </w:r>
            <w:r>
              <w:rPr>
                <w:lang w:val="pt-PT"/>
              </w:rPr>
              <w:t>66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  <w:rPr>
                <w:b/>
                <w:lang w:val="pt-PT"/>
              </w:rPr>
            </w:pPr>
            <w:r w:rsidRPr="00373A79">
              <w:rPr>
                <w:b/>
                <w:lang w:val="pt-PT"/>
              </w:rPr>
              <w:t>0.00</w:t>
            </w:r>
            <w:r>
              <w:rPr>
                <w:b/>
                <w:lang w:val="pt-PT"/>
              </w:rPr>
              <w:t>1</w:t>
            </w:r>
          </w:p>
        </w:tc>
      </w:tr>
      <w:tr w:rsidR="00D31D77" w:rsidRPr="00972A13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  <w:lang w:val="pt-PT"/>
              </w:rPr>
            </w:pPr>
            <w:proofErr w:type="spellStart"/>
            <w:r w:rsidRPr="00652D86">
              <w:rPr>
                <w:b/>
                <w:lang w:val="pt-PT"/>
              </w:rPr>
              <w:t>Reoperation</w:t>
            </w:r>
            <w:proofErr w:type="spellEnd"/>
          </w:p>
        </w:tc>
        <w:tc>
          <w:tcPr>
            <w:tcW w:w="1260" w:type="dxa"/>
          </w:tcPr>
          <w:p w:rsidR="00D31D77" w:rsidRPr="00972A13" w:rsidRDefault="00D31D77" w:rsidP="00056DF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60" w:type="dxa"/>
          </w:tcPr>
          <w:p w:rsidR="00D31D77" w:rsidRPr="00972A13" w:rsidRDefault="00D31D77" w:rsidP="00056DFA">
            <w:pPr>
              <w:jc w:val="center"/>
              <w:rPr>
                <w:lang w:val="pt-PT"/>
              </w:rPr>
            </w:pPr>
            <w:r w:rsidRPr="00972A13">
              <w:rPr>
                <w:lang w:val="pt-PT"/>
              </w:rPr>
              <w:t>1</w:t>
            </w:r>
            <w:r>
              <w:rPr>
                <w:lang w:val="pt-PT"/>
              </w:rPr>
              <w:t>8</w:t>
            </w:r>
            <w:r w:rsidRPr="00972A13">
              <w:rPr>
                <w:lang w:val="pt-PT"/>
              </w:rPr>
              <w:t>.</w:t>
            </w:r>
            <w:r>
              <w:rPr>
                <w:lang w:val="pt-PT"/>
              </w:rPr>
              <w:t>6%</w:t>
            </w:r>
          </w:p>
        </w:tc>
        <w:tc>
          <w:tcPr>
            <w:tcW w:w="900" w:type="dxa"/>
          </w:tcPr>
          <w:p w:rsidR="00D31D77" w:rsidRPr="000B7F0C" w:rsidRDefault="00D31D77" w:rsidP="00056DFA">
            <w:pPr>
              <w:jc w:val="center"/>
              <w:rPr>
                <w:lang w:val="pt-PT"/>
              </w:rPr>
            </w:pPr>
            <w:r w:rsidRPr="000B7F0C">
              <w:rPr>
                <w:lang w:val="pt-PT"/>
              </w:rPr>
              <w:t>0.246</w:t>
            </w:r>
          </w:p>
        </w:tc>
        <w:tc>
          <w:tcPr>
            <w:tcW w:w="1260" w:type="dxa"/>
          </w:tcPr>
          <w:p w:rsidR="00D31D77" w:rsidRPr="00972A13" w:rsidRDefault="00D31D77" w:rsidP="00056DF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60" w:type="dxa"/>
          </w:tcPr>
          <w:p w:rsidR="00D31D77" w:rsidRPr="00972A13" w:rsidRDefault="00D31D77" w:rsidP="00056DF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  <w:r w:rsidRPr="00972A13">
              <w:rPr>
                <w:lang w:val="pt-PT"/>
              </w:rPr>
              <w:t>.</w:t>
            </w:r>
            <w:r>
              <w:rPr>
                <w:lang w:val="pt-PT"/>
              </w:rPr>
              <w:t>9%</w:t>
            </w:r>
          </w:p>
        </w:tc>
        <w:tc>
          <w:tcPr>
            <w:tcW w:w="900" w:type="dxa"/>
          </w:tcPr>
          <w:p w:rsidR="00D31D77" w:rsidRPr="000B7F0C" w:rsidRDefault="00D31D77" w:rsidP="00056DFA">
            <w:pPr>
              <w:jc w:val="center"/>
              <w:rPr>
                <w:lang w:val="pt-PT"/>
              </w:rPr>
            </w:pPr>
            <w:r w:rsidRPr="000B7F0C">
              <w:rPr>
                <w:lang w:val="pt-PT"/>
              </w:rPr>
              <w:t>0.</w:t>
            </w:r>
            <w:r>
              <w:rPr>
                <w:lang w:val="pt-PT"/>
              </w:rPr>
              <w:t>423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  <w:lang w:val="pt-PT"/>
              </w:rPr>
            </w:pPr>
            <w:proofErr w:type="spellStart"/>
            <w:r w:rsidRPr="00652D86">
              <w:rPr>
                <w:b/>
                <w:lang w:val="pt-PT"/>
              </w:rPr>
              <w:t>Radiotherapy</w:t>
            </w:r>
            <w:proofErr w:type="spellEnd"/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rPr>
                <w:lang w:val="pt-PT"/>
              </w:rPr>
              <w:t>5</w:t>
            </w:r>
            <w:r w:rsidRPr="00972A13">
              <w:rPr>
                <w:lang w:val="pt-PT"/>
              </w:rPr>
              <w:t>.</w:t>
            </w:r>
            <w:r>
              <w:rPr>
                <w:lang w:val="pt-PT"/>
              </w:rPr>
              <w:t>9</w:t>
            </w:r>
            <w:r>
              <w:t>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7.2%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5057CA">
              <w:t>0.</w:t>
            </w:r>
            <w:r>
              <w:t>838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rPr>
                <w:lang w:val="pt-PT"/>
              </w:rPr>
              <w:t>7.7</w:t>
            </w:r>
            <w:r>
              <w:t>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20.8%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5057CA">
              <w:t>0.</w:t>
            </w:r>
            <w:r>
              <w:t>257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  <w:lang w:val="pt-PT"/>
              </w:rPr>
            </w:pPr>
            <w:proofErr w:type="spellStart"/>
            <w:r w:rsidRPr="00652D86">
              <w:rPr>
                <w:b/>
                <w:lang w:val="pt-PT"/>
              </w:rPr>
              <w:t>Dopamine</w:t>
            </w:r>
            <w:proofErr w:type="spellEnd"/>
            <w:r w:rsidRPr="00652D86">
              <w:rPr>
                <w:b/>
                <w:lang w:val="pt-PT"/>
              </w:rPr>
              <w:t xml:space="preserve"> </w:t>
            </w:r>
            <w:proofErr w:type="spellStart"/>
            <w:r w:rsidRPr="00652D86">
              <w:rPr>
                <w:b/>
                <w:lang w:val="pt-PT"/>
              </w:rPr>
              <w:t>agonists</w:t>
            </w:r>
            <w:proofErr w:type="spellEnd"/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rPr>
                <w:lang w:val="pt-PT"/>
              </w:rPr>
              <w:t>70.6</w:t>
            </w:r>
            <w:r>
              <w:t>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86.6%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BF57EE">
              <w:t>0.</w:t>
            </w:r>
            <w:r>
              <w:t>068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rPr>
                <w:lang w:val="pt-PT"/>
              </w:rPr>
              <w:t>7.7</w:t>
            </w:r>
            <w:r>
              <w:t>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7.2%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BF57EE">
              <w:t>0.</w:t>
            </w:r>
            <w:r>
              <w:t>948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</w:rPr>
            </w:pPr>
            <w:r w:rsidRPr="005D34E7">
              <w:rPr>
                <w:b/>
              </w:rPr>
              <w:t>Multimodal treatment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28.6%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22.8%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134AF6">
              <w:t>0.</w:t>
            </w:r>
            <w:r>
              <w:t>618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50.0%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28.9%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134AF6">
              <w:t>0.</w:t>
            </w:r>
            <w:r>
              <w:t>365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</w:rPr>
            </w:pPr>
            <w:r w:rsidRPr="005D34E7">
              <w:rPr>
                <w:b/>
              </w:rPr>
              <w:t>≥ 3 treatments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7.1%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8.0%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B63E3D">
              <w:t>0.</w:t>
            </w:r>
            <w:r>
              <w:t>907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13.3%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B63E3D">
              <w:t>0.</w:t>
            </w:r>
            <w:r>
              <w:t>435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</w:rPr>
            </w:pPr>
            <w:r w:rsidRPr="00042034">
              <w:rPr>
                <w:b/>
              </w:rPr>
              <w:t>Active disease at last follow-up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15.4%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29.1%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5057CA">
              <w:t>0.</w:t>
            </w:r>
            <w:r>
              <w:t>289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10.0%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18.8%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5057CA">
              <w:t>0.</w:t>
            </w:r>
            <w:r>
              <w:t>494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</w:rPr>
            </w:pPr>
            <w:r w:rsidRPr="00042034">
              <w:rPr>
                <w:b/>
              </w:rPr>
              <w:t>Hypopituitarism at last follow-up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25.0%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23.0%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>
              <w:t>0.897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10.0%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45.7%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  <w:rPr>
                <w:b/>
              </w:rPr>
            </w:pPr>
            <w:r w:rsidRPr="004F4C8B">
              <w:rPr>
                <w:b/>
              </w:rPr>
              <w:t>0.0</w:t>
            </w:r>
            <w:r>
              <w:rPr>
                <w:b/>
              </w:rPr>
              <w:t>40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</w:rPr>
            </w:pPr>
            <w:r w:rsidRPr="00F539AA">
              <w:rPr>
                <w:b/>
              </w:rPr>
              <w:t>Number of pituitary deficiencies at last follow-up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0.75 ± 1.49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0.58 ± 1.16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BE6F29">
              <w:t>0.</w:t>
            </w:r>
            <w:r>
              <w:t>847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0.10 ± 0.31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1.16 ± 1.50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F539AA">
              <w:t>0.067</w:t>
            </w:r>
          </w:p>
        </w:tc>
      </w:tr>
      <w:tr w:rsidR="00D31D77" w:rsidTr="00056DFA">
        <w:tc>
          <w:tcPr>
            <w:tcW w:w="4410" w:type="dxa"/>
          </w:tcPr>
          <w:p w:rsidR="00D31D77" w:rsidRPr="00FC3C7E" w:rsidRDefault="00D31D77" w:rsidP="00056DFA">
            <w:pPr>
              <w:rPr>
                <w:b/>
                <w:highlight w:val="yellow"/>
              </w:rPr>
            </w:pPr>
            <w:r w:rsidRPr="00F34E6F">
              <w:rPr>
                <w:b/>
              </w:rPr>
              <w:t>Follow-up duration (</w:t>
            </w:r>
            <w:proofErr w:type="spellStart"/>
            <w:r w:rsidRPr="00F34E6F">
              <w:rPr>
                <w:b/>
              </w:rPr>
              <w:t>yr</w:t>
            </w:r>
            <w:proofErr w:type="spellEnd"/>
            <w:r w:rsidRPr="00F34E6F">
              <w:rPr>
                <w:b/>
              </w:rPr>
              <w:t>)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13.6 ± 12.5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9.3 ± 10.1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0301C8">
              <w:t>0.1</w:t>
            </w:r>
            <w:r>
              <w:t>50</w:t>
            </w:r>
          </w:p>
        </w:tc>
        <w:tc>
          <w:tcPr>
            <w:tcW w:w="1260" w:type="dxa"/>
          </w:tcPr>
          <w:p w:rsidR="00D31D77" w:rsidRPr="00001B3D" w:rsidRDefault="00D31D77" w:rsidP="00056DFA">
            <w:pPr>
              <w:jc w:val="center"/>
            </w:pPr>
            <w:r>
              <w:t>7.5 ± 7.1</w:t>
            </w:r>
          </w:p>
        </w:tc>
        <w:tc>
          <w:tcPr>
            <w:tcW w:w="1260" w:type="dxa"/>
          </w:tcPr>
          <w:p w:rsidR="00D31D77" w:rsidRDefault="00D31D77" w:rsidP="00056DFA">
            <w:pPr>
              <w:jc w:val="center"/>
            </w:pPr>
            <w:r>
              <w:t>8.1 ± 11.3</w:t>
            </w:r>
          </w:p>
        </w:tc>
        <w:tc>
          <w:tcPr>
            <w:tcW w:w="900" w:type="dxa"/>
          </w:tcPr>
          <w:p w:rsidR="00D31D77" w:rsidRPr="00001B3D" w:rsidRDefault="00D31D77" w:rsidP="00056DFA">
            <w:pPr>
              <w:jc w:val="center"/>
            </w:pPr>
            <w:r w:rsidRPr="000301C8">
              <w:t>0.</w:t>
            </w:r>
            <w:r>
              <w:t>551</w:t>
            </w:r>
          </w:p>
        </w:tc>
      </w:tr>
    </w:tbl>
    <w:p w:rsidR="00D31D77" w:rsidRPr="00BE335B" w:rsidRDefault="00D31D77" w:rsidP="00D31D77">
      <w:pPr>
        <w:spacing w:after="240" w:line="480" w:lineRule="auto"/>
        <w:rPr>
          <w:color w:val="000000"/>
          <w:szCs w:val="20"/>
          <w:lang w:val="en-US" w:eastAsia="pt-PT"/>
        </w:rPr>
      </w:pPr>
    </w:p>
    <w:p w:rsidR="00A90767" w:rsidRPr="00D31D77" w:rsidRDefault="00D31D77" w:rsidP="00D31D77">
      <w:pPr>
        <w:spacing w:line="480" w:lineRule="auto"/>
        <w:rPr>
          <w:color w:val="000000" w:themeColor="text1"/>
          <w:szCs w:val="20"/>
          <w:lang w:val="en-US"/>
        </w:rPr>
      </w:pPr>
      <w:r w:rsidRPr="004866B3">
        <w:rPr>
          <w:b/>
          <w:lang w:val="en-US"/>
        </w:rPr>
        <w:t xml:space="preserve">Supplemental Table </w:t>
      </w:r>
      <w:r w:rsidR="00F56D81">
        <w:rPr>
          <w:b/>
          <w:lang w:val="en-US"/>
        </w:rPr>
        <w:t>1</w:t>
      </w:r>
      <w:bookmarkStart w:id="0" w:name="_GoBack"/>
      <w:bookmarkEnd w:id="0"/>
      <w:r w:rsidRPr="004866B3">
        <w:rPr>
          <w:b/>
          <w:lang w:val="en-US"/>
        </w:rPr>
        <w:t xml:space="preserve">: Comparative analysis between </w:t>
      </w:r>
      <w:r w:rsidRPr="004866B3">
        <w:rPr>
          <w:b/>
          <w:i/>
          <w:lang w:val="en-US"/>
        </w:rPr>
        <w:t>AIP</w:t>
      </w:r>
      <w:r w:rsidRPr="004866B3">
        <w:rPr>
          <w:b/>
          <w:lang w:val="en-US"/>
        </w:rPr>
        <w:t xml:space="preserve">mut vs </w:t>
      </w:r>
      <w:r w:rsidRPr="004866B3">
        <w:rPr>
          <w:b/>
          <w:i/>
          <w:lang w:val="en-US"/>
        </w:rPr>
        <w:t>AIP</w:t>
      </w:r>
      <w:r w:rsidRPr="004866B3">
        <w:rPr>
          <w:b/>
          <w:lang w:val="en-US"/>
        </w:rPr>
        <w:t xml:space="preserve">neg prolactinomas and </w:t>
      </w:r>
      <w:r w:rsidRPr="004866B3">
        <w:rPr>
          <w:b/>
          <w:i/>
          <w:lang w:val="en-US"/>
        </w:rPr>
        <w:t>AIP</w:t>
      </w:r>
      <w:r w:rsidRPr="004866B3">
        <w:rPr>
          <w:b/>
          <w:lang w:val="en-US"/>
        </w:rPr>
        <w:t xml:space="preserve">mut vs </w:t>
      </w:r>
      <w:r w:rsidRPr="004866B3">
        <w:rPr>
          <w:b/>
          <w:i/>
          <w:lang w:val="en-US"/>
        </w:rPr>
        <w:t>AIP</w:t>
      </w:r>
      <w:r w:rsidRPr="004866B3">
        <w:rPr>
          <w:b/>
          <w:lang w:val="en-US"/>
        </w:rPr>
        <w:t xml:space="preserve">neg NF-PitNETs. </w:t>
      </w:r>
      <w:r>
        <w:rPr>
          <w:color w:val="000000" w:themeColor="text1"/>
          <w:szCs w:val="20"/>
          <w:lang w:val="en-US"/>
        </w:rPr>
        <w:t>Categorical data</w:t>
      </w:r>
      <w:r w:rsidRPr="00DF042E">
        <w:rPr>
          <w:color w:val="000000" w:themeColor="text1"/>
          <w:szCs w:val="20"/>
          <w:lang w:val="en-US"/>
        </w:rPr>
        <w:t xml:space="preserve"> are shown as </w:t>
      </w:r>
      <w:r>
        <w:rPr>
          <w:color w:val="000000" w:themeColor="text1"/>
          <w:szCs w:val="20"/>
          <w:lang w:val="en-US"/>
        </w:rPr>
        <w:t xml:space="preserve">%; continuous variables </w:t>
      </w:r>
      <w:r w:rsidRPr="00DF042E">
        <w:rPr>
          <w:color w:val="000000" w:themeColor="text1"/>
          <w:szCs w:val="20"/>
          <w:lang w:val="en-US"/>
        </w:rPr>
        <w:t xml:space="preserve">are shown </w:t>
      </w:r>
      <w:r>
        <w:rPr>
          <w:color w:val="000000" w:themeColor="text1"/>
          <w:szCs w:val="20"/>
          <w:lang w:val="en-US"/>
        </w:rPr>
        <w:t xml:space="preserve">as </w:t>
      </w:r>
      <w:r w:rsidRPr="00DF042E">
        <w:rPr>
          <w:color w:val="000000" w:themeColor="text1"/>
          <w:szCs w:val="20"/>
          <w:lang w:val="en-US"/>
        </w:rPr>
        <w:t xml:space="preserve">mean ± </w:t>
      </w:r>
      <w:r>
        <w:rPr>
          <w:color w:val="000000" w:themeColor="text1"/>
          <w:szCs w:val="20"/>
          <w:lang w:val="en-US"/>
        </w:rPr>
        <w:t xml:space="preserve">standard deviation. </w:t>
      </w:r>
      <w:r w:rsidRPr="006D54B8">
        <w:rPr>
          <w:i/>
          <w:color w:val="000000" w:themeColor="text1"/>
          <w:szCs w:val="20"/>
          <w:lang w:val="en-US"/>
        </w:rPr>
        <w:t>AIP</w:t>
      </w:r>
      <w:r>
        <w:rPr>
          <w:color w:val="000000" w:themeColor="text1"/>
          <w:szCs w:val="20"/>
          <w:lang w:val="en-US"/>
        </w:rPr>
        <w:t xml:space="preserve">mut, </w:t>
      </w:r>
      <w:r>
        <w:rPr>
          <w:i/>
          <w:color w:val="000000" w:themeColor="text1"/>
          <w:szCs w:val="20"/>
          <w:lang w:val="en-US"/>
        </w:rPr>
        <w:t xml:space="preserve">AIP </w:t>
      </w:r>
      <w:r>
        <w:rPr>
          <w:color w:val="000000" w:themeColor="text1"/>
          <w:szCs w:val="20"/>
          <w:lang w:val="en-US"/>
        </w:rPr>
        <w:t xml:space="preserve">mutation-positive; </w:t>
      </w:r>
      <w:r w:rsidRPr="006D54B8">
        <w:rPr>
          <w:i/>
          <w:color w:val="000000" w:themeColor="text1"/>
          <w:szCs w:val="20"/>
          <w:lang w:val="en-US"/>
        </w:rPr>
        <w:t>AIP</w:t>
      </w:r>
      <w:r>
        <w:rPr>
          <w:color w:val="000000" w:themeColor="text1"/>
          <w:szCs w:val="20"/>
          <w:lang w:val="en-US"/>
        </w:rPr>
        <w:t xml:space="preserve">neg, </w:t>
      </w:r>
      <w:r>
        <w:rPr>
          <w:i/>
          <w:color w:val="000000" w:themeColor="text1"/>
          <w:szCs w:val="20"/>
          <w:lang w:val="en-US"/>
        </w:rPr>
        <w:t xml:space="preserve">AIP </w:t>
      </w:r>
      <w:r>
        <w:rPr>
          <w:color w:val="000000" w:themeColor="text1"/>
          <w:szCs w:val="20"/>
          <w:lang w:val="en-US"/>
        </w:rPr>
        <w:t xml:space="preserve">mutation-negative; NF-PitNET, non-functioning pituitary neuroendocrine tumor; </w:t>
      </w:r>
      <w:r w:rsidRPr="006D54B8">
        <w:rPr>
          <w:color w:val="000000" w:themeColor="text1"/>
          <w:szCs w:val="20"/>
          <w:lang w:val="en-US"/>
        </w:rPr>
        <w:t>PitNET</w:t>
      </w:r>
      <w:r>
        <w:rPr>
          <w:color w:val="000000" w:themeColor="text1"/>
          <w:szCs w:val="20"/>
          <w:lang w:val="en-US"/>
        </w:rPr>
        <w:t xml:space="preserve">, pituitary neuroendocrine tumor; </w:t>
      </w:r>
      <w:proofErr w:type="spellStart"/>
      <w:r>
        <w:rPr>
          <w:color w:val="000000" w:themeColor="text1"/>
          <w:szCs w:val="20"/>
          <w:lang w:val="en-US"/>
        </w:rPr>
        <w:t>yr</w:t>
      </w:r>
      <w:proofErr w:type="spellEnd"/>
      <w:r>
        <w:rPr>
          <w:color w:val="000000" w:themeColor="text1"/>
          <w:szCs w:val="20"/>
          <w:lang w:val="en-US"/>
        </w:rPr>
        <w:t>, years.</w:t>
      </w:r>
    </w:p>
    <w:sectPr w:rsidR="00A90767" w:rsidRPr="00D31D77" w:rsidSect="00D31D77">
      <w:foot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69A" w:rsidRDefault="00E2369A">
      <w:r>
        <w:separator/>
      </w:r>
    </w:p>
  </w:endnote>
  <w:endnote w:type="continuationSeparator" w:id="0">
    <w:p w:rsidR="00E2369A" w:rsidRDefault="00E23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695760"/>
      <w:docPartObj>
        <w:docPartGallery w:val="Page Numbers (Bottom of Page)"/>
        <w:docPartUnique/>
      </w:docPartObj>
    </w:sdtPr>
    <w:sdtEndPr/>
    <w:sdtContent>
      <w:p w:rsidR="00C10844" w:rsidRDefault="00D31D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D81" w:rsidRPr="00F56D81">
          <w:rPr>
            <w:noProof/>
            <w:lang w:val="pt-PT"/>
          </w:rPr>
          <w:t>1</w:t>
        </w:r>
        <w:r>
          <w:fldChar w:fldCharType="end"/>
        </w:r>
      </w:p>
    </w:sdtContent>
  </w:sdt>
  <w:p w:rsidR="00C10844" w:rsidRDefault="00E236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69A" w:rsidRDefault="00E2369A">
      <w:r>
        <w:separator/>
      </w:r>
    </w:p>
  </w:footnote>
  <w:footnote w:type="continuationSeparator" w:id="0">
    <w:p w:rsidR="00E2369A" w:rsidRDefault="00E23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25"/>
    <w:rsid w:val="000301C8"/>
    <w:rsid w:val="00042034"/>
    <w:rsid w:val="0005763D"/>
    <w:rsid w:val="0006091C"/>
    <w:rsid w:val="000636FA"/>
    <w:rsid w:val="000638D0"/>
    <w:rsid w:val="000718CA"/>
    <w:rsid w:val="00081086"/>
    <w:rsid w:val="00087C15"/>
    <w:rsid w:val="00095570"/>
    <w:rsid w:val="000A1E02"/>
    <w:rsid w:val="000B7F0C"/>
    <w:rsid w:val="000C7BBA"/>
    <w:rsid w:val="000F237C"/>
    <w:rsid w:val="001048B8"/>
    <w:rsid w:val="001166F3"/>
    <w:rsid w:val="00133374"/>
    <w:rsid w:val="00134AF6"/>
    <w:rsid w:val="0016281E"/>
    <w:rsid w:val="00170A56"/>
    <w:rsid w:val="001718C8"/>
    <w:rsid w:val="001968C5"/>
    <w:rsid w:val="001A3E2E"/>
    <w:rsid w:val="001D13FE"/>
    <w:rsid w:val="001F0BEF"/>
    <w:rsid w:val="001F7FE6"/>
    <w:rsid w:val="00207425"/>
    <w:rsid w:val="0022505F"/>
    <w:rsid w:val="0026577C"/>
    <w:rsid w:val="00283833"/>
    <w:rsid w:val="00284223"/>
    <w:rsid w:val="002B3B7F"/>
    <w:rsid w:val="002B4E1F"/>
    <w:rsid w:val="002B510B"/>
    <w:rsid w:val="002C562F"/>
    <w:rsid w:val="002E193E"/>
    <w:rsid w:val="00300D5F"/>
    <w:rsid w:val="00301642"/>
    <w:rsid w:val="003105EF"/>
    <w:rsid w:val="00311492"/>
    <w:rsid w:val="00311D14"/>
    <w:rsid w:val="00323F16"/>
    <w:rsid w:val="00330FB9"/>
    <w:rsid w:val="0033230E"/>
    <w:rsid w:val="003408D3"/>
    <w:rsid w:val="00344431"/>
    <w:rsid w:val="00347258"/>
    <w:rsid w:val="003649AA"/>
    <w:rsid w:val="00373A79"/>
    <w:rsid w:val="00375629"/>
    <w:rsid w:val="0037602A"/>
    <w:rsid w:val="003A7E36"/>
    <w:rsid w:val="003B7459"/>
    <w:rsid w:val="003E32BB"/>
    <w:rsid w:val="003E662C"/>
    <w:rsid w:val="003F7E8A"/>
    <w:rsid w:val="0040365E"/>
    <w:rsid w:val="0041700C"/>
    <w:rsid w:val="0042582E"/>
    <w:rsid w:val="00427B32"/>
    <w:rsid w:val="004452F6"/>
    <w:rsid w:val="00457641"/>
    <w:rsid w:val="00476856"/>
    <w:rsid w:val="004866B3"/>
    <w:rsid w:val="00492EB6"/>
    <w:rsid w:val="004941EB"/>
    <w:rsid w:val="004A0525"/>
    <w:rsid w:val="004B77C1"/>
    <w:rsid w:val="004D5F25"/>
    <w:rsid w:val="004E7F47"/>
    <w:rsid w:val="004F4C8B"/>
    <w:rsid w:val="005004AF"/>
    <w:rsid w:val="005056CE"/>
    <w:rsid w:val="005057CA"/>
    <w:rsid w:val="00534DBB"/>
    <w:rsid w:val="0054413A"/>
    <w:rsid w:val="005460FC"/>
    <w:rsid w:val="0055230C"/>
    <w:rsid w:val="00564C0B"/>
    <w:rsid w:val="0059196A"/>
    <w:rsid w:val="005A2825"/>
    <w:rsid w:val="005A3DE7"/>
    <w:rsid w:val="005B1880"/>
    <w:rsid w:val="005B284C"/>
    <w:rsid w:val="005D0EE4"/>
    <w:rsid w:val="005D34E7"/>
    <w:rsid w:val="005D53EA"/>
    <w:rsid w:val="005E58A4"/>
    <w:rsid w:val="005F0870"/>
    <w:rsid w:val="006240BE"/>
    <w:rsid w:val="00652D86"/>
    <w:rsid w:val="00656CA2"/>
    <w:rsid w:val="0066121E"/>
    <w:rsid w:val="00672A4B"/>
    <w:rsid w:val="006906CB"/>
    <w:rsid w:val="00697EFF"/>
    <w:rsid w:val="006C1DF4"/>
    <w:rsid w:val="006D53FE"/>
    <w:rsid w:val="006F0086"/>
    <w:rsid w:val="00716453"/>
    <w:rsid w:val="00745A77"/>
    <w:rsid w:val="00752F2F"/>
    <w:rsid w:val="00756EE9"/>
    <w:rsid w:val="00757E2C"/>
    <w:rsid w:val="00764271"/>
    <w:rsid w:val="0077334F"/>
    <w:rsid w:val="00775FBE"/>
    <w:rsid w:val="0077754E"/>
    <w:rsid w:val="00793753"/>
    <w:rsid w:val="00795DD3"/>
    <w:rsid w:val="007C02CE"/>
    <w:rsid w:val="007C2C2C"/>
    <w:rsid w:val="007D0545"/>
    <w:rsid w:val="007D114D"/>
    <w:rsid w:val="007E4597"/>
    <w:rsid w:val="0080132C"/>
    <w:rsid w:val="00801D04"/>
    <w:rsid w:val="00843305"/>
    <w:rsid w:val="0084718F"/>
    <w:rsid w:val="00847BB5"/>
    <w:rsid w:val="00867A63"/>
    <w:rsid w:val="0087322B"/>
    <w:rsid w:val="00881EBC"/>
    <w:rsid w:val="00891282"/>
    <w:rsid w:val="00896C12"/>
    <w:rsid w:val="008B036F"/>
    <w:rsid w:val="008D4025"/>
    <w:rsid w:val="008E3B9F"/>
    <w:rsid w:val="008F7B37"/>
    <w:rsid w:val="009031BE"/>
    <w:rsid w:val="00964B7E"/>
    <w:rsid w:val="00972A13"/>
    <w:rsid w:val="00983DBB"/>
    <w:rsid w:val="0099056A"/>
    <w:rsid w:val="00A020E2"/>
    <w:rsid w:val="00A06BFC"/>
    <w:rsid w:val="00A12CA1"/>
    <w:rsid w:val="00A4422B"/>
    <w:rsid w:val="00A71948"/>
    <w:rsid w:val="00A90767"/>
    <w:rsid w:val="00AC449F"/>
    <w:rsid w:val="00AD2200"/>
    <w:rsid w:val="00AD3E41"/>
    <w:rsid w:val="00AE231C"/>
    <w:rsid w:val="00AF5BCA"/>
    <w:rsid w:val="00B05E2F"/>
    <w:rsid w:val="00B1033D"/>
    <w:rsid w:val="00B13DB7"/>
    <w:rsid w:val="00B15780"/>
    <w:rsid w:val="00B27255"/>
    <w:rsid w:val="00B32E39"/>
    <w:rsid w:val="00B35F34"/>
    <w:rsid w:val="00B416E4"/>
    <w:rsid w:val="00B500DD"/>
    <w:rsid w:val="00B5199D"/>
    <w:rsid w:val="00B552B6"/>
    <w:rsid w:val="00B63E3D"/>
    <w:rsid w:val="00B77B0B"/>
    <w:rsid w:val="00B80011"/>
    <w:rsid w:val="00B831C7"/>
    <w:rsid w:val="00B93AD4"/>
    <w:rsid w:val="00BA6793"/>
    <w:rsid w:val="00BB526F"/>
    <w:rsid w:val="00BD7C66"/>
    <w:rsid w:val="00BE6F29"/>
    <w:rsid w:val="00BF57EE"/>
    <w:rsid w:val="00BF725B"/>
    <w:rsid w:val="00BF79C4"/>
    <w:rsid w:val="00C0503B"/>
    <w:rsid w:val="00C17210"/>
    <w:rsid w:val="00C23447"/>
    <w:rsid w:val="00C23539"/>
    <w:rsid w:val="00C25B73"/>
    <w:rsid w:val="00C31042"/>
    <w:rsid w:val="00C3452F"/>
    <w:rsid w:val="00C611ED"/>
    <w:rsid w:val="00C87F23"/>
    <w:rsid w:val="00CB68DB"/>
    <w:rsid w:val="00CC26D7"/>
    <w:rsid w:val="00CD1DEF"/>
    <w:rsid w:val="00CD70EF"/>
    <w:rsid w:val="00CF0BB2"/>
    <w:rsid w:val="00D13BBB"/>
    <w:rsid w:val="00D200FE"/>
    <w:rsid w:val="00D31890"/>
    <w:rsid w:val="00D31D77"/>
    <w:rsid w:val="00D32461"/>
    <w:rsid w:val="00D34155"/>
    <w:rsid w:val="00D554AF"/>
    <w:rsid w:val="00D7138E"/>
    <w:rsid w:val="00D738BD"/>
    <w:rsid w:val="00D80DDF"/>
    <w:rsid w:val="00DC14AA"/>
    <w:rsid w:val="00DF29F8"/>
    <w:rsid w:val="00E2369A"/>
    <w:rsid w:val="00E358D4"/>
    <w:rsid w:val="00E36F31"/>
    <w:rsid w:val="00E5565F"/>
    <w:rsid w:val="00E805BB"/>
    <w:rsid w:val="00EB7AF5"/>
    <w:rsid w:val="00EC430A"/>
    <w:rsid w:val="00EC57B5"/>
    <w:rsid w:val="00EF054A"/>
    <w:rsid w:val="00F0569F"/>
    <w:rsid w:val="00F13479"/>
    <w:rsid w:val="00F23AF8"/>
    <w:rsid w:val="00F34E6F"/>
    <w:rsid w:val="00F405F7"/>
    <w:rsid w:val="00F45AD7"/>
    <w:rsid w:val="00F539AA"/>
    <w:rsid w:val="00F56D81"/>
    <w:rsid w:val="00F92A35"/>
    <w:rsid w:val="00FA05FE"/>
    <w:rsid w:val="00FA68A6"/>
    <w:rsid w:val="00FB5405"/>
    <w:rsid w:val="00FB7AA1"/>
    <w:rsid w:val="00FC3C7E"/>
    <w:rsid w:val="00F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A8077-6A7A-4C54-90FB-6102F44B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7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90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arter"/>
    <w:uiPriority w:val="99"/>
    <w:unhideWhenUsed/>
    <w:rsid w:val="00D31D77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1D77"/>
    <w:rPr>
      <w:rFonts w:ascii="Times New Roman" w:eastAsia="Times New Roman" w:hAnsi="Times New Roman" w:cs="Times New Roman"/>
      <w:sz w:val="20"/>
      <w:szCs w:val="24"/>
      <w:lang w:val="en-GB"/>
    </w:rPr>
  </w:style>
  <w:style w:type="character" w:styleId="Nmerodelinha">
    <w:name w:val="line number"/>
    <w:basedOn w:val="Tipodeletrapredefinidodopargrafo"/>
    <w:uiPriority w:val="99"/>
    <w:semiHidden/>
    <w:unhideWhenUsed/>
    <w:rsid w:val="00D31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2019-09-15T11:18:00Z</dcterms:created>
  <dcterms:modified xsi:type="dcterms:W3CDTF">2020-01-14T09:20:00Z</dcterms:modified>
</cp:coreProperties>
</file>