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35B0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bookmarkStart w:id="0" w:name="_GoBack"/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粤工保与安责保平台评分体系细化得分点</w:t>
      </w:r>
      <w:bookmarkEnd w:id="0"/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（四级指标）</w:t>
      </w:r>
    </w:p>
    <w:p w14:paraId="355714A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说明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本部分在原有三级指标基础上，进一步拆解为可直接从系统采集或计算的原子得分点（四级指标），每个得分点赋予具体分值，并明确数据来源和计算频率。开发人员可根据此表进行数据库设计、ETL任务及评分引擎编码。</w:t>
      </w:r>
    </w:p>
    <w:p w14:paraId="3E706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22EC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一、粤工保（人社侧）细分得分点</w:t>
      </w:r>
    </w:p>
    <w:p w14:paraId="545AE27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维度A：工伤预防（总分25分）</w:t>
      </w:r>
    </w:p>
    <w:p w14:paraId="03FB8CF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A1 工伤发生率变化（共10分）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1"/>
        <w:gridCol w:w="822"/>
        <w:gridCol w:w="2441"/>
        <w:gridCol w:w="1517"/>
        <w:gridCol w:w="1285"/>
        <w:gridCol w:w="1025"/>
      </w:tblGrid>
      <w:tr w14:paraId="1B297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32C7B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47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17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83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15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67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统计周期</w:t>
            </w:r>
          </w:p>
        </w:tc>
      </w:tr>
      <w:tr w14:paraId="7C1D6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568E9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A1-1 总体工伤发生率（‰）绝对值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A3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E0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本期工伤人数/本期参保人数 ×1000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3F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≤2.5‰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1C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工伤认定+参保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C3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月度</w:t>
            </w:r>
          </w:p>
        </w:tc>
      </w:tr>
      <w:tr w14:paraId="2DE44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D8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A1-2 总体工伤发生率同比降幅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E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72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（上期-本期）/上期 ×100%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10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≥10%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87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同比计算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B1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月度</w:t>
            </w:r>
          </w:p>
        </w:tc>
      </w:tr>
      <w:tr w14:paraId="24C28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2A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A1-3 重点行业工伤率（建筑/制造/危化）加权降幅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9D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1A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各行业降幅按参保人数加权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12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行业平均≥15%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09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行业分类+工伤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26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月度</w:t>
            </w:r>
          </w:p>
        </w:tc>
      </w:tr>
      <w:tr w14:paraId="753F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0E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A1-4 高风险岗位（焊工/电工/高处）工伤率降幅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47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1分</w:t>
            </w:r>
          </w:p>
        </w:tc>
        <w:tc>
          <w:tcPr>
            <w:tcW w:w="12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3A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岗位降幅平均值</w:t>
            </w:r>
          </w:p>
        </w:tc>
        <w:tc>
          <w:tcPr>
            <w:tcW w:w="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2D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≥20%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3F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岗位库+工伤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17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月度</w:t>
            </w:r>
          </w:p>
        </w:tc>
      </w:tr>
    </w:tbl>
    <w:p w14:paraId="2E833D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A2 工伤认定及时率（共7分）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0"/>
        <w:gridCol w:w="926"/>
        <w:gridCol w:w="3128"/>
        <w:gridCol w:w="1179"/>
        <w:gridCol w:w="1538"/>
      </w:tblGrid>
      <w:tr w14:paraId="5D2E8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0E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FF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72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B8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F9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7AA09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A9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A2-1 30天内认定完成率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8D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0F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30天内认定数/总认定数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A4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0EE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工伤认定记录</w:t>
            </w:r>
          </w:p>
        </w:tc>
      </w:tr>
      <w:tr w14:paraId="26BEC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ED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A2-2 超期60天未认定案件占比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57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C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超期60天未认定数/总认定数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5F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≤2%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76F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</w:tr>
      <w:tr w14:paraId="2B199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18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A2-3 平均认定周期（天）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1B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1分</w:t>
            </w:r>
          </w:p>
        </w:tc>
        <w:tc>
          <w:tcPr>
            <w:tcW w:w="15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16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平均天数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44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≤25天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02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日期差计算</w:t>
            </w:r>
          </w:p>
        </w:tc>
      </w:tr>
    </w:tbl>
    <w:p w14:paraId="318E98A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A3 工伤基金支出效益（共8分）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2"/>
        <w:gridCol w:w="905"/>
        <w:gridCol w:w="3413"/>
        <w:gridCol w:w="1167"/>
        <w:gridCol w:w="1459"/>
      </w:tblGrid>
      <w:tr w14:paraId="7A9E2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23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64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5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6E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70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6C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8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6D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73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38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335B1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C2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A3-1 工伤基金人均支出环比变化</w:t>
            </w:r>
          </w:p>
        </w:tc>
        <w:tc>
          <w:tcPr>
            <w:tcW w:w="45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3F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70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17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（本期人均-上期人均）/上期人均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2A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≤-5%</w:t>
            </w:r>
          </w:p>
        </w:tc>
        <w:tc>
          <w:tcPr>
            <w:tcW w:w="73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63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社保基金统计</w:t>
            </w:r>
          </w:p>
        </w:tc>
      </w:tr>
      <w:tr w14:paraId="3671A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FC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A3-2 工伤预防项目投入产出比</w:t>
            </w:r>
          </w:p>
        </w:tc>
        <w:tc>
          <w:tcPr>
            <w:tcW w:w="45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0E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70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20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基金减支额 / 工伤预防项目总投入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2D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≥2:1</w:t>
            </w:r>
          </w:p>
        </w:tc>
        <w:tc>
          <w:tcPr>
            <w:tcW w:w="73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56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财务+项目</w:t>
            </w:r>
          </w:p>
        </w:tc>
      </w:tr>
      <w:tr w14:paraId="1D7FE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60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A3-3 工伤基金当期结余率</w:t>
            </w:r>
          </w:p>
        </w:tc>
        <w:tc>
          <w:tcPr>
            <w:tcW w:w="45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16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1分</w:t>
            </w:r>
          </w:p>
        </w:tc>
        <w:tc>
          <w:tcPr>
            <w:tcW w:w="170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CA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（收入-支出）/收入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1D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≥15%</w:t>
            </w:r>
          </w:p>
        </w:tc>
        <w:tc>
          <w:tcPr>
            <w:tcW w:w="73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C6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基金报表</w:t>
            </w:r>
          </w:p>
        </w:tc>
      </w:tr>
    </w:tbl>
    <w:p w14:paraId="7D90F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744B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维度B：用工合规（总分20分）</w:t>
      </w:r>
    </w:p>
    <w:p w14:paraId="7F14F8A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B1 欠薪与社保漏保率（共8分）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6"/>
        <w:gridCol w:w="949"/>
        <w:gridCol w:w="3313"/>
        <w:gridCol w:w="1189"/>
        <w:gridCol w:w="1409"/>
      </w:tblGrid>
      <w:tr w14:paraId="607C8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5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2E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7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25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65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82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9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BD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70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8D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4EB69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71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B1-1 欠薪投诉率（派遣）</w:t>
            </w:r>
          </w:p>
        </w:tc>
        <w:tc>
          <w:tcPr>
            <w:tcW w:w="47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51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65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DC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欠薪投诉件数/派遣员工总数</w:t>
            </w:r>
          </w:p>
        </w:tc>
        <w:tc>
          <w:tcPr>
            <w:tcW w:w="5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BC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≤1%</w:t>
            </w:r>
          </w:p>
        </w:tc>
        <w:tc>
          <w:tcPr>
            <w:tcW w:w="7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00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投诉中心</w:t>
            </w:r>
          </w:p>
        </w:tc>
      </w:tr>
      <w:tr w14:paraId="53314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D3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B1-2 欠薪案件平均处理天数</w:t>
            </w:r>
          </w:p>
        </w:tc>
        <w:tc>
          <w:tcPr>
            <w:tcW w:w="47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5A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1分</w:t>
            </w:r>
          </w:p>
        </w:tc>
        <w:tc>
          <w:tcPr>
            <w:tcW w:w="165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A2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从接单到办结平均天数</w:t>
            </w:r>
          </w:p>
        </w:tc>
        <w:tc>
          <w:tcPr>
            <w:tcW w:w="5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4F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≤7天</w:t>
            </w:r>
          </w:p>
        </w:tc>
        <w:tc>
          <w:tcPr>
            <w:tcW w:w="7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7B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投诉工单</w:t>
            </w:r>
          </w:p>
        </w:tc>
      </w:tr>
      <w:tr w14:paraId="3F951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22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B1-3 派遣员工社保漏保率</w:t>
            </w:r>
          </w:p>
        </w:tc>
        <w:tc>
          <w:tcPr>
            <w:tcW w:w="47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FF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5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8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(应参保-实参保)/应参保</w:t>
            </w:r>
          </w:p>
        </w:tc>
        <w:tc>
          <w:tcPr>
            <w:tcW w:w="5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9F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≤5%</w:t>
            </w:r>
          </w:p>
        </w:tc>
        <w:tc>
          <w:tcPr>
            <w:tcW w:w="7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FD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社保+人员</w:t>
            </w:r>
          </w:p>
        </w:tc>
      </w:tr>
    </w:tbl>
    <w:p w14:paraId="7300C7A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B2 同工同酬与派遣合规率（共7分）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4"/>
        <w:gridCol w:w="913"/>
        <w:gridCol w:w="3858"/>
        <w:gridCol w:w="1171"/>
        <w:gridCol w:w="1300"/>
      </w:tblGrid>
      <w:tr w14:paraId="32DEB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3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94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5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81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93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6B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8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C3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5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ED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5C25F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F0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B2-1 同工同酬达标率</w:t>
            </w:r>
          </w:p>
        </w:tc>
        <w:tc>
          <w:tcPr>
            <w:tcW w:w="45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90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93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A6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薪酬差异&lt;30%的派遣员工/同岗位总数</w:t>
            </w:r>
          </w:p>
        </w:tc>
        <w:tc>
          <w:tcPr>
            <w:tcW w:w="5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7C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5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4F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工资监管</w:t>
            </w:r>
          </w:p>
        </w:tc>
      </w:tr>
      <w:tr w14:paraId="31820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2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B2-2 派遣比例超标企业占比</w:t>
            </w:r>
          </w:p>
        </w:tc>
        <w:tc>
          <w:tcPr>
            <w:tcW w:w="45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77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93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5B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派遣比例&gt;10%的企业数/用工单位总数</w:t>
            </w:r>
          </w:p>
        </w:tc>
        <w:tc>
          <w:tcPr>
            <w:tcW w:w="5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21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65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8A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专项治理</w:t>
            </w:r>
          </w:p>
        </w:tc>
      </w:tr>
      <w:tr w14:paraId="749B5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AE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B2-3 假外包识别准确率</w:t>
            </w:r>
          </w:p>
        </w:tc>
        <w:tc>
          <w:tcPr>
            <w:tcW w:w="45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D4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93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BC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AI正确识别数/稽查确认假外包总数</w:t>
            </w:r>
          </w:p>
        </w:tc>
        <w:tc>
          <w:tcPr>
            <w:tcW w:w="58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1A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5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699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专项治理</w:t>
            </w:r>
          </w:p>
        </w:tc>
      </w:tr>
    </w:tbl>
    <w:p w14:paraId="0553610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B3 用工合规整改闭环率（共5分）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961"/>
        <w:gridCol w:w="2947"/>
        <w:gridCol w:w="1201"/>
        <w:gridCol w:w="1441"/>
      </w:tblGrid>
      <w:tr w14:paraId="6611F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49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8E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D3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7D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FE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2A532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61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B3-1 合规问题整改完成率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20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13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已整改数/发现问题总数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97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80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专项台账</w:t>
            </w:r>
          </w:p>
        </w:tc>
      </w:tr>
      <w:tr w14:paraId="412CF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A2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B3-2 整改逾期率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69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5A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超期未整改数/总问题数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98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E2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专项台账</w:t>
            </w:r>
          </w:p>
        </w:tc>
      </w:tr>
    </w:tbl>
    <w:p w14:paraId="5D98B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4B38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维度C：设备安全（总分15分）</w:t>
      </w:r>
    </w:p>
    <w:p w14:paraId="2238573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C1 设备相关事故率（共8分）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5"/>
        <w:gridCol w:w="901"/>
        <w:gridCol w:w="2628"/>
        <w:gridCol w:w="1411"/>
        <w:gridCol w:w="1541"/>
      </w:tblGrid>
      <w:tr w14:paraId="38D2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4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1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5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E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315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46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70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9F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77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4D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723D9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F4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C1-1 设备直接引发工伤事故数同比变化</w:t>
            </w:r>
          </w:p>
        </w:tc>
        <w:tc>
          <w:tcPr>
            <w:tcW w:w="45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29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5分</w:t>
            </w:r>
          </w:p>
        </w:tc>
        <w:tc>
          <w:tcPr>
            <w:tcW w:w="131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D4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（上期-本期）/上期</w:t>
            </w:r>
          </w:p>
        </w:tc>
        <w:tc>
          <w:tcPr>
            <w:tcW w:w="70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E3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下降≥20%</w:t>
            </w:r>
          </w:p>
        </w:tc>
        <w:tc>
          <w:tcPr>
            <w:tcW w:w="77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C4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工伤+设备关联</w:t>
            </w:r>
          </w:p>
        </w:tc>
      </w:tr>
      <w:tr w14:paraId="34F99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CC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C1-2 无证操作设备导致事故占比</w:t>
            </w:r>
          </w:p>
        </w:tc>
        <w:tc>
          <w:tcPr>
            <w:tcW w:w="45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01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31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0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无证事故数/总设备事故数</w:t>
            </w:r>
          </w:p>
        </w:tc>
        <w:tc>
          <w:tcPr>
            <w:tcW w:w="70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79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≤5%</w:t>
            </w:r>
          </w:p>
        </w:tc>
        <w:tc>
          <w:tcPr>
            <w:tcW w:w="77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9DB9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设备+工伤</w:t>
            </w:r>
          </w:p>
        </w:tc>
      </w:tr>
    </w:tbl>
    <w:p w14:paraId="7EFB12E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C2 设备违规作业下降率（共7分）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5"/>
        <w:gridCol w:w="939"/>
        <w:gridCol w:w="2406"/>
        <w:gridCol w:w="1187"/>
        <w:gridCol w:w="1719"/>
      </w:tblGrid>
      <w:tr w14:paraId="50973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69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B7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7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19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20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79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9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4F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86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BE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53E5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C5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C2-1 无证开机次数下降率</w:t>
            </w:r>
          </w:p>
        </w:tc>
        <w:tc>
          <w:tcPr>
            <w:tcW w:w="47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0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2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7E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（上期-本期）/上期</w:t>
            </w:r>
          </w:p>
        </w:tc>
        <w:tc>
          <w:tcPr>
            <w:tcW w:w="59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7F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≥30%</w:t>
            </w:r>
          </w:p>
        </w:tc>
        <w:tc>
          <w:tcPr>
            <w:tcW w:w="8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B6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设备管理+预警</w:t>
            </w:r>
          </w:p>
        </w:tc>
      </w:tr>
      <w:tr w14:paraId="01490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FB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C2-2 设备越界/离岗违规次数下降率</w:t>
            </w:r>
          </w:p>
        </w:tc>
        <w:tc>
          <w:tcPr>
            <w:tcW w:w="47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E5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2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5E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59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51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≥30%</w:t>
            </w:r>
          </w:p>
        </w:tc>
        <w:tc>
          <w:tcPr>
            <w:tcW w:w="8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61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电子围栏</w:t>
            </w:r>
          </w:p>
        </w:tc>
      </w:tr>
      <w:tr w14:paraId="1DF4E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B4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C2-3 安全装置拆除/短接事件下降率</w:t>
            </w:r>
          </w:p>
        </w:tc>
        <w:tc>
          <w:tcPr>
            <w:tcW w:w="47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80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20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CC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59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EC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≥50%</w:t>
            </w:r>
          </w:p>
        </w:tc>
        <w:tc>
          <w:tcPr>
            <w:tcW w:w="8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DD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设备防拆</w:t>
            </w:r>
          </w:p>
        </w:tc>
      </w:tr>
    </w:tbl>
    <w:p w14:paraId="30CC6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C1B5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维度D：参保扩面（总分15分）</w:t>
      </w:r>
    </w:p>
    <w:p w14:paraId="429C1DE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D1 工伤保险参保率（共8分）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5"/>
        <w:gridCol w:w="919"/>
        <w:gridCol w:w="3159"/>
        <w:gridCol w:w="1175"/>
        <w:gridCol w:w="1318"/>
      </w:tblGrid>
      <w:tr w14:paraId="4FD61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9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8D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6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2D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58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0F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8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19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5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A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279B9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69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D1-1 高风险岗位工伤保险参保率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E0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58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93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已参保高风险人数/应参保人数</w:t>
            </w:r>
          </w:p>
        </w:tc>
        <w:tc>
          <w:tcPr>
            <w:tcW w:w="5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F4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5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FA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扩面减损</w:t>
            </w:r>
          </w:p>
        </w:tc>
      </w:tr>
      <w:tr w14:paraId="0FC5F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DF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D1-2 劳务派遣人员工伤保险参保率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41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58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AC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已参保派遣人数/应参保人数</w:t>
            </w:r>
          </w:p>
        </w:tc>
        <w:tc>
          <w:tcPr>
            <w:tcW w:w="58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C3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5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EB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社保监管</w:t>
            </w:r>
          </w:p>
        </w:tc>
      </w:tr>
    </w:tbl>
    <w:p w14:paraId="529DB1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D2 安责险参保率（共5分）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4"/>
        <w:gridCol w:w="961"/>
        <w:gridCol w:w="3187"/>
        <w:gridCol w:w="1201"/>
        <w:gridCol w:w="1441"/>
      </w:tblGrid>
      <w:tr w14:paraId="0488F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49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63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E9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D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D0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08504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8D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D2-1 应投保企业投保率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0C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5分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79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已投保企业数/应投保总数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A6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F3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安责险管理</w:t>
            </w:r>
          </w:p>
        </w:tc>
      </w:tr>
    </w:tbl>
    <w:p w14:paraId="4A5B4F2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D3 漏保追缴成功率（共2分）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6"/>
        <w:gridCol w:w="1059"/>
        <w:gridCol w:w="3475"/>
        <w:gridCol w:w="1191"/>
        <w:gridCol w:w="1395"/>
      </w:tblGrid>
      <w:tr w14:paraId="47771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4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25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53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AD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73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2E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96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4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9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C0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12B15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18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D3-1 漏保企业催缴完成率</w:t>
            </w:r>
          </w:p>
        </w:tc>
        <w:tc>
          <w:tcPr>
            <w:tcW w:w="53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C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1.5分</w:t>
            </w:r>
          </w:p>
        </w:tc>
        <w:tc>
          <w:tcPr>
            <w:tcW w:w="17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CF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已补缴企业数/漏保清单企业数</w:t>
            </w:r>
          </w:p>
        </w:tc>
        <w:tc>
          <w:tcPr>
            <w:tcW w:w="59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2A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9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50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扩面减损</w:t>
            </w:r>
          </w:p>
        </w:tc>
      </w:tr>
      <w:tr w14:paraId="0D652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8C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D3-2 漏保人员补缴率</w:t>
            </w:r>
          </w:p>
        </w:tc>
        <w:tc>
          <w:tcPr>
            <w:tcW w:w="53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63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0.5分</w:t>
            </w:r>
          </w:p>
        </w:tc>
        <w:tc>
          <w:tcPr>
            <w:tcW w:w="17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24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已补缴人数/漏保人数</w:t>
            </w:r>
          </w:p>
        </w:tc>
        <w:tc>
          <w:tcPr>
            <w:tcW w:w="59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B8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9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66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扩面减损</w:t>
            </w:r>
          </w:p>
        </w:tc>
      </w:tr>
    </w:tbl>
    <w:p w14:paraId="33C0A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3DF8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维度E：预警处置（总分10分）</w:t>
      </w:r>
    </w:p>
    <w:p w14:paraId="07703BF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E1 重大预警闭环后事故率（共5分）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8"/>
        <w:gridCol w:w="899"/>
        <w:gridCol w:w="2551"/>
        <w:gridCol w:w="1163"/>
        <w:gridCol w:w="1255"/>
      </w:tblGrid>
      <w:tr w14:paraId="2AC7F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61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CD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5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93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27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EE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8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2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2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91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049A9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05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E1-1 Ⅰ/Ⅱ级预警闭环后30天内同类事故发生率</w:t>
            </w:r>
          </w:p>
        </w:tc>
        <w:tc>
          <w:tcPr>
            <w:tcW w:w="4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10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27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9A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事故数/已闭环重大预警数</w:t>
            </w:r>
          </w:p>
        </w:tc>
        <w:tc>
          <w:tcPr>
            <w:tcW w:w="5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1D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≤5%</w:t>
            </w:r>
          </w:p>
        </w:tc>
        <w:tc>
          <w:tcPr>
            <w:tcW w:w="6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CD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预警+工伤</w:t>
            </w:r>
          </w:p>
        </w:tc>
      </w:tr>
      <w:tr w14:paraId="3DE76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6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FA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E1-2 未闭环预警导致事故率</w:t>
            </w:r>
          </w:p>
        </w:tc>
        <w:tc>
          <w:tcPr>
            <w:tcW w:w="4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16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27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D8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事故数/未闭环预警数</w:t>
            </w:r>
          </w:p>
        </w:tc>
        <w:tc>
          <w:tcPr>
            <w:tcW w:w="58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BA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62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11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预警+工伤</w:t>
            </w:r>
          </w:p>
        </w:tc>
      </w:tr>
    </w:tbl>
    <w:p w14:paraId="0254ACA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E2 重复预警率（共5分）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6"/>
        <w:gridCol w:w="927"/>
        <w:gridCol w:w="2839"/>
        <w:gridCol w:w="1179"/>
        <w:gridCol w:w="1345"/>
      </w:tblGrid>
      <w:tr w14:paraId="12E9B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0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CD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6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F2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42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33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9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DA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7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AB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17CD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ED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E2-1 同一企业同类型预警重复出现率</w:t>
            </w:r>
          </w:p>
        </w:tc>
        <w:tc>
          <w:tcPr>
            <w:tcW w:w="4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D4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42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4A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重复预警数/总预警数</w:t>
            </w:r>
          </w:p>
        </w:tc>
        <w:tc>
          <w:tcPr>
            <w:tcW w:w="59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B2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67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6E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08871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85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E2-2 同一区域同类隐患预警重复率</w:t>
            </w:r>
          </w:p>
        </w:tc>
        <w:tc>
          <w:tcPr>
            <w:tcW w:w="4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44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2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07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区域重复数/区域总预警数</w:t>
            </w:r>
          </w:p>
        </w:tc>
        <w:tc>
          <w:tcPr>
            <w:tcW w:w="59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83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≤15%</w:t>
            </w:r>
          </w:p>
        </w:tc>
        <w:tc>
          <w:tcPr>
            <w:tcW w:w="67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6F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预警+GIS</w:t>
            </w:r>
          </w:p>
        </w:tc>
      </w:tr>
    </w:tbl>
    <w:p w14:paraId="17D82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6977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维度F：技术防范（总分15分）</w:t>
      </w:r>
    </w:p>
    <w:p w14:paraId="6DD2881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注：此部分原包含28个视觉识别点，现仅列出权重较高的核心几个作为示例，实际开发应全量配置。每个识别点拆分为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违规率得分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和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整改率得分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3"/>
        <w:gridCol w:w="1001"/>
        <w:gridCol w:w="2998"/>
        <w:gridCol w:w="1293"/>
        <w:gridCol w:w="1177"/>
        <w:gridCol w:w="1044"/>
      </w:tblGrid>
      <w:tr w14:paraId="1AF53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37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33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501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FC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50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B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64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F5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589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99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52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17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归属识别点</w:t>
            </w:r>
          </w:p>
        </w:tc>
      </w:tr>
      <w:tr w14:paraId="0312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A1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未佩戴安全帽-违规率得分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C8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0.25分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5E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（目标违规率 - 实际违规率）/目标违规率×0.25，最低0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D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违规率≤5%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262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AI预警+考勤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F5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F1-1</w:t>
            </w:r>
          </w:p>
        </w:tc>
      </w:tr>
      <w:tr w14:paraId="724EC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EF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未佩戴安全帽-整改率得分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10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0.25分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99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已整改数/总预警数×0.25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76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整改率≥90%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48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预警+企业整改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65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F1-1</w:t>
            </w:r>
          </w:p>
        </w:tc>
      </w:tr>
      <w:tr w14:paraId="17E5A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8E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高处作业未系安全带-违规率得分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76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0.25分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2B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BA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违规率≤2%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F6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9D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F1-2</w:t>
            </w:r>
          </w:p>
        </w:tc>
      </w:tr>
      <w:tr w14:paraId="5F36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E5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高处作业未系安全带-整改率得分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8A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0.25分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05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F2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整改率≥95%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50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D1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F1-2</w:t>
            </w:r>
          </w:p>
        </w:tc>
      </w:tr>
      <w:tr w14:paraId="2A4AF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4C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明火预警处置率得分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C0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0.6分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A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30分钟内处置次数/总次数×0.6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80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87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预警+应急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EE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F1-9</w:t>
            </w:r>
          </w:p>
        </w:tc>
      </w:tr>
      <w:tr w14:paraId="27AD8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A0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 （其余26个识别点及电子监测等按相同模式细化）</w:t>
            </w:r>
          </w:p>
        </w:tc>
        <w:tc>
          <w:tcPr>
            <w:tcW w:w="50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6C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</w:t>
            </w:r>
          </w:p>
        </w:tc>
        <w:tc>
          <w:tcPr>
            <w:tcW w:w="150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91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</w:t>
            </w:r>
          </w:p>
        </w:tc>
        <w:tc>
          <w:tcPr>
            <w:tcW w:w="64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17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</w:t>
            </w:r>
          </w:p>
        </w:tc>
        <w:tc>
          <w:tcPr>
            <w:tcW w:w="5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E5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</w:t>
            </w:r>
          </w:p>
        </w:tc>
        <w:tc>
          <w:tcPr>
            <w:tcW w:w="522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93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...</w:t>
            </w:r>
          </w:p>
        </w:tc>
      </w:tr>
    </w:tbl>
    <w:p w14:paraId="08DF135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实际开发中，每个识别点的分值可根据其在F维度中的权重按比例分配。此处仅展示细化原则。</w:t>
      </w:r>
    </w:p>
    <w:p w14:paraId="2BD66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DB44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二、安责保（应急侧）细分得分点</w:t>
      </w:r>
    </w:p>
    <w:p w14:paraId="4D3D84D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维度AQ：安责险合规（总分25分）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6"/>
        <w:gridCol w:w="907"/>
        <w:gridCol w:w="3211"/>
        <w:gridCol w:w="1167"/>
        <w:gridCol w:w="1385"/>
      </w:tblGrid>
      <w:tr w14:paraId="2CD9C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0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EE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5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36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607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40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84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66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93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36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2EAAA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F7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AQ-1-1 安责险投保率（企业数）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EA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23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已投保企业数/应投保企业数×4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9F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7F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安责险管理</w:t>
            </w:r>
          </w:p>
        </w:tc>
      </w:tr>
      <w:tr w14:paraId="2A08F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D5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AQ-1-2 安责险投保率（从业人员）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A6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E3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已投保人数/应投保人数×4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23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48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安责险+人员</w:t>
            </w:r>
          </w:p>
        </w:tc>
      </w:tr>
      <w:tr w14:paraId="2B43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1D7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AQ-2-1 保额达标率（按行业标准）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B7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6分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94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保额达标企业数/投保企业总数×6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C4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D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安责险管理</w:t>
            </w:r>
          </w:p>
        </w:tc>
      </w:tr>
      <w:tr w14:paraId="68AC0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ED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AQ-3-1 事故预防服务费计提率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6A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5分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DB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实际计提/应计提×5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84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86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资金池</w:t>
            </w:r>
          </w:p>
        </w:tc>
      </w:tr>
      <w:tr w14:paraId="1479F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2B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AQ-4-1 事故预防服务费使用率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43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60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已使用/计提×4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A3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≥80%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03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安责险管理</w:t>
            </w:r>
          </w:p>
        </w:tc>
      </w:tr>
      <w:tr w14:paraId="34B88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19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AQ-5-1 服务委托完成率</w:t>
            </w:r>
          </w:p>
        </w:tc>
        <w:tc>
          <w:tcPr>
            <w:tcW w:w="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AB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6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A0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已完成委托数/总委托数×2</w:t>
            </w:r>
          </w:p>
        </w:tc>
        <w:tc>
          <w:tcPr>
            <w:tcW w:w="58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0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9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B77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安责险管理</w:t>
            </w:r>
          </w:p>
        </w:tc>
      </w:tr>
    </w:tbl>
    <w:p w14:paraId="7147FFE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维度C：设备安全（总分25分，与粤工保类似但权重重新分配）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1"/>
        <w:gridCol w:w="919"/>
        <w:gridCol w:w="3221"/>
        <w:gridCol w:w="1235"/>
        <w:gridCol w:w="1320"/>
      </w:tblGrid>
      <w:tr w14:paraId="7380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47" w:type="pct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6F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6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03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612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14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618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62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60" w:type="pct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22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07A2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1F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C-1-1 加芯赋码覆盖率（企业）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88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13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已加芯企业数/应加芯企业数×4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04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4C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设备管理</w:t>
            </w:r>
          </w:p>
        </w:tc>
      </w:tr>
      <w:tr w14:paraId="481B1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66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C-1-2 加芯赋码覆盖率（设备）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CA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9C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已加芯设备数/应加芯设备数×4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1E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6F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设备管理</w:t>
            </w:r>
          </w:p>
        </w:tc>
      </w:tr>
      <w:tr w14:paraId="061FD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37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C-2-1 设备在线率（整体）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7B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38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在线设备数/总设备数×4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97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7E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设备心跳</w:t>
            </w:r>
          </w:p>
        </w:tc>
      </w:tr>
      <w:tr w14:paraId="0E817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DE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C-2-2 设备离线时长（平均小时）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1B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0D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平均离线小时数（反向计分）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B8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≤2小时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A3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设备管理</w:t>
            </w:r>
          </w:p>
        </w:tc>
      </w:tr>
      <w:tr w14:paraId="3CDAE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0F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C-3-1 远程锁机成功率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40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A5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成功指令数/总指令数×4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BCD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≥99%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01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指令日志</w:t>
            </w:r>
          </w:p>
        </w:tc>
      </w:tr>
      <w:tr w14:paraId="409AE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22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C-4-1 电子围栏越界报警处置率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75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B4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已处置/总越界×4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E8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85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设备+预警</w:t>
            </w:r>
          </w:p>
        </w:tc>
      </w:tr>
      <w:tr w14:paraId="3BD16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B6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C-5-1 电子围栏覆盖率</w:t>
            </w:r>
          </w:p>
        </w:tc>
        <w:tc>
          <w:tcPr>
            <w:tcW w:w="46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B7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61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B1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已配置围栏区域数/应配置数×3</w:t>
            </w:r>
          </w:p>
        </w:tc>
        <w:tc>
          <w:tcPr>
            <w:tcW w:w="61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9D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  <w:tc>
          <w:tcPr>
            <w:tcW w:w="660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34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设备管理</w:t>
            </w:r>
          </w:p>
        </w:tc>
      </w:tr>
    </w:tbl>
    <w:p w14:paraId="6B4C9F4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维度F：技术防范（总分20分，与粤工保共享底层但统计口径更严格）</w:t>
      </w:r>
    </w:p>
    <w:tbl>
      <w:tblPr>
        <w:tblStyle w:val="12"/>
        <w:tblpPr w:leftFromText="180" w:rightFromText="180" w:vertAnchor="page" w:horzAnchor="page" w:tblpX="1111" w:tblpY="1513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4"/>
        <w:gridCol w:w="880"/>
        <w:gridCol w:w="2921"/>
        <w:gridCol w:w="1151"/>
        <w:gridCol w:w="1445"/>
      </w:tblGrid>
      <w:tr w14:paraId="70994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89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31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28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1A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B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woUserID w:val="1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</w:tr>
      <w:tr w14:paraId="6622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99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F-1-1 AI识别准确率（整体）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F0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4分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80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正确识别数/总识别数×4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A8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≥90%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89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预警复核</w:t>
            </w:r>
          </w:p>
        </w:tc>
      </w:tr>
      <w:tr w14:paraId="1BF3D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5B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F-1-2 关键行为识别准确率（未戴安全帽等）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3C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4D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正确数/总识别数×2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5DF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≥95%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90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同上</w:t>
            </w:r>
          </w:p>
        </w:tc>
      </w:tr>
      <w:tr w14:paraId="58F46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84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F-2-1 未佩戴安全帽违规率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8F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FE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违规人数/上岗人数×2（反向）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21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≤5%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6E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AI+考勤</w:t>
            </w:r>
          </w:p>
        </w:tc>
      </w:tr>
      <w:tr w14:paraId="1239E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1D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F-3-1 高处作业未系安全带违规率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DC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00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违规次数/高处作业人次×2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0A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≤2%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82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同上</w:t>
            </w:r>
          </w:p>
        </w:tc>
      </w:tr>
      <w:tr w14:paraId="41DC7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64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F-4-1 危险区域闯入违规率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D5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59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闯入次数/区域进入总人次×2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7A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≤1%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B1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同上</w:t>
            </w:r>
          </w:p>
        </w:tc>
      </w:tr>
      <w:tr w14:paraId="7584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06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F-5-1 明火/烟雾预警处置率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FA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A3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30分钟内处置数/总数×2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19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100%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F7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预警+应急</w:t>
            </w:r>
          </w:p>
        </w:tc>
      </w:tr>
      <w:tr w14:paraId="6321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D3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F-6-1 同类隐患重复出现率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E4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8D7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重复隐患数/总隐患数×2（反向）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1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≤15%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3E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AI记录</w:t>
            </w:r>
          </w:p>
        </w:tc>
      </w:tr>
      <w:tr w14:paraId="123C5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CA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F-7-1 芯片防拆报警后事故发生率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89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2分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A5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事故数/拆卸报警次数×2（反向）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D3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≤2%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F4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设备+工伤</w:t>
            </w:r>
          </w:p>
        </w:tc>
      </w:tr>
      <w:tr w14:paraId="178DE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F8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F-8-1 芯片越界报警后事故发生率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A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3F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事故数/越界报警次数×1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09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≤2%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17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电子围栏+工伤</w:t>
            </w:r>
          </w:p>
        </w:tc>
      </w:tr>
      <w:tr w14:paraId="0F948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E8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F-9-1 设备离线后违规开机事故率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DC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B4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事故数/离线违规开机次数×1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12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≤5%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BB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设备+工伤</w:t>
            </w:r>
          </w:p>
        </w:tc>
      </w:tr>
      <w:tr w14:paraId="5A7FA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FA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F-10-1 远程锁机失败导致事故率</w:t>
            </w:r>
          </w:p>
        </w:tc>
        <w:tc>
          <w:tcPr>
            <w:tcW w:w="4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4B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1分</w:t>
            </w:r>
          </w:p>
        </w:tc>
        <w:tc>
          <w:tcPr>
            <w:tcW w:w="1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94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事故数/锁机失败次数×1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B7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≤1%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CD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lang w:val="en-US" w:eastAsia="zh-CN" w:bidi="ar"/>
                <w:woUserID w:val="1"/>
              </w:rPr>
              <w:t>命令日志+工伤</w:t>
            </w:r>
          </w:p>
        </w:tc>
      </w:tr>
    </w:tbl>
    <w:p w14:paraId="639D641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720" w:right="72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每个识别点还可拆分为“事件发生次数”与“整改情况”，进一步细化。</w:t>
      </w:r>
    </w:p>
    <w:p w14:paraId="6C8C383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维度H：隐患整改（总分15分）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4"/>
        <w:gridCol w:w="890"/>
        <w:gridCol w:w="3367"/>
        <w:gridCol w:w="1156"/>
        <w:gridCol w:w="1224"/>
      </w:tblGrid>
      <w:tr w14:paraId="75DE0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43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C8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3D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E4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51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46C64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9F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H-1-1 AI识别隐患整改完成率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09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6分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64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已整改数/核实真实隐患数×6</w:t>
            </w:r>
          </w:p>
        </w:tc>
        <w:tc>
          <w:tcPr>
            <w:tcW w:w="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67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≥85%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5D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预警+整改</w:t>
            </w:r>
          </w:p>
        </w:tc>
      </w:tr>
      <w:tr w14:paraId="4F21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C5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H-1-2 重大隐患（Ⅰ/Ⅱ级）整改完成率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0D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28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重大隐患已整改数/重大隐患总数×2</w:t>
            </w:r>
          </w:p>
        </w:tc>
        <w:tc>
          <w:tcPr>
            <w:tcW w:w="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DA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100%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31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同上</w:t>
            </w:r>
          </w:p>
        </w:tc>
      </w:tr>
      <w:tr w14:paraId="5A4CA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7F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H-2-1 整改逾期率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E2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4分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10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超期未整改数/总任务数×4（反向）</w:t>
            </w:r>
          </w:p>
        </w:tc>
        <w:tc>
          <w:tcPr>
            <w:tcW w:w="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F3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42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整改任务</w:t>
            </w:r>
          </w:p>
        </w:tc>
      </w:tr>
      <w:tr w14:paraId="2E5EF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F1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H-3-1 重复隐患率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82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1E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重复隐患数/总隐患类型数×3（反向）</w:t>
            </w:r>
          </w:p>
        </w:tc>
        <w:tc>
          <w:tcPr>
            <w:tcW w:w="5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51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≤15%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7E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AI记录</w:t>
            </w:r>
          </w:p>
        </w:tc>
      </w:tr>
    </w:tbl>
    <w:p w14:paraId="7E6F8BF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维度E：预警处置（总分15分）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872"/>
        <w:gridCol w:w="3752"/>
        <w:gridCol w:w="1265"/>
        <w:gridCol w:w="1171"/>
      </w:tblGrid>
      <w:tr w14:paraId="17156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B8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四级得分点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E4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分值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84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计算方式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4B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目标值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4E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woUserID w:val="1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数据来源</w:t>
            </w:r>
          </w:p>
        </w:tc>
      </w:tr>
      <w:tr w14:paraId="42746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B1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E-1-1 Ⅰ级预警平均响应时间（分钟）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60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1E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平均响应≤10分钟得2分，每超2分钟扣0.2分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5A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≤10分钟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18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6332B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1F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E-1-2 Ⅱ级预警平均响应时间（分钟）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DE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3B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平均响应≤30分钟得2分，每超5分钟扣0.2分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10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≤30分钟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DC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1EACC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F6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E-2-1 Ⅰ级预警闭环率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F4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07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已闭环数/总Ⅰ级预警数×3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8D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≥99%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47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12974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CD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E-2-2 Ⅱ级预警闭环率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B9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2分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39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已闭环数/总Ⅱ级预警数×2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D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≥98%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60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03235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5F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E-3-1 预警超时升级率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54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0B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超时升级数/总预警数×3（反向）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62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≤5%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2C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预警中心</w:t>
            </w:r>
          </w:p>
        </w:tc>
      </w:tr>
      <w:tr w14:paraId="15B44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C1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E-4-1 未闭环预警导致事故率</w:t>
            </w:r>
          </w:p>
        </w:tc>
        <w:tc>
          <w:tcPr>
            <w:tcW w:w="4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87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3分</w:t>
            </w:r>
          </w:p>
        </w:tc>
        <w:tc>
          <w:tcPr>
            <w:tcW w:w="1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6A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事故数/未闭环预警数×3（反向）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E2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≤10%</w:t>
            </w:r>
          </w:p>
        </w:tc>
        <w:tc>
          <w:tcPr>
            <w:tcW w:w="5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FD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woUserID w:val="1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  <w:woUserID w:val="1"/>
              </w:rPr>
              <w:t>预警+工伤</w:t>
            </w:r>
          </w:p>
        </w:tc>
      </w:tr>
    </w:tbl>
    <w:p w14:paraId="159F8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sz w:val="24"/>
          <w:szCs w:val="24"/>
          <w:woUserID w:val="1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8767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三、评分计算流程</w:t>
      </w:r>
    </w:p>
    <w:p w14:paraId="43AC56A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数据采集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：每日/每月通过定时任务从各业务表（t_attendance_raw, t_warning, t_device, t_enterprise_score 等）聚合原始指标值。</w:t>
      </w:r>
    </w:p>
    <w:p w14:paraId="3721E30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计算得分点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：根据上述公式计算每个四级得分点的实际分数。</w:t>
      </w:r>
    </w:p>
    <w:p w14:paraId="66CFF5B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维度汇总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：将同一维度下的所有四级得分点求和，得到维度分。</w:t>
      </w:r>
    </w:p>
    <w:p w14:paraId="524C91F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品牌总分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：按维度权重加权求和，加上附加分，减去扣分项。</w:t>
      </w:r>
    </w:p>
    <w:p w14:paraId="798687F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结果存储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：将企业得分、维度得分、各得分点明细存入历史表，供AI监测报告使用。</w:t>
      </w:r>
    </w:p>
    <w:p w14:paraId="4BDBC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40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1"/>
        </w:rPr>
      </w:pPr>
      <w:r>
        <w:rPr>
          <w:woUserID w:val="1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B918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64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hd w:val="clear" w:fill="FFFFFF"/>
          <w:woUserID w:val="1"/>
        </w:rPr>
        <w:t>四、开发注意事项</w:t>
      </w:r>
    </w:p>
    <w:p w14:paraId="113013C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权重配置化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：所有得分点的分值应存储在配置表（如</w:t>
      </w:r>
      <w:r>
        <w:rPr>
          <w:rStyle w:val="15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  <w:woUserID w:val="1"/>
        </w:rPr>
        <w:t>t_score_config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）中，便于后续调整。</w:t>
      </w:r>
    </w:p>
    <w:p w14:paraId="2A910ED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数据预处理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：对于违规率、在线率等需要分母的指标，分母若为0则该项不得分。</w:t>
      </w:r>
    </w:p>
    <w:p w14:paraId="452AD7F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缓存策略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：每日计算的结果可缓存24小时，避免重复计算。</w:t>
      </w:r>
    </w:p>
    <w:p w14:paraId="1667C24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woUserID w:val="1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异常值处理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：当原始数据缺失时，该项得分为0，并记录日志用于排查。</w:t>
      </w:r>
    </w:p>
    <w:p w14:paraId="5AC98B67"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lang w:eastAsia="zh-CN"/>
          <w:woUserID w:val="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  <w:t>此细化方案可直接用于数据库设计、ETL任务及评分引擎编码。</w:t>
      </w:r>
    </w:p>
    <w:sectPr>
      <w:pgSz w:w="11906" w:h="16838"/>
      <w:pgMar w:top="1440" w:right="1080" w:bottom="1440" w:left="108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var(--dsw-font-markdown-table-head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ar(--dsw-font-markdown-table-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BF4128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2026-06-01T21:41:22Z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86E8C463987D5207028C1D6A6977AFD1_43</vt:lpwstr>
  </property>
</Properties>
</file>