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5C3" w:rsidRDefault="008D35C3" w:rsidP="008D35C3">
      <w:pPr>
        <w:pStyle w:val="Heading2"/>
        <w:spacing w:before="0"/>
        <w:ind w:left="180" w:right="130" w:firstLine="0"/>
        <w:rPr>
          <w:rFonts w:ascii="Times New Roman" w:hAnsi="Times New Roman"/>
          <w:color w:val="000000"/>
          <w:sz w:val="54"/>
          <w:szCs w:val="54"/>
        </w:rPr>
      </w:pPr>
      <w:bookmarkStart w:id="0" w:name="_Toc295558954"/>
      <w:bookmarkStart w:id="1" w:name="_Toc303108899"/>
      <w:bookmarkStart w:id="2" w:name="_Toc303283673"/>
      <w:bookmarkStart w:id="3" w:name="_Toc303286372"/>
      <w:r>
        <w:rPr>
          <w:rFonts w:ascii="Times New Roman" w:hAnsi="Times New Roman"/>
          <w:color w:val="191919"/>
          <w:sz w:val="72"/>
          <w:szCs w:val="72"/>
        </w:rPr>
        <w:t>P</w:t>
      </w:r>
      <w:r>
        <w:rPr>
          <w:rFonts w:ascii="Times New Roman" w:hAnsi="Times New Roman"/>
          <w:color w:val="191919"/>
          <w:sz w:val="54"/>
          <w:szCs w:val="54"/>
        </w:rPr>
        <w:t>ROFILE</w:t>
      </w:r>
      <w:bookmarkEnd w:id="0"/>
      <w:bookmarkEnd w:id="1"/>
      <w:bookmarkEnd w:id="2"/>
      <w:bookmarkEnd w:id="3"/>
    </w:p>
    <w:p w:rsidR="008D35C3" w:rsidRDefault="008D35C3" w:rsidP="008D35C3">
      <w:pPr>
        <w:widowControl w:val="0"/>
        <w:autoSpaceDE w:val="0"/>
        <w:autoSpaceDN w:val="0"/>
        <w:adjustRightInd w:val="0"/>
        <w:spacing w:before="8" w:after="0" w:line="150" w:lineRule="exact"/>
        <w:ind w:left="180" w:right="130" w:firstLine="0"/>
        <w:rPr>
          <w:rFonts w:ascii="Times New Roman" w:hAnsi="Times New Roman"/>
          <w:color w:val="000000"/>
          <w:sz w:val="15"/>
          <w:szCs w:val="15"/>
        </w:rPr>
      </w:pPr>
    </w:p>
    <w:bookmarkStart w:id="4" w:name="_Toc295558955"/>
    <w:bookmarkStart w:id="5" w:name="_Toc303108900"/>
    <w:bookmarkStart w:id="6" w:name="_Toc303283674"/>
    <w:p w:rsidR="00FD47B2" w:rsidRPr="00FD47B2" w:rsidRDefault="00FD47B2" w:rsidP="00FD47B2">
      <w:pPr>
        <w:widowControl w:val="0"/>
        <w:autoSpaceDE w:val="0"/>
        <w:autoSpaceDN w:val="0"/>
        <w:adjustRightInd w:val="0"/>
        <w:spacing w:after="0" w:line="250" w:lineRule="auto"/>
        <w:ind w:left="720" w:right="130" w:firstLine="0"/>
        <w:jc w:val="both"/>
        <w:rPr>
          <w:rFonts w:ascii="Times New Roman" w:hAnsi="Times New Roman" w:cs="Times New Roman"/>
          <w:color w:val="4F81BD" w:themeColor="accent1"/>
          <w:sz w:val="24"/>
          <w:szCs w:val="24"/>
        </w:rPr>
      </w:pPr>
      <w:r>
        <w:rPr>
          <w:bCs/>
          <w:sz w:val="24"/>
          <w:szCs w:val="24"/>
        </w:rPr>
        <w:fldChar w:fldCharType="begin"/>
      </w:r>
      <w:r>
        <w:rPr>
          <w:bCs/>
          <w:sz w:val="24"/>
          <w:szCs w:val="24"/>
        </w:rPr>
        <w:instrText xml:space="preserve"> TOC \o "1-2" \h \z \u </w:instrText>
      </w:r>
      <w:r>
        <w:rPr>
          <w:bCs/>
          <w:sz w:val="24"/>
          <w:szCs w:val="24"/>
        </w:rPr>
        <w:fldChar w:fldCharType="separate"/>
      </w:r>
      <w:hyperlink w:anchor="_Toc303286372" w:history="1">
        <w:r w:rsidRPr="00FD47B2">
          <w:rPr>
            <w:rFonts w:ascii="Times New Roman" w:hAnsi="Times New Roman" w:cs="Times New Roman"/>
            <w:color w:val="4F81BD" w:themeColor="accent1"/>
            <w:sz w:val="24"/>
            <w:szCs w:val="24"/>
          </w:rPr>
          <w:t>Profile</w:t>
        </w:r>
      </w:hyperlink>
    </w:p>
    <w:p w:rsidR="00FD47B2" w:rsidRPr="00FD47B2" w:rsidRDefault="00FD47B2" w:rsidP="00FD47B2">
      <w:pPr>
        <w:widowControl w:val="0"/>
        <w:autoSpaceDE w:val="0"/>
        <w:autoSpaceDN w:val="0"/>
        <w:adjustRightInd w:val="0"/>
        <w:spacing w:after="0" w:line="250" w:lineRule="auto"/>
        <w:ind w:left="720" w:right="130" w:firstLine="0"/>
        <w:jc w:val="both"/>
        <w:rPr>
          <w:rFonts w:ascii="Times New Roman" w:hAnsi="Times New Roman" w:cs="Times New Roman"/>
          <w:color w:val="4F81BD" w:themeColor="accent1"/>
          <w:sz w:val="24"/>
          <w:szCs w:val="24"/>
        </w:rPr>
      </w:pPr>
      <w:hyperlink w:anchor="_Toc303286373" w:history="1">
        <w:r w:rsidRPr="00FD47B2">
          <w:rPr>
            <w:rFonts w:ascii="Times New Roman" w:hAnsi="Times New Roman" w:cs="Times New Roman"/>
            <w:color w:val="4F81BD" w:themeColor="accent1"/>
            <w:sz w:val="24"/>
            <w:szCs w:val="24"/>
          </w:rPr>
          <w:t>Accreditation</w:t>
        </w:r>
      </w:hyperlink>
    </w:p>
    <w:p w:rsidR="00FD47B2" w:rsidRPr="00FD47B2" w:rsidRDefault="00FD47B2" w:rsidP="00FD47B2">
      <w:pPr>
        <w:widowControl w:val="0"/>
        <w:autoSpaceDE w:val="0"/>
        <w:autoSpaceDN w:val="0"/>
        <w:adjustRightInd w:val="0"/>
        <w:spacing w:after="0" w:line="250" w:lineRule="auto"/>
        <w:ind w:left="720" w:right="130" w:firstLine="0"/>
        <w:jc w:val="both"/>
        <w:rPr>
          <w:rFonts w:ascii="Times New Roman" w:hAnsi="Times New Roman" w:cs="Times New Roman"/>
          <w:color w:val="4F81BD" w:themeColor="accent1"/>
          <w:sz w:val="24"/>
          <w:szCs w:val="24"/>
        </w:rPr>
      </w:pPr>
      <w:hyperlink w:anchor="_Toc303286374" w:history="1">
        <w:r w:rsidRPr="00FD47B2">
          <w:rPr>
            <w:rFonts w:ascii="Times New Roman" w:hAnsi="Times New Roman" w:cs="Times New Roman"/>
            <w:color w:val="4F81BD" w:themeColor="accent1"/>
            <w:sz w:val="24"/>
            <w:szCs w:val="24"/>
          </w:rPr>
          <w:t>Undergraduate And Graduate Studies</w:t>
        </w:r>
      </w:hyperlink>
    </w:p>
    <w:p w:rsidR="00FD47B2" w:rsidRPr="00FD47B2" w:rsidRDefault="00FD47B2" w:rsidP="00FD47B2">
      <w:pPr>
        <w:widowControl w:val="0"/>
        <w:autoSpaceDE w:val="0"/>
        <w:autoSpaceDN w:val="0"/>
        <w:adjustRightInd w:val="0"/>
        <w:spacing w:after="0" w:line="250" w:lineRule="auto"/>
        <w:ind w:left="720" w:right="130" w:firstLine="0"/>
        <w:jc w:val="both"/>
        <w:rPr>
          <w:rFonts w:ascii="Times New Roman" w:hAnsi="Times New Roman" w:cs="Times New Roman"/>
          <w:color w:val="4F81BD" w:themeColor="accent1"/>
          <w:sz w:val="24"/>
          <w:szCs w:val="24"/>
        </w:rPr>
      </w:pPr>
      <w:hyperlink w:anchor="_Toc303286375" w:history="1">
        <w:r w:rsidRPr="00FD47B2">
          <w:rPr>
            <w:rFonts w:ascii="Times New Roman" w:hAnsi="Times New Roman" w:cs="Times New Roman"/>
            <w:color w:val="4F81BD" w:themeColor="accent1"/>
            <w:sz w:val="24"/>
            <w:szCs w:val="24"/>
          </w:rPr>
          <w:t>The James Pendergrast Memorial Library</w:t>
        </w:r>
      </w:hyperlink>
    </w:p>
    <w:p w:rsidR="00FD47B2" w:rsidRPr="00FD47B2" w:rsidRDefault="00FD47B2" w:rsidP="00FD47B2">
      <w:pPr>
        <w:widowControl w:val="0"/>
        <w:autoSpaceDE w:val="0"/>
        <w:autoSpaceDN w:val="0"/>
        <w:adjustRightInd w:val="0"/>
        <w:spacing w:after="0" w:line="250" w:lineRule="auto"/>
        <w:ind w:left="720" w:right="130" w:firstLine="0"/>
        <w:jc w:val="both"/>
        <w:rPr>
          <w:rFonts w:ascii="Times New Roman" w:hAnsi="Times New Roman" w:cs="Times New Roman"/>
          <w:color w:val="191919"/>
          <w:sz w:val="24"/>
          <w:szCs w:val="24"/>
        </w:rPr>
      </w:pPr>
      <w:hyperlink w:anchor="_Toc303286376" w:history="1">
        <w:r w:rsidRPr="00FD47B2">
          <w:rPr>
            <w:rFonts w:ascii="Times New Roman" w:hAnsi="Times New Roman" w:cs="Times New Roman"/>
            <w:color w:val="4F81BD" w:themeColor="accent1"/>
            <w:sz w:val="24"/>
            <w:szCs w:val="24"/>
          </w:rPr>
          <w:t>The Albany State University Alumni Association</w:t>
        </w:r>
      </w:hyperlink>
    </w:p>
    <w:p w:rsidR="00FD47B2" w:rsidRDefault="00FD47B2" w:rsidP="00FD47B2">
      <w:pPr>
        <w:pStyle w:val="Heading2"/>
        <w:spacing w:before="0"/>
        <w:ind w:right="130"/>
        <w:rPr>
          <w:rFonts w:ascii="Times New Roman" w:hAnsi="Times New Roman"/>
          <w:bCs w:val="0"/>
          <w:color w:val="000000" w:themeColor="text1"/>
          <w:sz w:val="24"/>
          <w:szCs w:val="24"/>
        </w:rPr>
      </w:pPr>
      <w:r>
        <w:rPr>
          <w:rFonts w:ascii="Times New Roman" w:hAnsi="Times New Roman"/>
          <w:bCs w:val="0"/>
          <w:color w:val="000000" w:themeColor="text1"/>
          <w:sz w:val="24"/>
          <w:szCs w:val="24"/>
        </w:rPr>
        <w:fldChar w:fldCharType="end"/>
      </w:r>
    </w:p>
    <w:p w:rsidR="008D35C3" w:rsidRPr="00252FFB" w:rsidRDefault="008D35C3" w:rsidP="008D35C3">
      <w:pPr>
        <w:pStyle w:val="Heading2"/>
        <w:spacing w:before="0"/>
        <w:ind w:left="180" w:right="130" w:firstLine="0"/>
        <w:rPr>
          <w:rFonts w:ascii="Times New Roman" w:hAnsi="Times New Roman"/>
          <w:bCs w:val="0"/>
          <w:color w:val="000000" w:themeColor="text1"/>
          <w:sz w:val="24"/>
          <w:szCs w:val="24"/>
        </w:rPr>
      </w:pPr>
      <w:bookmarkStart w:id="7" w:name="_Toc303286373"/>
      <w:r w:rsidRPr="00252FFB">
        <w:rPr>
          <w:rFonts w:ascii="Times New Roman" w:hAnsi="Times New Roman"/>
          <w:bCs w:val="0"/>
          <w:color w:val="000000" w:themeColor="text1"/>
          <w:sz w:val="24"/>
          <w:szCs w:val="24"/>
        </w:rPr>
        <w:t>ACCREDITATION</w:t>
      </w:r>
      <w:bookmarkEnd w:id="4"/>
      <w:bookmarkEnd w:id="5"/>
      <w:bookmarkEnd w:id="6"/>
      <w:bookmarkEnd w:id="7"/>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Albany State University is accredited by the Commission on Colleges of the Southern Association of Colleges and Schools (1866 Southern Lane, Decatur, Georgia 30033-4097: Telephone number 404-679-4501) to award Bachelor’s, Master’s and Education Specialist degrees. Albany State University is also accredited by the National Council for Accreditation of Teacher Education, the Georgia Professional Standards Commission, the Association of Collegiate Business Schools and Programs, the National League for Nursing Accrediting Commissions, the Georgia Board of Nursing, and Council on Social Work Education. Individual colleges and departments also hold memberships in the regional and national professional organizations associated with the respective discipline.</w:t>
      </w:r>
    </w:p>
    <w:p w:rsidR="008D35C3" w:rsidRPr="00252FFB" w:rsidRDefault="008D35C3" w:rsidP="008D35C3">
      <w:pPr>
        <w:widowControl w:val="0"/>
        <w:autoSpaceDE w:val="0"/>
        <w:autoSpaceDN w:val="0"/>
        <w:adjustRightInd w:val="0"/>
        <w:spacing w:before="7" w:after="0" w:line="220" w:lineRule="exact"/>
        <w:ind w:left="180" w:right="130" w:firstLine="0"/>
        <w:rPr>
          <w:rFonts w:ascii="Times New Roman" w:hAnsi="Times New Roman"/>
          <w:color w:val="000000" w:themeColor="text1"/>
          <w:sz w:val="24"/>
          <w:szCs w:val="24"/>
        </w:rPr>
      </w:pPr>
    </w:p>
    <w:p w:rsidR="008D35C3" w:rsidRPr="00252FFB" w:rsidRDefault="008D35C3" w:rsidP="008D35C3">
      <w:pPr>
        <w:pStyle w:val="Heading2"/>
        <w:spacing w:before="0"/>
        <w:ind w:left="180" w:right="130" w:firstLine="0"/>
        <w:rPr>
          <w:rFonts w:ascii="Times New Roman" w:hAnsi="Times New Roman"/>
          <w:color w:val="000000"/>
          <w:sz w:val="24"/>
          <w:szCs w:val="24"/>
        </w:rPr>
      </w:pPr>
      <w:bookmarkStart w:id="8" w:name="_Toc295558956"/>
      <w:bookmarkStart w:id="9" w:name="_Toc303108901"/>
      <w:bookmarkStart w:id="10" w:name="_Toc303283675"/>
      <w:bookmarkStart w:id="11" w:name="_Toc303286374"/>
      <w:r w:rsidRPr="00252FFB">
        <w:rPr>
          <w:rFonts w:ascii="Times New Roman" w:hAnsi="Times New Roman"/>
          <w:bCs w:val="0"/>
          <w:color w:val="191919"/>
          <w:sz w:val="24"/>
          <w:szCs w:val="24"/>
        </w:rPr>
        <w:t>UNDERGRADU</w:t>
      </w:r>
      <w:r w:rsidRPr="00252FFB">
        <w:rPr>
          <w:rFonts w:ascii="Times New Roman" w:hAnsi="Times New Roman"/>
          <w:bCs w:val="0"/>
          <w:color w:val="191919"/>
          <w:spacing w:val="-14"/>
          <w:sz w:val="24"/>
          <w:szCs w:val="24"/>
        </w:rPr>
        <w:t>A</w:t>
      </w:r>
      <w:r w:rsidRPr="00252FFB">
        <w:rPr>
          <w:rFonts w:ascii="Times New Roman" w:hAnsi="Times New Roman"/>
          <w:bCs w:val="0"/>
          <w:color w:val="191919"/>
          <w:sz w:val="24"/>
          <w:szCs w:val="24"/>
        </w:rPr>
        <w:t>TE</w:t>
      </w:r>
      <w:r w:rsidRPr="00252FFB">
        <w:rPr>
          <w:rFonts w:ascii="Times New Roman" w:hAnsi="Times New Roman"/>
          <w:bCs w:val="0"/>
          <w:color w:val="191919"/>
          <w:spacing w:val="5"/>
          <w:sz w:val="24"/>
          <w:szCs w:val="24"/>
        </w:rPr>
        <w:t xml:space="preserve"> </w:t>
      </w:r>
      <w:r w:rsidRPr="00252FFB">
        <w:rPr>
          <w:rFonts w:ascii="Times New Roman" w:hAnsi="Times New Roman"/>
          <w:bCs w:val="0"/>
          <w:color w:val="191919"/>
          <w:sz w:val="24"/>
          <w:szCs w:val="24"/>
        </w:rPr>
        <w:t>AND</w:t>
      </w:r>
      <w:r w:rsidRPr="00252FFB">
        <w:rPr>
          <w:rFonts w:ascii="Times New Roman" w:hAnsi="Times New Roman"/>
          <w:bCs w:val="0"/>
          <w:color w:val="191919"/>
          <w:spacing w:val="15"/>
          <w:sz w:val="24"/>
          <w:szCs w:val="24"/>
        </w:rPr>
        <w:t xml:space="preserve"> </w:t>
      </w:r>
      <w:r w:rsidRPr="00252FFB">
        <w:rPr>
          <w:rFonts w:ascii="Times New Roman" w:hAnsi="Times New Roman"/>
          <w:bCs w:val="0"/>
          <w:color w:val="191919"/>
          <w:sz w:val="24"/>
          <w:szCs w:val="24"/>
        </w:rPr>
        <w:t>GRADU</w:t>
      </w:r>
      <w:r w:rsidRPr="00252FFB">
        <w:rPr>
          <w:rFonts w:ascii="Times New Roman" w:hAnsi="Times New Roman"/>
          <w:bCs w:val="0"/>
          <w:color w:val="191919"/>
          <w:spacing w:val="-14"/>
          <w:sz w:val="24"/>
          <w:szCs w:val="24"/>
        </w:rPr>
        <w:t>A</w:t>
      </w:r>
      <w:r w:rsidRPr="00252FFB">
        <w:rPr>
          <w:rFonts w:ascii="Times New Roman" w:hAnsi="Times New Roman"/>
          <w:bCs w:val="0"/>
          <w:color w:val="191919"/>
          <w:sz w:val="24"/>
          <w:szCs w:val="24"/>
        </w:rPr>
        <w:t>TE</w:t>
      </w:r>
      <w:r w:rsidRPr="00252FFB">
        <w:rPr>
          <w:rFonts w:ascii="Times New Roman" w:hAnsi="Times New Roman"/>
          <w:bCs w:val="0"/>
          <w:color w:val="191919"/>
          <w:spacing w:val="15"/>
          <w:sz w:val="24"/>
          <w:szCs w:val="24"/>
        </w:rPr>
        <w:t xml:space="preserve"> </w:t>
      </w:r>
      <w:r w:rsidRPr="00252FFB">
        <w:rPr>
          <w:rFonts w:ascii="Times New Roman" w:hAnsi="Times New Roman"/>
          <w:bCs w:val="0"/>
          <w:color w:val="191919"/>
          <w:sz w:val="24"/>
          <w:szCs w:val="24"/>
        </w:rPr>
        <w:t>STUDIES</w:t>
      </w:r>
      <w:bookmarkEnd w:id="8"/>
      <w:bookmarkEnd w:id="9"/>
      <w:bookmarkEnd w:id="10"/>
      <w:bookmarkEnd w:id="11"/>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The ASU Undergraduate Curriculum includes studies in various disciplines through the college of Arts and Humanities, the College of Business, the College of Education and the Col</w:t>
      </w:r>
      <w:bookmarkStart w:id="12" w:name="_GoBack"/>
      <w:bookmarkEnd w:id="12"/>
      <w:r w:rsidRPr="001A505E">
        <w:rPr>
          <w:rFonts w:ascii="Times New Roman" w:hAnsi="Times New Roman"/>
          <w:color w:val="191919"/>
          <w:sz w:val="24"/>
          <w:szCs w:val="24"/>
        </w:rPr>
        <w:t>lege of Sciences &amp; Health Professions. The University offers graduate studies leading to the Master of Education degree (M.Ed.), Master of Business Administration degree (M.B.A.), the Masters of Science in Criminal Justice degree (M.S.), the Master of Public Administration degree (M.P.A.), the Master of Science degree in Nursing (M.S.N.) and the Specialist degree in Educational Administration (Ed.S.).</w:t>
      </w:r>
    </w:p>
    <w:p w:rsidR="008D35C3" w:rsidRPr="00252FFB" w:rsidRDefault="008D35C3" w:rsidP="008D35C3">
      <w:pPr>
        <w:widowControl w:val="0"/>
        <w:autoSpaceDE w:val="0"/>
        <w:autoSpaceDN w:val="0"/>
        <w:adjustRightInd w:val="0"/>
        <w:spacing w:before="7" w:after="0" w:line="220" w:lineRule="exact"/>
        <w:ind w:left="180" w:right="130" w:firstLine="0"/>
        <w:rPr>
          <w:rFonts w:ascii="Times New Roman" w:hAnsi="Times New Roman"/>
          <w:color w:val="000000"/>
          <w:sz w:val="24"/>
          <w:szCs w:val="24"/>
        </w:rPr>
      </w:pPr>
    </w:p>
    <w:p w:rsidR="008D35C3" w:rsidRPr="00252FFB" w:rsidRDefault="008D35C3" w:rsidP="008D35C3">
      <w:pPr>
        <w:pStyle w:val="Heading2"/>
        <w:spacing w:before="0"/>
        <w:ind w:left="180" w:right="130" w:firstLine="0"/>
        <w:rPr>
          <w:rFonts w:ascii="Times New Roman" w:hAnsi="Times New Roman"/>
          <w:bCs w:val="0"/>
          <w:color w:val="191919"/>
          <w:sz w:val="24"/>
          <w:szCs w:val="24"/>
        </w:rPr>
      </w:pPr>
      <w:bookmarkStart w:id="13" w:name="_Toc295558957"/>
      <w:bookmarkStart w:id="14" w:name="_Toc303108902"/>
      <w:bookmarkStart w:id="15" w:name="_Toc303283676"/>
      <w:bookmarkStart w:id="16" w:name="_Toc303286375"/>
      <w:r w:rsidRPr="00252FFB">
        <w:rPr>
          <w:rFonts w:ascii="Times New Roman" w:hAnsi="Times New Roman"/>
          <w:bCs w:val="0"/>
          <w:color w:val="191919"/>
          <w:sz w:val="24"/>
          <w:szCs w:val="24"/>
        </w:rPr>
        <w:t>THE JAMES PENDERGRAST MEMORIAL LIBRARY</w:t>
      </w:r>
      <w:bookmarkEnd w:id="13"/>
      <w:bookmarkEnd w:id="14"/>
      <w:bookmarkEnd w:id="15"/>
      <w:bookmarkEnd w:id="16"/>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The James Pendergrast Memorial Library is a modern, 73,000 square foot facility, which opened in 1994, and seats more than  900. It features Galileo Labs, study areas, a large lecture room, the Office of OIIT, NASA/SEMMA Lab and the Curriculum Resource Center are all  housed in the Library. The six million dollar building houses more than 199,196  volumes and subscriptions to 268  periodicals. The library collection includes print and electronic journals, monographs, microfiche collection, including the ERIC DOCUMENT collection on microfiche.  The library has an automated library system called ExLibris/Voyager which includes cataloging, circulation, serials, acquisitions and a public catalog module.  Special collections include books by and about African Americans, Black Literature and books written by Dr. Joseph Winthrop Holley, founder of the University.</w:t>
      </w:r>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 xml:space="preserve">The James Pendergrast Memorial Library supports Albany State University’s academic programs. It supports the achievement of the goals as stated in the mission of the University through providing information resources, instructional  materials, and access to research. It aids Albany State University in serving a regional role in Southwest  Georgia in the area of library resources. The Library’s on-line public catalog GIL (Galileo Interconnected Libraries) also referred to as the RAMCAT is available from any remote site  to all who have internet connection.  The location is </w:t>
      </w:r>
      <w:hyperlink r:id="rId7" w:history="1">
        <w:r w:rsidRPr="001A505E">
          <w:rPr>
            <w:color w:val="191919"/>
          </w:rPr>
          <w:t>http://gil.asurams.edu</w:t>
        </w:r>
      </w:hyperlink>
      <w:r w:rsidRPr="001A505E">
        <w:rPr>
          <w:rFonts w:ascii="Times New Roman" w:hAnsi="Times New Roman"/>
          <w:color w:val="191919"/>
          <w:sz w:val="24"/>
          <w:szCs w:val="24"/>
        </w:rPr>
        <w:t>.  GIL also offers remote access to other libraries in the University System of Georgia.</w:t>
      </w:r>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The library has a strong virtual collection that includes Galileo which is a collection of many databases indexing thousands of periodicals and scholarly journals.  Over 2,000 journals titles are full-text.  Other resources include EBSCO Host, Interlibrary Loan and GIL Express which provides online borrowing of books for universal borrowing between other institutions in the University System of Georgia.</w:t>
      </w:r>
    </w:p>
    <w:p w:rsidR="008D35C3" w:rsidRPr="00252FFB" w:rsidRDefault="008D35C3" w:rsidP="008D35C3">
      <w:pPr>
        <w:widowControl w:val="0"/>
        <w:autoSpaceDE w:val="0"/>
        <w:autoSpaceDN w:val="0"/>
        <w:adjustRightInd w:val="0"/>
        <w:spacing w:before="7" w:after="0" w:line="220" w:lineRule="exact"/>
        <w:ind w:left="180" w:right="130" w:firstLine="0"/>
        <w:rPr>
          <w:rFonts w:ascii="Times New Roman" w:hAnsi="Times New Roman"/>
          <w:color w:val="000000"/>
          <w:sz w:val="24"/>
          <w:szCs w:val="24"/>
        </w:rPr>
      </w:pPr>
    </w:p>
    <w:p w:rsidR="008D35C3" w:rsidRPr="00252FFB" w:rsidRDefault="008D35C3" w:rsidP="008D35C3">
      <w:pPr>
        <w:pStyle w:val="Style1"/>
        <w:keepNext/>
        <w:keepLines/>
        <w:widowControl/>
        <w:autoSpaceDE/>
        <w:autoSpaceDN/>
        <w:adjustRightInd/>
        <w:ind w:left="180" w:right="130" w:firstLine="0"/>
        <w:jc w:val="left"/>
        <w:outlineLvl w:val="1"/>
        <w:rPr>
          <w:color w:val="000000"/>
          <w:sz w:val="24"/>
          <w:szCs w:val="24"/>
        </w:rPr>
      </w:pPr>
      <w:bookmarkStart w:id="17" w:name="_Toc295558958"/>
      <w:bookmarkStart w:id="18" w:name="_Toc303108903"/>
      <w:bookmarkStart w:id="19" w:name="_Toc303283677"/>
      <w:bookmarkStart w:id="20" w:name="_Toc303286376"/>
      <w:r w:rsidRPr="00252FFB">
        <w:rPr>
          <w:sz w:val="24"/>
          <w:szCs w:val="24"/>
        </w:rPr>
        <w:t>THE</w:t>
      </w:r>
      <w:r w:rsidRPr="00252FFB">
        <w:rPr>
          <w:spacing w:val="2"/>
          <w:sz w:val="24"/>
          <w:szCs w:val="24"/>
        </w:rPr>
        <w:t xml:space="preserve"> </w:t>
      </w:r>
      <w:r w:rsidRPr="00252FFB">
        <w:rPr>
          <w:sz w:val="24"/>
          <w:szCs w:val="24"/>
        </w:rPr>
        <w:t>ALBANY</w:t>
      </w:r>
      <w:r w:rsidRPr="00252FFB">
        <w:rPr>
          <w:spacing w:val="8"/>
          <w:sz w:val="24"/>
          <w:szCs w:val="24"/>
        </w:rPr>
        <w:t xml:space="preserve"> </w:t>
      </w:r>
      <w:r w:rsidRPr="00252FFB">
        <w:rPr>
          <w:sz w:val="24"/>
          <w:szCs w:val="24"/>
        </w:rPr>
        <w:t>S</w:t>
      </w:r>
      <w:r w:rsidRPr="00252FFB">
        <w:rPr>
          <w:spacing w:val="-13"/>
          <w:sz w:val="24"/>
          <w:szCs w:val="24"/>
        </w:rPr>
        <w:t>TA</w:t>
      </w:r>
      <w:r w:rsidRPr="00252FFB">
        <w:rPr>
          <w:sz w:val="24"/>
          <w:szCs w:val="24"/>
        </w:rPr>
        <w:t>TE</w:t>
      </w:r>
      <w:r w:rsidRPr="00252FFB">
        <w:rPr>
          <w:spacing w:val="15"/>
          <w:sz w:val="24"/>
          <w:szCs w:val="24"/>
        </w:rPr>
        <w:t xml:space="preserve"> </w:t>
      </w:r>
      <w:r w:rsidRPr="00252FFB">
        <w:rPr>
          <w:sz w:val="24"/>
          <w:szCs w:val="24"/>
        </w:rPr>
        <w:t>UNIVERSITY</w:t>
      </w:r>
      <w:r w:rsidRPr="00252FFB">
        <w:rPr>
          <w:spacing w:val="-5"/>
          <w:sz w:val="24"/>
          <w:szCs w:val="24"/>
        </w:rPr>
        <w:t xml:space="preserve"> </w:t>
      </w:r>
      <w:r w:rsidRPr="00252FFB">
        <w:rPr>
          <w:sz w:val="24"/>
          <w:szCs w:val="24"/>
        </w:rPr>
        <w:t>ALUMNI</w:t>
      </w:r>
      <w:r w:rsidRPr="00252FFB">
        <w:rPr>
          <w:spacing w:val="2"/>
          <w:sz w:val="24"/>
          <w:szCs w:val="24"/>
        </w:rPr>
        <w:t xml:space="preserve"> </w:t>
      </w:r>
      <w:r w:rsidRPr="00252FFB">
        <w:rPr>
          <w:sz w:val="24"/>
          <w:szCs w:val="24"/>
        </w:rPr>
        <w:t>ASSOCI</w:t>
      </w:r>
      <w:r w:rsidRPr="00252FFB">
        <w:rPr>
          <w:spacing w:val="-13"/>
          <w:sz w:val="24"/>
          <w:szCs w:val="24"/>
        </w:rPr>
        <w:t>A</w:t>
      </w:r>
      <w:r w:rsidRPr="00252FFB">
        <w:rPr>
          <w:sz w:val="24"/>
          <w:szCs w:val="24"/>
        </w:rPr>
        <w:t>TION</w:t>
      </w:r>
      <w:bookmarkEnd w:id="17"/>
      <w:bookmarkEnd w:id="18"/>
      <w:bookmarkEnd w:id="19"/>
      <w:bookmarkEnd w:id="20"/>
    </w:p>
    <w:p w:rsidR="008D35C3" w:rsidRPr="001A505E" w:rsidRDefault="008D35C3" w:rsidP="008D35C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 xml:space="preserve">The goals of the ASU Alumni Association are to keep Alumni in touch with each other, to aid the university in recruiting and to support the university in carrying out its mission of education and service.  </w:t>
      </w:r>
      <w:r w:rsidRPr="001A505E">
        <w:rPr>
          <w:rFonts w:ascii="Times New Roman" w:hAnsi="Times New Roman"/>
          <w:color w:val="191919"/>
          <w:sz w:val="24"/>
          <w:szCs w:val="24"/>
        </w:rPr>
        <w:lastRenderedPageBreak/>
        <w:t xml:space="preserve">The Alumni Association provides scholarships through the national organization local chapters, independent Alumni and corporate sponsors.  Many chapters provide SAT/ACT preparation seminars and campus visitation programs for prospective students.  An annual Alumni conference provides leadership training seminars and a forum for goals setting and long-range planning. </w:t>
      </w:r>
    </w:p>
    <w:p w:rsidR="00946B9C" w:rsidRDefault="00946B9C" w:rsidP="008D35C3">
      <w:pPr>
        <w:ind w:firstLine="0"/>
      </w:pPr>
    </w:p>
    <w:sectPr w:rsidR="00946B9C" w:rsidSect="00252FFB">
      <w:headerReference w:type="even" r:id="rId8"/>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F30" w:rsidRDefault="00F34F30" w:rsidP="003A0ADE">
      <w:pPr>
        <w:spacing w:after="0"/>
      </w:pPr>
      <w:r>
        <w:separator/>
      </w:r>
    </w:p>
  </w:endnote>
  <w:endnote w:type="continuationSeparator" w:id="0">
    <w:p w:rsidR="00F34F30" w:rsidRDefault="00F34F30" w:rsidP="003A0AD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F30" w:rsidRDefault="00F34F30" w:rsidP="003A0ADE">
      <w:pPr>
        <w:spacing w:after="0"/>
      </w:pPr>
      <w:r>
        <w:separator/>
      </w:r>
    </w:p>
  </w:footnote>
  <w:footnote w:type="continuationSeparator" w:id="0">
    <w:p w:rsidR="00F34F30" w:rsidRDefault="00F34F30" w:rsidP="003A0AD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F34F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D35C3"/>
    <w:rsid w:val="003A0ADE"/>
    <w:rsid w:val="006F2981"/>
    <w:rsid w:val="008D35C3"/>
    <w:rsid w:val="00946B9C"/>
    <w:rsid w:val="00A4282F"/>
    <w:rsid w:val="00CE26C8"/>
    <w:rsid w:val="00DC772D"/>
    <w:rsid w:val="00F34F30"/>
    <w:rsid w:val="00FD47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C3"/>
  </w:style>
  <w:style w:type="paragraph" w:styleId="Heading2">
    <w:name w:val="heading 2"/>
    <w:basedOn w:val="Normal"/>
    <w:next w:val="Normal"/>
    <w:link w:val="Heading2Char"/>
    <w:uiPriority w:val="9"/>
    <w:unhideWhenUsed/>
    <w:qFormat/>
    <w:rsid w:val="008D3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5C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D35C3"/>
    <w:pPr>
      <w:tabs>
        <w:tab w:val="center" w:pos="4320"/>
        <w:tab w:val="right" w:pos="8640"/>
      </w:tabs>
      <w:spacing w:after="0"/>
    </w:pPr>
  </w:style>
  <w:style w:type="character" w:customStyle="1" w:styleId="HeaderChar">
    <w:name w:val="Header Char"/>
    <w:basedOn w:val="DefaultParagraphFont"/>
    <w:link w:val="Header"/>
    <w:uiPriority w:val="99"/>
    <w:semiHidden/>
    <w:rsid w:val="008D35C3"/>
  </w:style>
  <w:style w:type="paragraph" w:customStyle="1" w:styleId="Style1">
    <w:name w:val="Style1"/>
    <w:basedOn w:val="Normal"/>
    <w:link w:val="Style1Char"/>
    <w:qFormat/>
    <w:rsid w:val="008D35C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8D35C3"/>
    <w:rPr>
      <w:rFonts w:ascii="Times New Roman" w:hAnsi="Times New Roman"/>
      <w:b/>
      <w:bCs/>
      <w:color w:val="191919"/>
      <w:sz w:val="18"/>
      <w:szCs w:val="18"/>
    </w:rPr>
  </w:style>
  <w:style w:type="paragraph" w:styleId="TOC1">
    <w:name w:val="toc 1"/>
    <w:basedOn w:val="Normal"/>
    <w:next w:val="Normal"/>
    <w:autoRedefine/>
    <w:uiPriority w:val="39"/>
    <w:unhideWhenUsed/>
    <w:rsid w:val="00FD47B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D47B2"/>
    <w:pPr>
      <w:tabs>
        <w:tab w:val="right" w:pos="10560"/>
      </w:tabs>
      <w:spacing w:before="240" w:after="0"/>
    </w:pPr>
    <w:rPr>
      <w:rFonts w:ascii="Times New Roman" w:hAnsi="Times New Roman" w:cs="Times New Roman"/>
      <w:b/>
      <w:bCs/>
      <w:noProof/>
      <w:sz w:val="20"/>
      <w:szCs w:val="20"/>
    </w:rPr>
  </w:style>
  <w:style w:type="paragraph" w:styleId="TOC3">
    <w:name w:val="toc 3"/>
    <w:basedOn w:val="Normal"/>
    <w:next w:val="Normal"/>
    <w:autoRedefine/>
    <w:uiPriority w:val="39"/>
    <w:unhideWhenUsed/>
    <w:rsid w:val="00FD47B2"/>
    <w:pPr>
      <w:spacing w:after="0"/>
      <w:ind w:left="220"/>
    </w:pPr>
    <w:rPr>
      <w:sz w:val="20"/>
      <w:szCs w:val="20"/>
    </w:rPr>
  </w:style>
  <w:style w:type="paragraph" w:styleId="TOC4">
    <w:name w:val="toc 4"/>
    <w:basedOn w:val="Normal"/>
    <w:next w:val="Normal"/>
    <w:autoRedefine/>
    <w:uiPriority w:val="39"/>
    <w:unhideWhenUsed/>
    <w:rsid w:val="00FD47B2"/>
    <w:pPr>
      <w:spacing w:after="0"/>
      <w:ind w:left="440"/>
    </w:pPr>
    <w:rPr>
      <w:sz w:val="20"/>
      <w:szCs w:val="20"/>
    </w:rPr>
  </w:style>
  <w:style w:type="paragraph" w:styleId="TOC5">
    <w:name w:val="toc 5"/>
    <w:basedOn w:val="Normal"/>
    <w:next w:val="Normal"/>
    <w:autoRedefine/>
    <w:uiPriority w:val="39"/>
    <w:unhideWhenUsed/>
    <w:rsid w:val="00FD47B2"/>
    <w:pPr>
      <w:spacing w:after="0"/>
      <w:ind w:left="660"/>
    </w:pPr>
    <w:rPr>
      <w:sz w:val="20"/>
      <w:szCs w:val="20"/>
    </w:rPr>
  </w:style>
  <w:style w:type="paragraph" w:styleId="TOC6">
    <w:name w:val="toc 6"/>
    <w:basedOn w:val="Normal"/>
    <w:next w:val="Normal"/>
    <w:autoRedefine/>
    <w:uiPriority w:val="39"/>
    <w:unhideWhenUsed/>
    <w:rsid w:val="00FD47B2"/>
    <w:pPr>
      <w:spacing w:after="0"/>
      <w:ind w:left="880"/>
    </w:pPr>
    <w:rPr>
      <w:sz w:val="20"/>
      <w:szCs w:val="20"/>
    </w:rPr>
  </w:style>
  <w:style w:type="paragraph" w:styleId="TOC7">
    <w:name w:val="toc 7"/>
    <w:basedOn w:val="Normal"/>
    <w:next w:val="Normal"/>
    <w:autoRedefine/>
    <w:uiPriority w:val="39"/>
    <w:unhideWhenUsed/>
    <w:rsid w:val="00FD47B2"/>
    <w:pPr>
      <w:spacing w:after="0"/>
      <w:ind w:left="1100"/>
    </w:pPr>
    <w:rPr>
      <w:sz w:val="20"/>
      <w:szCs w:val="20"/>
    </w:rPr>
  </w:style>
  <w:style w:type="paragraph" w:styleId="TOC8">
    <w:name w:val="toc 8"/>
    <w:basedOn w:val="Normal"/>
    <w:next w:val="Normal"/>
    <w:autoRedefine/>
    <w:uiPriority w:val="39"/>
    <w:unhideWhenUsed/>
    <w:rsid w:val="00FD47B2"/>
    <w:pPr>
      <w:spacing w:after="0"/>
      <w:ind w:left="1320"/>
    </w:pPr>
    <w:rPr>
      <w:sz w:val="20"/>
      <w:szCs w:val="20"/>
    </w:rPr>
  </w:style>
  <w:style w:type="paragraph" w:styleId="TOC9">
    <w:name w:val="toc 9"/>
    <w:basedOn w:val="Normal"/>
    <w:next w:val="Normal"/>
    <w:autoRedefine/>
    <w:uiPriority w:val="39"/>
    <w:unhideWhenUsed/>
    <w:rsid w:val="00FD47B2"/>
    <w:pPr>
      <w:spacing w:after="0"/>
      <w:ind w:left="1540"/>
    </w:pPr>
    <w:rPr>
      <w:sz w:val="20"/>
      <w:szCs w:val="20"/>
    </w:rPr>
  </w:style>
  <w:style w:type="character" w:styleId="Hyperlink">
    <w:name w:val="Hyperlink"/>
    <w:basedOn w:val="DefaultParagraphFont"/>
    <w:uiPriority w:val="99"/>
    <w:unhideWhenUsed/>
    <w:rsid w:val="00FD47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l.asuram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F4D80-8DB5-4A5D-8090-481A2688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3755</Characters>
  <Application>Microsoft Office Word</Application>
  <DocSecurity>0</DocSecurity>
  <Lines>31</Lines>
  <Paragraphs>8</Paragraphs>
  <ScaleCrop>false</ScaleCrop>
  <Company>Hewlett-Packard Company</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2011-09-09T02:32:00Z</dcterms:created>
  <dcterms:modified xsi:type="dcterms:W3CDTF">2011-09-09T03:05:00Z</dcterms:modified>
</cp:coreProperties>
</file>