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E21" w:rsidRDefault="00C85E21" w:rsidP="00C85E21">
      <w:pPr>
        <w:pStyle w:val="Heading2"/>
        <w:ind w:left="90" w:right="65" w:firstLine="0"/>
        <w:jc w:val="both"/>
        <w:rPr>
          <w:color w:val="000000" w:themeColor="text1"/>
        </w:rPr>
      </w:pPr>
      <w:bookmarkStart w:id="0" w:name="_Toc295937081"/>
      <w:bookmarkStart w:id="1" w:name="_Toc295429822"/>
      <w:bookmarkStart w:id="2" w:name="_Toc303109228"/>
      <w:r>
        <w:rPr>
          <w:color w:val="000000" w:themeColor="text1"/>
          <w:spacing w:val="-2"/>
          <w:sz w:val="32"/>
          <w:szCs w:val="32"/>
        </w:rPr>
        <w:t>A</w:t>
      </w:r>
      <w:r>
        <w:rPr>
          <w:color w:val="000000" w:themeColor="text1"/>
          <w:spacing w:val="-2"/>
        </w:rPr>
        <w:t>LBAN</w:t>
      </w:r>
      <w:r>
        <w:rPr>
          <w:color w:val="000000" w:themeColor="text1"/>
        </w:rPr>
        <w:t>Y</w:t>
      </w:r>
      <w:r>
        <w:rPr>
          <w:color w:val="000000" w:themeColor="text1"/>
          <w:spacing w:val="-3"/>
        </w:rPr>
        <w:t xml:space="preserve"> </w:t>
      </w:r>
      <w:r>
        <w:rPr>
          <w:color w:val="000000" w:themeColor="text1"/>
          <w:spacing w:val="-2"/>
          <w:sz w:val="32"/>
          <w:szCs w:val="32"/>
        </w:rPr>
        <w:t>S</w:t>
      </w:r>
      <w:r>
        <w:rPr>
          <w:color w:val="000000" w:themeColor="text1"/>
          <w:spacing w:val="-2"/>
        </w:rPr>
        <w:t>TAT</w:t>
      </w:r>
      <w:r>
        <w:rPr>
          <w:color w:val="000000" w:themeColor="text1"/>
        </w:rPr>
        <w:t>E</w:t>
      </w:r>
      <w:r>
        <w:rPr>
          <w:color w:val="000000" w:themeColor="text1"/>
          <w:spacing w:val="-3"/>
        </w:rPr>
        <w:t xml:space="preserve"> </w:t>
      </w:r>
      <w:r>
        <w:rPr>
          <w:color w:val="000000" w:themeColor="text1"/>
          <w:spacing w:val="-2"/>
          <w:sz w:val="32"/>
          <w:szCs w:val="32"/>
        </w:rPr>
        <w:t>U</w:t>
      </w:r>
      <w:r>
        <w:rPr>
          <w:color w:val="000000" w:themeColor="text1"/>
          <w:spacing w:val="-2"/>
        </w:rPr>
        <w:t>NIVERSIT</w:t>
      </w:r>
      <w:r>
        <w:rPr>
          <w:color w:val="000000" w:themeColor="text1"/>
        </w:rPr>
        <w:t>Y</w:t>
      </w:r>
      <w:bookmarkEnd w:id="0"/>
      <w:bookmarkEnd w:id="1"/>
      <w:bookmarkEnd w:id="2"/>
    </w:p>
    <w:p w:rsidR="00C85E21" w:rsidRDefault="00C85E21" w:rsidP="00C85E2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796288" w:rsidRDefault="00796288" w:rsidP="00C85E2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tbl>
      <w:tblPr>
        <w:tblStyle w:val="TableGrid"/>
        <w:tblW w:w="1072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490"/>
      </w:tblGrid>
      <w:tr w:rsidR="00796288" w:rsidTr="00796288">
        <w:tc>
          <w:tcPr>
            <w:tcW w:w="5238" w:type="dxa"/>
          </w:tcPr>
          <w:p w:rsidR="00796288" w:rsidRDefault="00796288" w:rsidP="00796288">
            <w:pPr>
              <w:widowControl w:val="0"/>
              <w:autoSpaceDE w:val="0"/>
              <w:autoSpaceDN w:val="0"/>
              <w:adjustRightInd w:val="0"/>
              <w:spacing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AS</w:t>
            </w:r>
            <w:r>
              <w:rPr>
                <w:rFonts w:ascii="Times New Roman" w:hAnsi="Times New Roman"/>
                <w:b/>
                <w:bCs/>
                <w:color w:val="000000" w:themeColor="text1"/>
                <w:sz w:val="18"/>
                <w:szCs w:val="18"/>
              </w:rPr>
              <w:t>U</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102</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xml:space="preserve">Academic Renewal </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 .</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2</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(2-0</w:t>
            </w:r>
            <w:r>
              <w:rPr>
                <w:rFonts w:ascii="Times New Roman" w:hAnsi="Times New Roman"/>
                <w:b/>
                <w:bCs/>
                <w:color w:val="000000" w:themeColor="text1"/>
                <w:sz w:val="18"/>
                <w:szCs w:val="18"/>
              </w:rPr>
              <w:t xml:space="preserve">) </w:t>
            </w:r>
          </w:p>
          <w:p w:rsidR="00796288" w:rsidRDefault="00796288" w:rsidP="00796288">
            <w:pPr>
              <w:widowControl w:val="0"/>
              <w:autoSpaceDE w:val="0"/>
              <w:autoSpaceDN w:val="0"/>
              <w:adjustRightInd w:val="0"/>
              <w:spacing w:line="249" w:lineRule="auto"/>
              <w:ind w:left="90" w:right="65" w:firstLine="0"/>
              <w:jc w:val="both"/>
              <w:rPr>
                <w:rFonts w:ascii="Times New Roman" w:hAnsi="Times New Roman"/>
                <w:color w:val="000000" w:themeColor="text1"/>
                <w:sz w:val="18"/>
                <w:szCs w:val="18"/>
              </w:rPr>
            </w:pPr>
            <w:r>
              <w:rPr>
                <w:rFonts w:ascii="Times New Roman" w:hAnsi="Times New Roman"/>
                <w:bCs/>
                <w:color w:val="000000" w:themeColor="text1"/>
                <w:sz w:val="18"/>
                <w:szCs w:val="18"/>
              </w:rPr>
              <w:t>ASU 1020 class allows students  readmitted after an academic suspension the opportunity to continue matriculation and receive support during the current readmitted semester to improve the student’s academic standing.</w:t>
            </w:r>
          </w:p>
          <w:p w:rsidR="00796288" w:rsidRDefault="00796288" w:rsidP="00796288">
            <w:pPr>
              <w:widowControl w:val="0"/>
              <w:autoSpaceDE w:val="0"/>
              <w:autoSpaceDN w:val="0"/>
              <w:adjustRightInd w:val="0"/>
              <w:spacing w:before="13" w:line="200" w:lineRule="exact"/>
              <w:ind w:left="90" w:right="65" w:firstLine="0"/>
              <w:jc w:val="both"/>
              <w:rPr>
                <w:rFonts w:ascii="Times New Roman" w:hAnsi="Times New Roman"/>
                <w:color w:val="000000" w:themeColor="text1"/>
                <w:sz w:val="20"/>
                <w:szCs w:val="20"/>
              </w:rPr>
            </w:pPr>
          </w:p>
          <w:p w:rsidR="00796288" w:rsidRDefault="00796288" w:rsidP="00796288">
            <w:pPr>
              <w:widowControl w:val="0"/>
              <w:autoSpaceDE w:val="0"/>
              <w:autoSpaceDN w:val="0"/>
              <w:adjustRightInd w:val="0"/>
              <w:spacing w:before="9" w:line="249" w:lineRule="auto"/>
              <w:ind w:left="90" w:right="65" w:firstLine="0"/>
              <w:jc w:val="both"/>
              <w:rPr>
                <w:rFonts w:ascii="Times New Roman" w:eastAsia="SimSun" w:hAnsi="Times New Roman" w:cs="Times New Roman"/>
                <w:b/>
                <w:color w:val="000000" w:themeColor="text1"/>
                <w:spacing w:val="2"/>
                <w:sz w:val="18"/>
                <w:szCs w:val="18"/>
              </w:rPr>
            </w:pPr>
            <w:r>
              <w:rPr>
                <w:rFonts w:ascii="Times New Roman" w:eastAsia="SimSun" w:hAnsi="Times New Roman" w:cs="Times New Roman"/>
                <w:b/>
                <w:color w:val="000000" w:themeColor="text1"/>
                <w:spacing w:val="2"/>
                <w:sz w:val="18"/>
                <w:szCs w:val="18"/>
              </w:rPr>
              <w:t>ASU 1201-Foundations of College Success</w:t>
            </w:r>
            <w:r>
              <w:rPr>
                <w:rFonts w:ascii="Times New Roman" w:hAnsi="Times New Roman"/>
                <w:b/>
                <w:color w:val="000000" w:themeColor="text1"/>
                <w:spacing w:val="2"/>
                <w:sz w:val="18"/>
                <w:szCs w:val="18"/>
              </w:rPr>
              <w:t>…..….</w:t>
            </w:r>
            <w:r>
              <w:rPr>
                <w:rFonts w:ascii="Times New Roman" w:eastAsia="SimSun" w:hAnsi="Times New Roman" w:cs="Times New Roman"/>
                <w:b/>
                <w:color w:val="000000" w:themeColor="text1"/>
                <w:spacing w:val="2"/>
                <w:sz w:val="18"/>
                <w:szCs w:val="18"/>
              </w:rPr>
              <w:t>2.00 Credits</w:t>
            </w:r>
          </w:p>
          <w:p w:rsidR="00796288" w:rsidRDefault="00796288" w:rsidP="00796288">
            <w:pPr>
              <w:widowControl w:val="0"/>
              <w:autoSpaceDE w:val="0"/>
              <w:autoSpaceDN w:val="0"/>
              <w:adjustRightInd w:val="0"/>
              <w:spacing w:before="9" w:line="249" w:lineRule="auto"/>
              <w:ind w:left="90" w:right="65" w:firstLine="0"/>
              <w:jc w:val="both"/>
              <w:rPr>
                <w:rFonts w:ascii="Times New Roman" w:eastAsia="SimSun" w:hAnsi="Times New Roman" w:cs="Times New Roman"/>
                <w:color w:val="000000" w:themeColor="text1"/>
                <w:spacing w:val="2"/>
                <w:sz w:val="18"/>
                <w:szCs w:val="18"/>
              </w:rPr>
            </w:pPr>
            <w:r>
              <w:rPr>
                <w:rFonts w:ascii="Times New Roman" w:eastAsia="SimSun" w:hAnsi="Times New Roman" w:cs="Times New Roman"/>
                <w:color w:val="000000" w:themeColor="text1"/>
                <w:spacing w:val="2"/>
                <w:sz w:val="18"/>
                <w:szCs w:val="18"/>
              </w:rPr>
              <w:t>ASU 1201 Foundations of College Success is a two-credit hour course that provides specific topics designed to address scholastic success, the value of education relative to self-potential, campus life, community citizenship, and leadership skills development. Components of the course focus on mastery study skills, writing skills, critical thinking skills, ethics, health, and global issues. The course also includes lecture series with nationally and internationally recognized leaders and scholars for engaging and intellectually stimulating discourse.</w:t>
            </w:r>
          </w:p>
          <w:p w:rsidR="00796288" w:rsidRDefault="00796288" w:rsidP="00796288">
            <w:pPr>
              <w:ind w:firstLine="0"/>
            </w:pPr>
          </w:p>
          <w:p w:rsidR="00796288" w:rsidRDefault="00796288" w:rsidP="00C85E21">
            <w:pPr>
              <w:widowControl w:val="0"/>
              <w:autoSpaceDE w:val="0"/>
              <w:autoSpaceDN w:val="0"/>
              <w:adjustRightInd w:val="0"/>
              <w:spacing w:before="8" w:line="260" w:lineRule="exact"/>
              <w:ind w:right="65" w:firstLine="0"/>
              <w:jc w:val="both"/>
              <w:rPr>
                <w:rFonts w:ascii="Times New Roman" w:hAnsi="Times New Roman"/>
                <w:color w:val="000000" w:themeColor="text1"/>
                <w:sz w:val="26"/>
                <w:szCs w:val="26"/>
              </w:rPr>
            </w:pPr>
          </w:p>
        </w:tc>
        <w:tc>
          <w:tcPr>
            <w:tcW w:w="5490" w:type="dxa"/>
          </w:tcPr>
          <w:p w:rsidR="00796288" w:rsidRDefault="00796288" w:rsidP="00C85E21">
            <w:pPr>
              <w:widowControl w:val="0"/>
              <w:autoSpaceDE w:val="0"/>
              <w:autoSpaceDN w:val="0"/>
              <w:adjustRightInd w:val="0"/>
              <w:spacing w:before="8" w:line="260" w:lineRule="exact"/>
              <w:ind w:right="65" w:firstLine="0"/>
              <w:jc w:val="both"/>
              <w:rPr>
                <w:rFonts w:ascii="Times New Roman" w:hAnsi="Times New Roman"/>
                <w:color w:val="000000" w:themeColor="text1"/>
                <w:sz w:val="26"/>
                <w:szCs w:val="26"/>
              </w:rPr>
            </w:pPr>
          </w:p>
        </w:tc>
      </w:tr>
      <w:tr w:rsidR="00796288" w:rsidTr="00796288">
        <w:tc>
          <w:tcPr>
            <w:tcW w:w="5238" w:type="dxa"/>
          </w:tcPr>
          <w:p w:rsidR="00796288" w:rsidRDefault="00796288" w:rsidP="00C85E21">
            <w:pPr>
              <w:widowControl w:val="0"/>
              <w:autoSpaceDE w:val="0"/>
              <w:autoSpaceDN w:val="0"/>
              <w:adjustRightInd w:val="0"/>
              <w:spacing w:before="8" w:line="260" w:lineRule="exact"/>
              <w:ind w:right="65" w:firstLine="0"/>
              <w:jc w:val="both"/>
              <w:rPr>
                <w:rFonts w:ascii="Times New Roman" w:hAnsi="Times New Roman"/>
                <w:color w:val="000000" w:themeColor="text1"/>
                <w:sz w:val="26"/>
                <w:szCs w:val="26"/>
              </w:rPr>
            </w:pPr>
          </w:p>
        </w:tc>
        <w:tc>
          <w:tcPr>
            <w:tcW w:w="5490" w:type="dxa"/>
          </w:tcPr>
          <w:p w:rsidR="00796288" w:rsidRDefault="00796288" w:rsidP="00C85E21">
            <w:pPr>
              <w:widowControl w:val="0"/>
              <w:autoSpaceDE w:val="0"/>
              <w:autoSpaceDN w:val="0"/>
              <w:adjustRightInd w:val="0"/>
              <w:spacing w:before="8" w:line="260" w:lineRule="exact"/>
              <w:ind w:right="65" w:firstLine="0"/>
              <w:jc w:val="both"/>
              <w:rPr>
                <w:rFonts w:ascii="Times New Roman" w:hAnsi="Times New Roman"/>
                <w:color w:val="000000" w:themeColor="text1"/>
                <w:sz w:val="26"/>
                <w:szCs w:val="26"/>
              </w:rPr>
            </w:pPr>
          </w:p>
        </w:tc>
      </w:tr>
    </w:tbl>
    <w:p w:rsidR="00796288" w:rsidRDefault="00796288" w:rsidP="00C85E2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sectPr w:rsidR="00796288" w:rsidSect="00796288">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6C7ECB"/>
    <w:rsid w:val="006F2981"/>
    <w:rsid w:val="00796288"/>
    <w:rsid w:val="00946B9C"/>
    <w:rsid w:val="00A4282F"/>
    <w:rsid w:val="00C4319F"/>
    <w:rsid w:val="00C85E21"/>
    <w:rsid w:val="00DC772D"/>
    <w:rsid w:val="00F55A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21"/>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9628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793</Characters>
  <Application>Microsoft Office Word</Application>
  <DocSecurity>0</DocSecurity>
  <Lines>6</Lines>
  <Paragraphs>1</Paragraphs>
  <ScaleCrop>false</ScaleCrop>
  <Company>Hewlett-Packard Company</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2011-09-12T01:15:00Z</dcterms:created>
  <dcterms:modified xsi:type="dcterms:W3CDTF">2011-09-12T01:46:00Z</dcterms:modified>
</cp:coreProperties>
</file>