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80" w:rsidRPr="00745346" w:rsidRDefault="00D27A80" w:rsidP="00745346">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r>
        <w:rPr>
          <w:rFonts w:ascii="Times New Roman" w:hAnsi="Times New Roman"/>
          <w:sz w:val="10"/>
          <w:szCs w:val="10"/>
        </w:rPr>
        <w:fldChar w:fldCharType="begin"/>
      </w:r>
      <w:r>
        <w:rPr>
          <w:rFonts w:ascii="Times New Roman" w:hAnsi="Times New Roman"/>
          <w:sz w:val="10"/>
          <w:szCs w:val="10"/>
        </w:rPr>
        <w:instrText xml:space="preserve"> TOC \o "1-2" \h \z \u </w:instrText>
      </w:r>
      <w:r>
        <w:rPr>
          <w:rFonts w:ascii="Times New Roman" w:hAnsi="Times New Roman"/>
          <w:sz w:val="10"/>
          <w:szCs w:val="10"/>
        </w:rPr>
        <w:fldChar w:fldCharType="separate"/>
      </w:r>
      <w:hyperlink w:anchor="_Toc303445018" w:history="1">
        <w:r w:rsidR="00745346" w:rsidRPr="00745346">
          <w:rPr>
            <w:color w:val="548DD4" w:themeColor="text2" w:themeTint="99"/>
            <w:sz w:val="24"/>
            <w:szCs w:val="24"/>
          </w:rPr>
          <w:t>Center For Excellence In Teaching, Learning And Advising</w:t>
        </w:r>
      </w:hyperlink>
    </w:p>
    <w:p w:rsidR="00D27A80" w:rsidRPr="00745346" w:rsidRDefault="00D27A80" w:rsidP="00745346">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019" w:history="1">
        <w:r w:rsidR="00745346" w:rsidRPr="00745346">
          <w:rPr>
            <w:color w:val="548DD4" w:themeColor="text2" w:themeTint="99"/>
            <w:sz w:val="24"/>
            <w:szCs w:val="24"/>
          </w:rPr>
          <w:t>Faculty And Staff Development</w:t>
        </w:r>
      </w:hyperlink>
    </w:p>
    <w:p w:rsidR="00D27A80" w:rsidRPr="00745346" w:rsidRDefault="00D27A80" w:rsidP="00745346">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020" w:history="1">
        <w:r w:rsidR="00745346" w:rsidRPr="00745346">
          <w:rPr>
            <w:color w:val="548DD4" w:themeColor="text2" w:themeTint="99"/>
            <w:sz w:val="24"/>
            <w:szCs w:val="24"/>
          </w:rPr>
          <w:t>Academic Advisement And Retention Center</w:t>
        </w:r>
      </w:hyperlink>
    </w:p>
    <w:p w:rsidR="00D27A80" w:rsidRPr="00745346" w:rsidRDefault="00D27A80" w:rsidP="00745346">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021" w:history="1">
        <w:r w:rsidR="00745346" w:rsidRPr="00745346">
          <w:rPr>
            <w:color w:val="548DD4" w:themeColor="text2" w:themeTint="99"/>
            <w:sz w:val="24"/>
            <w:szCs w:val="24"/>
          </w:rPr>
          <w:t>Learning Support Services</w:t>
        </w:r>
      </w:hyperlink>
    </w:p>
    <w:p w:rsidR="00D27A80" w:rsidRPr="00745346" w:rsidRDefault="00D27A80" w:rsidP="00745346">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022" w:history="1">
        <w:r w:rsidR="00745346" w:rsidRPr="00745346">
          <w:rPr>
            <w:color w:val="548DD4" w:themeColor="text2" w:themeTint="99"/>
            <w:sz w:val="24"/>
            <w:szCs w:val="24"/>
          </w:rPr>
          <w:t>Learning Support Courses</w:t>
        </w:r>
      </w:hyperlink>
    </w:p>
    <w:p w:rsidR="00D27A80" w:rsidRPr="00745346" w:rsidRDefault="00D27A80" w:rsidP="00745346">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023" w:history="1">
        <w:r w:rsidR="00745346" w:rsidRPr="00745346">
          <w:rPr>
            <w:color w:val="548DD4" w:themeColor="text2" w:themeTint="99"/>
            <w:sz w:val="24"/>
            <w:szCs w:val="24"/>
          </w:rPr>
          <w:t>Learning Support Suspension</w:t>
        </w:r>
      </w:hyperlink>
    </w:p>
    <w:p w:rsidR="00D27A80" w:rsidRPr="00745346" w:rsidRDefault="00D27A80" w:rsidP="00745346">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5024" w:history="1">
        <w:r w:rsidR="00745346" w:rsidRPr="00745346">
          <w:rPr>
            <w:color w:val="548DD4" w:themeColor="text2" w:themeTint="99"/>
            <w:sz w:val="24"/>
            <w:szCs w:val="24"/>
          </w:rPr>
          <w:t>Other Services</w:t>
        </w:r>
      </w:hyperlink>
    </w:p>
    <w:p w:rsidR="00285260" w:rsidRDefault="00D27A80" w:rsidP="00285260">
      <w:pPr>
        <w:widowControl w:val="0"/>
        <w:autoSpaceDE w:val="0"/>
        <w:autoSpaceDN w:val="0"/>
        <w:adjustRightInd w:val="0"/>
        <w:spacing w:before="9" w:after="0" w:line="100" w:lineRule="exact"/>
        <w:ind w:left="900"/>
        <w:rPr>
          <w:rFonts w:ascii="Times New Roman" w:hAnsi="Times New Roman"/>
          <w:sz w:val="10"/>
          <w:szCs w:val="10"/>
        </w:rPr>
      </w:pPr>
      <w:r>
        <w:rPr>
          <w:rFonts w:ascii="Times New Roman" w:hAnsi="Times New Roman"/>
          <w:sz w:val="10"/>
          <w:szCs w:val="10"/>
        </w:rPr>
        <w:fldChar w:fldCharType="end"/>
      </w:r>
    </w:p>
    <w:p w:rsidR="00745346" w:rsidRDefault="00745346" w:rsidP="00285260">
      <w:pPr>
        <w:widowControl w:val="0"/>
        <w:autoSpaceDE w:val="0"/>
        <w:autoSpaceDN w:val="0"/>
        <w:adjustRightInd w:val="0"/>
        <w:spacing w:before="9" w:after="0" w:line="100" w:lineRule="exact"/>
        <w:ind w:left="900"/>
        <w:rPr>
          <w:rFonts w:ascii="Times New Roman" w:hAnsi="Times New Roman"/>
          <w:sz w:val="10"/>
          <w:szCs w:val="10"/>
        </w:rPr>
      </w:pPr>
    </w:p>
    <w:p w:rsidR="00745346" w:rsidRDefault="00745346" w:rsidP="00745346">
      <w:pPr>
        <w:widowControl w:val="0"/>
        <w:pBdr>
          <w:bottom w:val="single" w:sz="4" w:space="1" w:color="auto"/>
        </w:pBdr>
        <w:autoSpaceDE w:val="0"/>
        <w:autoSpaceDN w:val="0"/>
        <w:adjustRightInd w:val="0"/>
        <w:spacing w:before="9" w:after="0" w:line="100" w:lineRule="exact"/>
        <w:ind w:left="90"/>
        <w:rPr>
          <w:rFonts w:ascii="Times New Roman" w:hAnsi="Times New Roman"/>
          <w:sz w:val="10"/>
          <w:szCs w:val="10"/>
        </w:rPr>
      </w:pPr>
    </w:p>
    <w:p w:rsidR="00D27A80" w:rsidRDefault="00D27A80" w:rsidP="00285260">
      <w:pPr>
        <w:widowControl w:val="0"/>
        <w:autoSpaceDE w:val="0"/>
        <w:autoSpaceDN w:val="0"/>
        <w:adjustRightInd w:val="0"/>
        <w:spacing w:before="9" w:after="0" w:line="100" w:lineRule="exact"/>
        <w:ind w:left="900"/>
        <w:rPr>
          <w:rFonts w:ascii="Times New Roman" w:hAnsi="Times New Roman"/>
          <w:sz w:val="10"/>
          <w:szCs w:val="10"/>
        </w:rPr>
      </w:pPr>
    </w:p>
    <w:p w:rsidR="00745346" w:rsidRDefault="00745346" w:rsidP="00285260">
      <w:pPr>
        <w:widowControl w:val="0"/>
        <w:autoSpaceDE w:val="0"/>
        <w:autoSpaceDN w:val="0"/>
        <w:adjustRightInd w:val="0"/>
        <w:spacing w:before="9" w:after="0" w:line="100" w:lineRule="exact"/>
        <w:ind w:left="900"/>
        <w:rPr>
          <w:rFonts w:ascii="Times New Roman" w:hAnsi="Times New Roman"/>
          <w:sz w:val="10"/>
          <w:szCs w:val="10"/>
        </w:rPr>
      </w:pPr>
    </w:p>
    <w:p w:rsidR="00745346" w:rsidRDefault="00745346" w:rsidP="00285260">
      <w:pPr>
        <w:widowControl w:val="0"/>
        <w:autoSpaceDE w:val="0"/>
        <w:autoSpaceDN w:val="0"/>
        <w:adjustRightInd w:val="0"/>
        <w:spacing w:before="9" w:after="0" w:line="100" w:lineRule="exact"/>
        <w:ind w:left="900"/>
        <w:rPr>
          <w:rFonts w:ascii="Times New Roman" w:hAnsi="Times New Roman"/>
          <w:sz w:val="10"/>
          <w:szCs w:val="10"/>
        </w:rPr>
      </w:pPr>
    </w:p>
    <w:p w:rsidR="00285260" w:rsidRDefault="00285260" w:rsidP="00285260">
      <w:pPr>
        <w:pStyle w:val="Heading2"/>
        <w:spacing w:before="0"/>
        <w:ind w:left="180" w:right="130" w:firstLine="0"/>
        <w:rPr>
          <w:rFonts w:ascii="Times New Roman" w:hAnsi="Times New Roman"/>
          <w:color w:val="000000"/>
          <w:sz w:val="18"/>
          <w:szCs w:val="18"/>
        </w:rPr>
      </w:pPr>
      <w:bookmarkStart w:id="0" w:name="_Toc295559137"/>
      <w:bookmarkStart w:id="1" w:name="_Toc297152670"/>
      <w:bookmarkStart w:id="2" w:name="_Toc298001622"/>
      <w:bookmarkStart w:id="3" w:name="_Toc298860468"/>
      <w:bookmarkStart w:id="4" w:name="_Toc303109082"/>
      <w:bookmarkStart w:id="5" w:name="_Toc303445018"/>
      <w:r>
        <w:rPr>
          <w:rFonts w:ascii="Times New Roman" w:hAnsi="Times New Roman"/>
          <w:color w:val="191919"/>
          <w:spacing w:val="-2"/>
          <w:sz w:val="24"/>
          <w:szCs w:val="24"/>
        </w:rPr>
        <w:t>C</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E</w:t>
      </w:r>
      <w:r>
        <w:rPr>
          <w:rFonts w:ascii="Times New Roman" w:hAnsi="Times New Roman"/>
          <w:color w:val="191919"/>
          <w:spacing w:val="-2"/>
          <w:sz w:val="18"/>
          <w:szCs w:val="18"/>
        </w:rPr>
        <w:t>XCELLENC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EACHING</w:t>
      </w:r>
      <w:r>
        <w:rPr>
          <w:rFonts w:ascii="Times New Roman" w:hAnsi="Times New Roman"/>
          <w:color w:val="191919"/>
          <w:sz w:val="24"/>
          <w:szCs w:val="24"/>
        </w:rPr>
        <w:t>,</w:t>
      </w:r>
      <w:r>
        <w:rPr>
          <w:rFonts w:ascii="Times New Roman" w:hAnsi="Times New Roman"/>
          <w:color w:val="191919"/>
          <w:spacing w:val="-5"/>
          <w:sz w:val="24"/>
          <w:szCs w:val="24"/>
        </w:rPr>
        <w:t xml:space="preserve"> </w:t>
      </w:r>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DVISING</w:t>
      </w:r>
      <w:bookmarkEnd w:id="0"/>
      <w:bookmarkEnd w:id="1"/>
      <w:bookmarkEnd w:id="2"/>
      <w:bookmarkEnd w:id="3"/>
      <w:bookmarkEnd w:id="4"/>
      <w:bookmarkEnd w:id="5"/>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The mission of the Center for Excellence in Teaching, Learning and Advising (CETLA) is to foster excellence in scholarship and learning at the university. The CETLA promotes successful teaching and learning through providing student comprehensive support systems to help students be- come more proficient learners by providing opportunities for the faculty to build capacity to become effective instructors. The primary focus of the Center is to foster high levels of academic achievement of students from their initial matriculation to graduation</w:t>
      </w: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The Center for Excellence in Teaching, Learning and Advising provides services to students, faculty and staff through four major components: Faculty Development, Academic Advisement, Retention and Learning Support.</w:t>
      </w:r>
    </w:p>
    <w:p w:rsidR="00285260" w:rsidRDefault="00285260" w:rsidP="00285260">
      <w:pPr>
        <w:widowControl w:val="0"/>
        <w:autoSpaceDE w:val="0"/>
        <w:autoSpaceDN w:val="0"/>
        <w:adjustRightInd w:val="0"/>
        <w:spacing w:before="20" w:after="0"/>
        <w:ind w:left="180" w:right="130" w:firstLine="0"/>
        <w:jc w:val="both"/>
        <w:rPr>
          <w:rFonts w:ascii="Times New Roman" w:hAnsi="Times New Roman"/>
          <w:b/>
          <w:bCs/>
          <w:color w:val="191919"/>
          <w:spacing w:val="-16"/>
          <w:sz w:val="24"/>
          <w:szCs w:val="24"/>
        </w:rPr>
      </w:pPr>
    </w:p>
    <w:p w:rsidR="00285260" w:rsidRDefault="00285260" w:rsidP="00285260">
      <w:pPr>
        <w:pStyle w:val="Heading2"/>
        <w:spacing w:before="0"/>
        <w:ind w:left="180" w:right="130" w:firstLine="0"/>
        <w:rPr>
          <w:rFonts w:ascii="Times New Roman" w:hAnsi="Times New Roman"/>
          <w:color w:val="000000"/>
          <w:sz w:val="18"/>
          <w:szCs w:val="18"/>
        </w:rPr>
      </w:pPr>
      <w:bookmarkStart w:id="6" w:name="_Toc295559138"/>
      <w:bookmarkStart w:id="7" w:name="_Toc297152671"/>
      <w:bookmarkStart w:id="8" w:name="_Toc298001623"/>
      <w:bookmarkStart w:id="9" w:name="_Toc298860469"/>
      <w:bookmarkStart w:id="10" w:name="_Toc303109083"/>
      <w:bookmarkStart w:id="11" w:name="_Toc303445019"/>
      <w:r>
        <w:rPr>
          <w:rFonts w:ascii="Times New Roman" w:hAnsi="Times New Roman"/>
          <w:color w:val="191919"/>
          <w:spacing w:val="-16"/>
          <w:sz w:val="24"/>
          <w:szCs w:val="24"/>
        </w:rPr>
        <w:t>F</w:t>
      </w:r>
      <w:r>
        <w:rPr>
          <w:rFonts w:ascii="Times New Roman" w:hAnsi="Times New Roman"/>
          <w:color w:val="191919"/>
          <w:spacing w:val="-2"/>
          <w:sz w:val="18"/>
          <w:szCs w:val="18"/>
        </w:rPr>
        <w:t>ACU</w:t>
      </w:r>
      <w:r>
        <w:rPr>
          <w:rFonts w:ascii="Times New Roman" w:hAnsi="Times New Roman"/>
          <w:color w:val="191919"/>
          <w:spacing w:val="-19"/>
          <w:sz w:val="18"/>
          <w:szCs w:val="18"/>
        </w:rPr>
        <w:t>L</w:t>
      </w:r>
      <w:r>
        <w:rPr>
          <w:rFonts w:ascii="Times New Roman" w:hAnsi="Times New Roman"/>
          <w:color w:val="191919"/>
          <w:spacing w:val="-2"/>
          <w:sz w:val="18"/>
          <w:szCs w:val="18"/>
        </w:rPr>
        <w:t>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16"/>
          <w:sz w:val="18"/>
          <w:szCs w:val="18"/>
        </w:rPr>
        <w:t>T</w:t>
      </w:r>
      <w:r>
        <w:rPr>
          <w:rFonts w:ascii="Times New Roman" w:hAnsi="Times New Roman"/>
          <w:color w:val="191919"/>
          <w:spacing w:val="-2"/>
          <w:sz w:val="18"/>
          <w:szCs w:val="18"/>
        </w:rPr>
        <w:t>AF</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EVELOPMENT</w:t>
      </w:r>
      <w:bookmarkEnd w:id="6"/>
      <w:bookmarkEnd w:id="7"/>
      <w:bookmarkEnd w:id="8"/>
      <w:bookmarkEnd w:id="9"/>
      <w:bookmarkEnd w:id="10"/>
      <w:bookmarkEnd w:id="11"/>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CETLA sponsors a variety of faculty development activities most of which are designed to enhance the level of effective teaching at the University. Workshops and seminars strengthen faculty skills in teaching, advising, research and service. CETLA also supports faculty members’ preparation for promotion, tenure, post-tenure review and developing a five-year professional plan. In addition to faculty activities, a number of services are offered for the ASU staff who lend their assistance to the total support of the educational efforts of the university and the Center.</w:t>
      </w:r>
    </w:p>
    <w:p w:rsidR="00285260" w:rsidRDefault="00285260" w:rsidP="00285260">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p>
    <w:p w:rsidR="00285260" w:rsidRDefault="00285260" w:rsidP="00285260">
      <w:pPr>
        <w:pStyle w:val="Heading2"/>
        <w:spacing w:before="0"/>
        <w:ind w:left="180" w:right="130" w:firstLine="0"/>
        <w:rPr>
          <w:rFonts w:ascii="Times New Roman" w:hAnsi="Times New Roman"/>
          <w:color w:val="000000"/>
          <w:sz w:val="18"/>
          <w:szCs w:val="18"/>
        </w:rPr>
      </w:pPr>
      <w:bookmarkStart w:id="12" w:name="_Toc295559141"/>
      <w:bookmarkStart w:id="13" w:name="_Toc297152674"/>
      <w:bookmarkStart w:id="14" w:name="_Toc298001626"/>
      <w:bookmarkStart w:id="15" w:name="_Toc298860470"/>
      <w:bookmarkStart w:id="16" w:name="_Toc303109084"/>
      <w:bookmarkStart w:id="17" w:name="_Toc303445020"/>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sidRPr="00DA6341">
        <w:rPr>
          <w:rFonts w:ascii="Times New Roman" w:hAnsi="Times New Roman"/>
          <w:color w:val="191919"/>
          <w:spacing w:val="-2"/>
          <w:sz w:val="24"/>
          <w:szCs w:val="24"/>
        </w:rPr>
        <w:t>A</w:t>
      </w:r>
      <w:r w:rsidRPr="00DA6341">
        <w:rPr>
          <w:rFonts w:ascii="Times New Roman" w:hAnsi="Times New Roman"/>
          <w:color w:val="191919"/>
          <w:spacing w:val="-2"/>
          <w:sz w:val="18"/>
          <w:szCs w:val="18"/>
        </w:rPr>
        <w:t>DVISEMENT</w:t>
      </w:r>
      <w:bookmarkEnd w:id="12"/>
      <w:bookmarkEnd w:id="13"/>
      <w:bookmarkEnd w:id="14"/>
      <w:bookmarkEnd w:id="15"/>
      <w:r>
        <w:rPr>
          <w:rFonts w:ascii="Times New Roman" w:hAnsi="Times New Roman"/>
          <w:color w:val="191919"/>
          <w:spacing w:val="-2"/>
          <w:sz w:val="18"/>
          <w:szCs w:val="18"/>
        </w:rPr>
        <w:t xml:space="preserve"> AND </w:t>
      </w:r>
      <w:r w:rsidRPr="00CE6149">
        <w:rPr>
          <w:rFonts w:ascii="Times New Roman" w:hAnsi="Times New Roman"/>
          <w:color w:val="191919"/>
          <w:spacing w:val="-2"/>
          <w:sz w:val="24"/>
          <w:szCs w:val="24"/>
        </w:rPr>
        <w:t>R</w:t>
      </w:r>
      <w:r>
        <w:rPr>
          <w:rFonts w:ascii="Times New Roman" w:hAnsi="Times New Roman"/>
          <w:color w:val="191919"/>
          <w:spacing w:val="-2"/>
          <w:sz w:val="18"/>
          <w:szCs w:val="18"/>
        </w:rPr>
        <w:t>ETENTION</w:t>
      </w:r>
      <w:r w:rsidRPr="00DA6341">
        <w:rPr>
          <w:rFonts w:ascii="Times New Roman" w:hAnsi="Times New Roman"/>
          <w:color w:val="191919"/>
          <w:spacing w:val="-2"/>
          <w:sz w:val="18"/>
          <w:szCs w:val="18"/>
        </w:rPr>
        <w:t xml:space="preserve"> </w:t>
      </w:r>
      <w:r w:rsidRPr="00DA6341">
        <w:rPr>
          <w:rFonts w:ascii="Times New Roman" w:hAnsi="Times New Roman"/>
          <w:color w:val="191919"/>
          <w:spacing w:val="-2"/>
          <w:sz w:val="24"/>
          <w:szCs w:val="24"/>
        </w:rPr>
        <w:t>C</w:t>
      </w:r>
      <w:r w:rsidRPr="00DA6341">
        <w:rPr>
          <w:rFonts w:ascii="Times New Roman" w:hAnsi="Times New Roman"/>
          <w:color w:val="191919"/>
          <w:spacing w:val="-2"/>
          <w:sz w:val="18"/>
          <w:szCs w:val="18"/>
        </w:rPr>
        <w:t>ENTER</w:t>
      </w:r>
      <w:bookmarkEnd w:id="16"/>
      <w:bookmarkEnd w:id="17"/>
    </w:p>
    <w:p w:rsidR="00285260" w:rsidRDefault="00285260" w:rsidP="00285260">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The Advisement Center, which operates under the organizational umbrella of Student Affairs, is an interdependent arm of the academic advising system of the University. This Center’s goal is to give effective, convenient academic support in the form of advisement, registration assistance and limited tutorial services to freshmen and sophomore students in a friendly and patient manner. Staff members assist students in planning programs of study and with locating the right academic resources on campus. Students who are undecided about their majors, non-traditional students and students who experience academic difficulties receive the academic advisement appropriate for their unique situations.</w:t>
      </w:r>
    </w:p>
    <w:p w:rsidR="00285260" w:rsidRDefault="00285260" w:rsidP="00285260">
      <w:pPr>
        <w:widowControl w:val="0"/>
        <w:autoSpaceDE w:val="0"/>
        <w:autoSpaceDN w:val="0"/>
        <w:adjustRightInd w:val="0"/>
        <w:spacing w:before="14" w:after="0" w:line="200" w:lineRule="exact"/>
        <w:ind w:left="180" w:right="130" w:firstLine="0"/>
        <w:rPr>
          <w:rFonts w:ascii="Times New Roman" w:hAnsi="Times New Roman"/>
          <w:color w:val="000000"/>
          <w:sz w:val="20"/>
          <w:szCs w:val="20"/>
        </w:rPr>
      </w:pPr>
    </w:p>
    <w:p w:rsidR="00285260" w:rsidRDefault="00285260" w:rsidP="00285260">
      <w:pPr>
        <w:pStyle w:val="Heading2"/>
        <w:spacing w:before="0"/>
        <w:ind w:left="180" w:right="130" w:firstLine="0"/>
        <w:rPr>
          <w:rFonts w:ascii="Times New Roman" w:hAnsi="Times New Roman"/>
          <w:color w:val="000000"/>
          <w:sz w:val="18"/>
          <w:szCs w:val="18"/>
        </w:rPr>
      </w:pPr>
      <w:bookmarkStart w:id="18" w:name="_Toc295559142"/>
      <w:bookmarkStart w:id="19" w:name="_Toc297152675"/>
      <w:bookmarkStart w:id="20" w:name="_Toc298001627"/>
      <w:bookmarkStart w:id="21" w:name="_Toc298860471"/>
      <w:bookmarkStart w:id="22" w:name="_Toc303109085"/>
      <w:bookmarkStart w:id="23" w:name="_Toc303445021"/>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E</w:t>
      </w:r>
      <w:r>
        <w:rPr>
          <w:rFonts w:ascii="Times New Roman" w:hAnsi="Times New Roman"/>
          <w:color w:val="191919"/>
          <w:spacing w:val="-9"/>
          <w:sz w:val="18"/>
          <w:szCs w:val="18"/>
        </w:rPr>
        <w:t>R</w:t>
      </w:r>
      <w:r>
        <w:rPr>
          <w:rFonts w:ascii="Times New Roman" w:hAnsi="Times New Roman"/>
          <w:color w:val="191919"/>
          <w:spacing w:val="-2"/>
          <w:sz w:val="18"/>
          <w:szCs w:val="18"/>
        </w:rPr>
        <w:t>VICES</w:t>
      </w:r>
      <w:bookmarkEnd w:id="18"/>
      <w:bookmarkEnd w:id="19"/>
      <w:bookmarkEnd w:id="20"/>
      <w:bookmarkEnd w:id="21"/>
      <w:bookmarkEnd w:id="22"/>
      <w:bookmarkEnd w:id="23"/>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The university provides learning support services to assist students in improving and enhancing skill development in reading, English and mathematics. Learning support services are designed for students whose test results indicate need for additional training to remedy deficiencies in reading, English and mathematics.</w:t>
      </w: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Students who do not meet the University’s established admission requirements, as reflected by Scholastic Aptitude Test (SAT) or American College Testing (ACT) scores, are required to take the Compass Test to determine proficiency in reading, English and mathematics. Students will be required to take Learning Support courses (non-credit) to remove the identified deficiencies in any of the three subjects listed earlier, as indicated by the Compass Test.</w:t>
      </w: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Students must take the required Learning Support courses during the first semester of enrollment at the university and must continue taking these courses each semester of enrollment until all requirements have been met. Learning Support students may not accumulate more than 30 hours of academic credit before completing all Learning Support requirements; if they do, they will not be allowed to take further credit courses until all Learning Support requirements are met.</w:t>
      </w: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Students enrolled in Learning Support courses and college credit courses may not drop or withdraw from Learning Support courses and remain in college credit courses. The student’s academic advisor must advise and approve the schedule of a student who is withdrawing from or dropping a course(s).</w:t>
      </w:r>
    </w:p>
    <w:p w:rsidR="00285260" w:rsidRDefault="00285260" w:rsidP="0028526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285260" w:rsidRDefault="00285260" w:rsidP="00285260">
      <w:pPr>
        <w:pStyle w:val="Heading2"/>
        <w:spacing w:before="0"/>
        <w:ind w:left="180" w:right="130" w:firstLine="0"/>
        <w:rPr>
          <w:rFonts w:ascii="Times New Roman" w:hAnsi="Times New Roman"/>
          <w:color w:val="000000"/>
          <w:sz w:val="18"/>
          <w:szCs w:val="18"/>
        </w:rPr>
      </w:pPr>
      <w:bookmarkStart w:id="24" w:name="_Toc295559143"/>
      <w:bookmarkStart w:id="25" w:name="_Toc297152676"/>
      <w:bookmarkStart w:id="26" w:name="_Toc298001628"/>
      <w:bookmarkStart w:id="27" w:name="_Toc298860472"/>
      <w:bookmarkStart w:id="28" w:name="_Toc303109086"/>
      <w:bookmarkStart w:id="29" w:name="_Toc303445022"/>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OURSES</w:t>
      </w:r>
      <w:bookmarkEnd w:id="24"/>
      <w:bookmarkEnd w:id="25"/>
      <w:bookmarkEnd w:id="26"/>
      <w:bookmarkEnd w:id="27"/>
      <w:bookmarkEnd w:id="28"/>
      <w:bookmarkEnd w:id="29"/>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The following non-degree credit courses are offered in Learning Support:</w:t>
      </w:r>
    </w:p>
    <w:p w:rsidR="00D27A80" w:rsidRDefault="00285260" w:rsidP="00D27A8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D27A80">
        <w:rPr>
          <w:rFonts w:ascii="Times New Roman" w:hAnsi="Times New Roman"/>
          <w:color w:val="191919"/>
          <w:sz w:val="24"/>
          <w:szCs w:val="24"/>
        </w:rPr>
        <w:t>ENGL 0099 Basic English</w:t>
      </w:r>
    </w:p>
    <w:p w:rsidR="00D27A80" w:rsidRDefault="00285260" w:rsidP="00D27A8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D27A80">
        <w:rPr>
          <w:rFonts w:ascii="Times New Roman" w:hAnsi="Times New Roman"/>
          <w:color w:val="191919"/>
          <w:sz w:val="24"/>
          <w:szCs w:val="24"/>
        </w:rPr>
        <w:t>MATH 0097 Basic Math</w:t>
      </w:r>
      <w:r w:rsidRPr="00D27A80">
        <w:rPr>
          <w:rFonts w:ascii="Times New Roman" w:hAnsi="Times New Roman"/>
          <w:color w:val="191919"/>
          <w:sz w:val="24"/>
          <w:szCs w:val="24"/>
        </w:rPr>
        <w:tab/>
      </w:r>
    </w:p>
    <w:p w:rsidR="00285260" w:rsidRPr="00D27A80" w:rsidRDefault="00285260" w:rsidP="00D27A8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D27A80">
        <w:rPr>
          <w:rFonts w:ascii="Times New Roman" w:hAnsi="Times New Roman"/>
          <w:color w:val="191919"/>
          <w:sz w:val="24"/>
          <w:szCs w:val="24"/>
        </w:rPr>
        <w:t>MATH 0099 Basic Math</w:t>
      </w:r>
    </w:p>
    <w:p w:rsidR="00285260" w:rsidRPr="00D27A80" w:rsidRDefault="00285260" w:rsidP="00D27A8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D27A80">
        <w:rPr>
          <w:rFonts w:ascii="Times New Roman" w:hAnsi="Times New Roman"/>
          <w:color w:val="191919"/>
          <w:sz w:val="24"/>
          <w:szCs w:val="24"/>
        </w:rPr>
        <w:t>READ 0099 Developmental Reading</w:t>
      </w:r>
    </w:p>
    <w:p w:rsidR="00285260" w:rsidRDefault="00285260" w:rsidP="00285260">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285260" w:rsidRDefault="00285260" w:rsidP="00285260">
      <w:pPr>
        <w:pStyle w:val="Heading2"/>
        <w:spacing w:before="0"/>
        <w:ind w:left="180" w:right="130" w:firstLine="0"/>
        <w:rPr>
          <w:rFonts w:ascii="Times New Roman" w:hAnsi="Times New Roman"/>
          <w:color w:val="000000"/>
          <w:sz w:val="18"/>
          <w:szCs w:val="18"/>
        </w:rPr>
      </w:pPr>
      <w:bookmarkStart w:id="30" w:name="_Toc295559144"/>
      <w:bookmarkStart w:id="31" w:name="_Toc297152677"/>
      <w:bookmarkStart w:id="32" w:name="_Toc298001629"/>
      <w:bookmarkStart w:id="33" w:name="_Toc298860473"/>
      <w:bookmarkStart w:id="34" w:name="_Toc303109087"/>
      <w:bookmarkStart w:id="35" w:name="_Toc303445023"/>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USPENSION</w:t>
      </w:r>
      <w:bookmarkEnd w:id="30"/>
      <w:bookmarkEnd w:id="31"/>
      <w:bookmarkEnd w:id="32"/>
      <w:bookmarkEnd w:id="33"/>
      <w:bookmarkEnd w:id="34"/>
      <w:bookmarkEnd w:id="35"/>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A student must satisfy academic deficiencies within a specified time frame established by the Board of Regents. A student who has not completed requirements for exiting a Learning Support area (English, reading, or mathematics) after two semesters in English, two semesters in reading or three semesters in math, will be suspended. That student may not be considered for readmission within one year of the suspension. With these new policies, there are no appeals allowed for Learning Support suspensions.</w:t>
      </w:r>
    </w:p>
    <w:p w:rsidR="00285260" w:rsidRDefault="00285260" w:rsidP="00285260">
      <w:pPr>
        <w:pStyle w:val="ListParagraph"/>
        <w:tabs>
          <w:tab w:val="left" w:pos="1590"/>
        </w:tabs>
        <w:spacing w:after="0" w:line="240" w:lineRule="auto"/>
        <w:ind w:left="180" w:right="130"/>
        <w:jc w:val="both"/>
        <w:rPr>
          <w:rFonts w:ascii="Times New Roman" w:hAnsi="Times New Roman"/>
          <w:color w:val="191919"/>
          <w:spacing w:val="-2"/>
          <w:sz w:val="18"/>
          <w:szCs w:val="18"/>
        </w:rPr>
      </w:pPr>
    </w:p>
    <w:p w:rsidR="00285260" w:rsidRPr="00D07B15" w:rsidRDefault="00285260" w:rsidP="00285260">
      <w:pPr>
        <w:pStyle w:val="Heading2"/>
        <w:spacing w:before="0"/>
        <w:ind w:left="180" w:right="130" w:firstLine="0"/>
        <w:rPr>
          <w:rFonts w:ascii="Times New Roman" w:hAnsi="Times New Roman"/>
          <w:color w:val="000000"/>
          <w:sz w:val="24"/>
          <w:szCs w:val="24"/>
        </w:rPr>
      </w:pPr>
      <w:bookmarkStart w:id="36" w:name="_Toc295559145"/>
      <w:bookmarkStart w:id="37" w:name="_Toc297152678"/>
      <w:bookmarkStart w:id="38" w:name="_Toc298001630"/>
      <w:bookmarkStart w:id="39" w:name="_Toc298860474"/>
      <w:bookmarkStart w:id="40" w:name="_Toc303109088"/>
      <w:bookmarkStart w:id="41" w:name="_Toc303445024"/>
      <w:r w:rsidRPr="00D07B15">
        <w:rPr>
          <w:rFonts w:ascii="Times New Roman" w:hAnsi="Times New Roman"/>
          <w:color w:val="191919"/>
          <w:spacing w:val="-2"/>
          <w:sz w:val="24"/>
          <w:szCs w:val="24"/>
        </w:rPr>
        <w:t>O</w:t>
      </w:r>
      <w:r w:rsidRPr="00D07B15">
        <w:rPr>
          <w:rFonts w:ascii="Times New Roman" w:hAnsi="Times New Roman"/>
          <w:color w:val="191919"/>
          <w:spacing w:val="-2"/>
          <w:sz w:val="18"/>
          <w:szCs w:val="18"/>
        </w:rPr>
        <w:t>THE</w:t>
      </w:r>
      <w:r w:rsidRPr="00D07B15">
        <w:rPr>
          <w:rFonts w:ascii="Times New Roman" w:hAnsi="Times New Roman"/>
          <w:color w:val="191919"/>
          <w:sz w:val="18"/>
          <w:szCs w:val="18"/>
        </w:rPr>
        <w:t>R</w:t>
      </w:r>
      <w:r w:rsidRPr="00D07B15">
        <w:rPr>
          <w:rFonts w:ascii="Times New Roman" w:hAnsi="Times New Roman"/>
          <w:color w:val="191919"/>
          <w:spacing w:val="-4"/>
          <w:sz w:val="24"/>
          <w:szCs w:val="24"/>
        </w:rPr>
        <w:t xml:space="preserve"> </w:t>
      </w:r>
      <w:r w:rsidRPr="00D07B15">
        <w:rPr>
          <w:rFonts w:ascii="Times New Roman" w:hAnsi="Times New Roman"/>
          <w:color w:val="191919"/>
          <w:spacing w:val="-2"/>
          <w:sz w:val="24"/>
          <w:szCs w:val="24"/>
        </w:rPr>
        <w:t>S</w:t>
      </w:r>
      <w:r w:rsidRPr="00D07B15">
        <w:rPr>
          <w:rFonts w:ascii="Times New Roman" w:hAnsi="Times New Roman"/>
          <w:color w:val="191919"/>
          <w:spacing w:val="-2"/>
          <w:sz w:val="18"/>
          <w:szCs w:val="18"/>
        </w:rPr>
        <w:t>ERVICES</w:t>
      </w:r>
      <w:bookmarkEnd w:id="36"/>
      <w:bookmarkEnd w:id="37"/>
      <w:bookmarkEnd w:id="38"/>
      <w:bookmarkEnd w:id="39"/>
      <w:bookmarkEnd w:id="40"/>
      <w:bookmarkEnd w:id="41"/>
    </w:p>
    <w:p w:rsidR="00285260" w:rsidRDefault="00285260" w:rsidP="00285260">
      <w:pPr>
        <w:widowControl w:val="0"/>
        <w:autoSpaceDE w:val="0"/>
        <w:autoSpaceDN w:val="0"/>
        <w:adjustRightInd w:val="0"/>
        <w:spacing w:before="5" w:after="0" w:line="220" w:lineRule="exact"/>
        <w:ind w:left="180" w:right="130" w:firstLine="0"/>
        <w:rPr>
          <w:rFonts w:ascii="Times New Roman" w:hAnsi="Times New Roman"/>
          <w:color w:val="000000"/>
        </w:rPr>
      </w:pPr>
    </w:p>
    <w:p w:rsidR="00285260" w:rsidRPr="00D27A80" w:rsidRDefault="00285260" w:rsidP="00D27A80">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D27A80">
        <w:rPr>
          <w:rFonts w:ascii="Times New Roman" w:hAnsi="Times New Roman"/>
          <w:color w:val="191919"/>
          <w:sz w:val="24"/>
          <w:szCs w:val="24"/>
        </w:rPr>
        <w:t>In collaboration with other departments at the university, the CETLA offers support tutorials for students in various content areas. In addition to content area tutorials, workshops and training sessions will be provided to support the general population in various subjects needed. The CETLA supports faculty development needs in collaboration with academic units and in conjunction with various departmental programs at the University.</w:t>
      </w:r>
    </w:p>
    <w:p w:rsidR="00946B9C" w:rsidRDefault="00946B9C" w:rsidP="00285260">
      <w:pPr>
        <w:ind w:firstLine="0"/>
      </w:pPr>
    </w:p>
    <w:p w:rsidR="00323F8D" w:rsidRDefault="00323F8D" w:rsidP="00285260">
      <w:pPr>
        <w:ind w:firstLine="0"/>
      </w:pPr>
    </w:p>
    <w:p w:rsidR="00323F8D" w:rsidRDefault="00323F8D" w:rsidP="00285260">
      <w:pPr>
        <w:ind w:firstLine="0"/>
      </w:pPr>
    </w:p>
    <w:p w:rsidR="00323F8D" w:rsidRDefault="00323F8D" w:rsidP="00285260">
      <w:pPr>
        <w:ind w:firstLine="0"/>
      </w:pPr>
    </w:p>
    <w:sectPr w:rsidR="00323F8D" w:rsidSect="00285260">
      <w:headerReference w:type="default"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208" w:rsidRDefault="005C7208" w:rsidP="00D43674">
      <w:pPr>
        <w:spacing w:after="0"/>
      </w:pPr>
      <w:r>
        <w:separator/>
      </w:r>
    </w:p>
  </w:endnote>
  <w:endnote w:type="continuationSeparator" w:id="0">
    <w:p w:rsidR="005C7208" w:rsidRDefault="005C7208" w:rsidP="00D436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208" w:rsidRDefault="005C7208" w:rsidP="00D43674">
      <w:pPr>
        <w:spacing w:after="0"/>
      </w:pPr>
      <w:r>
        <w:separator/>
      </w:r>
    </w:p>
  </w:footnote>
  <w:footnote w:type="continuationSeparator" w:id="0">
    <w:p w:rsidR="005C7208" w:rsidRDefault="005C7208" w:rsidP="00D4367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5C72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928A3"/>
    <w:multiLevelType w:val="hybridMultilevel"/>
    <w:tmpl w:val="494C5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6A0B697E"/>
    <w:multiLevelType w:val="hybridMultilevel"/>
    <w:tmpl w:val="013CD8E2"/>
    <w:lvl w:ilvl="0" w:tplc="015CA65E">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285260"/>
    <w:rsid w:val="00123BF5"/>
    <w:rsid w:val="001E1079"/>
    <w:rsid w:val="0028318D"/>
    <w:rsid w:val="00285260"/>
    <w:rsid w:val="002F329A"/>
    <w:rsid w:val="00323F8D"/>
    <w:rsid w:val="003C6A38"/>
    <w:rsid w:val="00446AA8"/>
    <w:rsid w:val="005C7208"/>
    <w:rsid w:val="00685094"/>
    <w:rsid w:val="006C2140"/>
    <w:rsid w:val="006E3385"/>
    <w:rsid w:val="006F2981"/>
    <w:rsid w:val="00740701"/>
    <w:rsid w:val="0074242E"/>
    <w:rsid w:val="00745346"/>
    <w:rsid w:val="008F7816"/>
    <w:rsid w:val="00946B9C"/>
    <w:rsid w:val="00A4282F"/>
    <w:rsid w:val="00A504E3"/>
    <w:rsid w:val="00CA1713"/>
    <w:rsid w:val="00D27A80"/>
    <w:rsid w:val="00D43674"/>
    <w:rsid w:val="00DC772D"/>
    <w:rsid w:val="00E079A3"/>
    <w:rsid w:val="00FE2F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260"/>
  </w:style>
  <w:style w:type="paragraph" w:styleId="Heading1">
    <w:name w:val="heading 1"/>
    <w:basedOn w:val="Normal"/>
    <w:next w:val="Normal"/>
    <w:link w:val="Heading1Char"/>
    <w:uiPriority w:val="9"/>
    <w:qFormat/>
    <w:rsid w:val="00285260"/>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85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852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85260"/>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285260"/>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285260"/>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26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852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2852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285260"/>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285260"/>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285260"/>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285260"/>
    <w:pPr>
      <w:tabs>
        <w:tab w:val="center" w:pos="4320"/>
        <w:tab w:val="right" w:pos="8640"/>
      </w:tabs>
      <w:spacing w:after="0"/>
    </w:pPr>
  </w:style>
  <w:style w:type="character" w:customStyle="1" w:styleId="HeaderChar">
    <w:name w:val="Header Char"/>
    <w:basedOn w:val="DefaultParagraphFont"/>
    <w:link w:val="Header"/>
    <w:uiPriority w:val="99"/>
    <w:semiHidden/>
    <w:rsid w:val="00285260"/>
  </w:style>
  <w:style w:type="paragraph" w:styleId="Footer">
    <w:name w:val="footer"/>
    <w:basedOn w:val="Normal"/>
    <w:link w:val="FooterChar"/>
    <w:uiPriority w:val="99"/>
    <w:unhideWhenUsed/>
    <w:rsid w:val="00285260"/>
    <w:pPr>
      <w:tabs>
        <w:tab w:val="center" w:pos="4320"/>
        <w:tab w:val="right" w:pos="8640"/>
      </w:tabs>
      <w:spacing w:after="0"/>
    </w:pPr>
  </w:style>
  <w:style w:type="character" w:customStyle="1" w:styleId="FooterChar">
    <w:name w:val="Footer Char"/>
    <w:basedOn w:val="DefaultParagraphFont"/>
    <w:link w:val="Footer"/>
    <w:uiPriority w:val="99"/>
    <w:rsid w:val="00285260"/>
  </w:style>
  <w:style w:type="paragraph" w:styleId="BalloonText">
    <w:name w:val="Balloon Text"/>
    <w:basedOn w:val="Normal"/>
    <w:link w:val="BalloonTextChar"/>
    <w:uiPriority w:val="99"/>
    <w:unhideWhenUsed/>
    <w:rsid w:val="00285260"/>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85260"/>
    <w:rPr>
      <w:rFonts w:ascii="Tahoma" w:hAnsi="Tahoma" w:cs="Tahoma"/>
      <w:sz w:val="16"/>
      <w:szCs w:val="16"/>
    </w:rPr>
  </w:style>
  <w:style w:type="paragraph" w:styleId="ListParagraph">
    <w:name w:val="List Paragraph"/>
    <w:basedOn w:val="Normal"/>
    <w:uiPriority w:val="34"/>
    <w:qFormat/>
    <w:rsid w:val="00285260"/>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285260"/>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5260"/>
    <w:rPr>
      <w:color w:val="0000FF" w:themeColor="hyperlink"/>
      <w:u w:val="single"/>
    </w:rPr>
  </w:style>
  <w:style w:type="paragraph" w:customStyle="1" w:styleId="Style1">
    <w:name w:val="Style1"/>
    <w:basedOn w:val="Normal"/>
    <w:link w:val="Style1Char"/>
    <w:qFormat/>
    <w:rsid w:val="00285260"/>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285260"/>
    <w:rPr>
      <w:rFonts w:ascii="Times New Roman" w:hAnsi="Times New Roman"/>
      <w:b/>
      <w:bCs/>
      <w:color w:val="191919"/>
      <w:sz w:val="18"/>
      <w:szCs w:val="18"/>
    </w:rPr>
  </w:style>
  <w:style w:type="paragraph" w:styleId="BodyText">
    <w:name w:val="Body Text"/>
    <w:basedOn w:val="Normal"/>
    <w:link w:val="BodyTextChar"/>
    <w:uiPriority w:val="99"/>
    <w:rsid w:val="00285260"/>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285260"/>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285260"/>
    <w:pPr>
      <w:spacing w:after="120" w:line="480" w:lineRule="auto"/>
      <w:ind w:left="360"/>
    </w:pPr>
  </w:style>
  <w:style w:type="character" w:customStyle="1" w:styleId="BodyTextIndent2Char">
    <w:name w:val="Body Text Indent 2 Char"/>
    <w:basedOn w:val="DefaultParagraphFont"/>
    <w:link w:val="BodyTextIndent2"/>
    <w:uiPriority w:val="99"/>
    <w:semiHidden/>
    <w:rsid w:val="00285260"/>
  </w:style>
  <w:style w:type="character" w:styleId="BookTitle">
    <w:name w:val="Book Title"/>
    <w:basedOn w:val="DefaultParagraphFont"/>
    <w:uiPriority w:val="33"/>
    <w:qFormat/>
    <w:rsid w:val="00285260"/>
    <w:rPr>
      <w:b/>
      <w:bCs/>
      <w:smallCaps/>
      <w:spacing w:val="5"/>
    </w:rPr>
  </w:style>
  <w:style w:type="paragraph" w:styleId="NormalWeb">
    <w:name w:val="Normal (Web)"/>
    <w:basedOn w:val="Normal"/>
    <w:unhideWhenUsed/>
    <w:rsid w:val="0028526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28526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28526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28526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85260"/>
    <w:rPr>
      <w:b/>
      <w:bCs/>
    </w:rPr>
  </w:style>
  <w:style w:type="character" w:customStyle="1" w:styleId="CommentSubjectChar">
    <w:name w:val="Comment Subject Char"/>
    <w:basedOn w:val="CommentTextChar"/>
    <w:link w:val="CommentSubject"/>
    <w:uiPriority w:val="99"/>
    <w:semiHidden/>
    <w:rsid w:val="00285260"/>
    <w:rPr>
      <w:b/>
      <w:bCs/>
    </w:rPr>
  </w:style>
  <w:style w:type="character" w:styleId="CommentReference">
    <w:name w:val="annotation reference"/>
    <w:basedOn w:val="DefaultParagraphFont"/>
    <w:uiPriority w:val="99"/>
    <w:semiHidden/>
    <w:unhideWhenUsed/>
    <w:rsid w:val="00285260"/>
    <w:rPr>
      <w:sz w:val="16"/>
      <w:szCs w:val="16"/>
    </w:rPr>
  </w:style>
  <w:style w:type="paragraph" w:styleId="TOCHeading">
    <w:name w:val="TOC Heading"/>
    <w:basedOn w:val="Heading1"/>
    <w:next w:val="Normal"/>
    <w:uiPriority w:val="39"/>
    <w:semiHidden/>
    <w:unhideWhenUsed/>
    <w:qFormat/>
    <w:rsid w:val="00285260"/>
    <w:pPr>
      <w:outlineLvl w:val="9"/>
    </w:pPr>
  </w:style>
  <w:style w:type="paragraph" w:styleId="TOC1">
    <w:name w:val="toc 1"/>
    <w:basedOn w:val="Normal"/>
    <w:next w:val="Normal"/>
    <w:autoRedefine/>
    <w:uiPriority w:val="39"/>
    <w:unhideWhenUsed/>
    <w:qFormat/>
    <w:rsid w:val="00285260"/>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285260"/>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285260"/>
    <w:pPr>
      <w:spacing w:after="0"/>
      <w:ind w:left="440"/>
    </w:pPr>
    <w:rPr>
      <w:i/>
      <w:iCs/>
      <w:sz w:val="20"/>
      <w:szCs w:val="20"/>
    </w:rPr>
  </w:style>
  <w:style w:type="paragraph" w:styleId="TOC4">
    <w:name w:val="toc 4"/>
    <w:basedOn w:val="Normal"/>
    <w:next w:val="Normal"/>
    <w:autoRedefine/>
    <w:uiPriority w:val="39"/>
    <w:unhideWhenUsed/>
    <w:rsid w:val="00285260"/>
    <w:pPr>
      <w:spacing w:after="0"/>
      <w:ind w:left="660"/>
    </w:pPr>
    <w:rPr>
      <w:sz w:val="18"/>
      <w:szCs w:val="18"/>
    </w:rPr>
  </w:style>
  <w:style w:type="paragraph" w:styleId="TOC5">
    <w:name w:val="toc 5"/>
    <w:basedOn w:val="Normal"/>
    <w:next w:val="Normal"/>
    <w:autoRedefine/>
    <w:uiPriority w:val="39"/>
    <w:unhideWhenUsed/>
    <w:rsid w:val="00285260"/>
    <w:pPr>
      <w:spacing w:after="0"/>
      <w:ind w:left="880"/>
    </w:pPr>
    <w:rPr>
      <w:sz w:val="18"/>
      <w:szCs w:val="18"/>
    </w:rPr>
  </w:style>
  <w:style w:type="paragraph" w:styleId="TOC6">
    <w:name w:val="toc 6"/>
    <w:basedOn w:val="Normal"/>
    <w:next w:val="Normal"/>
    <w:autoRedefine/>
    <w:uiPriority w:val="39"/>
    <w:unhideWhenUsed/>
    <w:rsid w:val="00285260"/>
    <w:pPr>
      <w:spacing w:after="0"/>
      <w:ind w:left="1100"/>
    </w:pPr>
    <w:rPr>
      <w:sz w:val="18"/>
      <w:szCs w:val="18"/>
    </w:rPr>
  </w:style>
  <w:style w:type="paragraph" w:styleId="TOC7">
    <w:name w:val="toc 7"/>
    <w:basedOn w:val="Normal"/>
    <w:next w:val="Normal"/>
    <w:autoRedefine/>
    <w:uiPriority w:val="39"/>
    <w:unhideWhenUsed/>
    <w:rsid w:val="00285260"/>
    <w:pPr>
      <w:spacing w:after="0"/>
      <w:ind w:left="1320"/>
    </w:pPr>
    <w:rPr>
      <w:sz w:val="18"/>
      <w:szCs w:val="18"/>
    </w:rPr>
  </w:style>
  <w:style w:type="paragraph" w:styleId="TOC8">
    <w:name w:val="toc 8"/>
    <w:basedOn w:val="Normal"/>
    <w:next w:val="Normal"/>
    <w:autoRedefine/>
    <w:uiPriority w:val="39"/>
    <w:unhideWhenUsed/>
    <w:rsid w:val="00285260"/>
    <w:pPr>
      <w:spacing w:after="0"/>
      <w:ind w:left="1540"/>
    </w:pPr>
    <w:rPr>
      <w:sz w:val="18"/>
      <w:szCs w:val="18"/>
    </w:rPr>
  </w:style>
  <w:style w:type="paragraph" w:styleId="TOC9">
    <w:name w:val="toc 9"/>
    <w:basedOn w:val="Normal"/>
    <w:next w:val="Normal"/>
    <w:autoRedefine/>
    <w:uiPriority w:val="39"/>
    <w:unhideWhenUsed/>
    <w:rsid w:val="00285260"/>
    <w:pPr>
      <w:spacing w:after="0"/>
      <w:ind w:left="1760"/>
    </w:pPr>
    <w:rPr>
      <w:sz w:val="18"/>
      <w:szCs w:val="18"/>
    </w:rPr>
  </w:style>
  <w:style w:type="character" w:customStyle="1" w:styleId="apple-style-span">
    <w:name w:val="apple-style-span"/>
    <w:basedOn w:val="DefaultParagraphFont"/>
    <w:rsid w:val="00285260"/>
  </w:style>
  <w:style w:type="character" w:styleId="Strong">
    <w:name w:val="Strong"/>
    <w:basedOn w:val="DefaultParagraphFont"/>
    <w:qFormat/>
    <w:rsid w:val="00285260"/>
    <w:rPr>
      <w:b/>
      <w:bCs/>
    </w:rPr>
  </w:style>
  <w:style w:type="paragraph" w:customStyle="1" w:styleId="Default">
    <w:name w:val="Default"/>
    <w:uiPriority w:val="99"/>
    <w:rsid w:val="00285260"/>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285260"/>
    <w:rPr>
      <w:color w:val="auto"/>
    </w:rPr>
  </w:style>
  <w:style w:type="paragraph" w:customStyle="1" w:styleId="CM3">
    <w:name w:val="CM3"/>
    <w:basedOn w:val="Default"/>
    <w:next w:val="Default"/>
    <w:uiPriority w:val="99"/>
    <w:rsid w:val="00285260"/>
    <w:rPr>
      <w:color w:val="auto"/>
    </w:rPr>
  </w:style>
  <w:style w:type="paragraph" w:styleId="NoSpacing">
    <w:name w:val="No Spacing"/>
    <w:uiPriority w:val="1"/>
    <w:qFormat/>
    <w:rsid w:val="00285260"/>
    <w:pPr>
      <w:spacing w:after="0"/>
      <w:ind w:firstLine="0"/>
    </w:pPr>
    <w:rPr>
      <w:rFonts w:ascii="Calibri" w:eastAsia="Calibri" w:hAnsi="Calibri" w:cs="Times New Roman"/>
      <w:lang w:eastAsia="en-US"/>
    </w:rPr>
  </w:style>
  <w:style w:type="paragraph" w:customStyle="1" w:styleId="style4">
    <w:name w:val="style4"/>
    <w:basedOn w:val="Normal"/>
    <w:rsid w:val="00285260"/>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285260"/>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285260"/>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285260"/>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285260"/>
    <w:rPr>
      <w:rFonts w:ascii="Times New Roman" w:eastAsia="Times New Roman" w:hAnsi="Times New Roman" w:cs="Times New Roman"/>
      <w:sz w:val="24"/>
      <w:szCs w:val="24"/>
      <w:lang w:eastAsia="en-US"/>
    </w:rPr>
  </w:style>
  <w:style w:type="character" w:styleId="PageNumber">
    <w:name w:val="page number"/>
    <w:basedOn w:val="DefaultParagraphFont"/>
    <w:rsid w:val="00285260"/>
  </w:style>
  <w:style w:type="paragraph" w:styleId="BodyText2">
    <w:name w:val="Body Text 2"/>
    <w:basedOn w:val="Normal"/>
    <w:link w:val="BodyText2Char"/>
    <w:uiPriority w:val="99"/>
    <w:rsid w:val="00285260"/>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285260"/>
    <w:rPr>
      <w:rFonts w:ascii="Times New Roman" w:eastAsia="Times New Roman" w:hAnsi="Times New Roman" w:cs="Times New Roman"/>
      <w:sz w:val="24"/>
      <w:szCs w:val="24"/>
      <w:lang w:eastAsia="en-US"/>
    </w:rPr>
  </w:style>
  <w:style w:type="character" w:customStyle="1" w:styleId="grame">
    <w:name w:val="grame"/>
    <w:basedOn w:val="DefaultParagraphFont"/>
    <w:rsid w:val="00285260"/>
  </w:style>
  <w:style w:type="character" w:styleId="FollowedHyperlink">
    <w:name w:val="FollowedHyperlink"/>
    <w:basedOn w:val="DefaultParagraphFont"/>
    <w:uiPriority w:val="99"/>
    <w:semiHidden/>
    <w:unhideWhenUsed/>
    <w:rsid w:val="00285260"/>
    <w:rPr>
      <w:color w:val="800080" w:themeColor="followedHyperlink"/>
      <w:u w:val="single"/>
    </w:rPr>
  </w:style>
  <w:style w:type="paragraph" w:customStyle="1" w:styleId="PreformattedText">
    <w:name w:val="Preformatted Text"/>
    <w:basedOn w:val="Normal"/>
    <w:rsid w:val="00285260"/>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285260"/>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B763D-8644-4C4B-B02B-E804D4FA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810</Words>
  <Characters>4617</Characters>
  <Application>Microsoft Office Word</Application>
  <DocSecurity>0</DocSecurity>
  <Lines>38</Lines>
  <Paragraphs>10</Paragraphs>
  <ScaleCrop>false</ScaleCrop>
  <Company>Hewlett-Packard Company</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2011-09-10T23:07:00Z</dcterms:created>
  <dcterms:modified xsi:type="dcterms:W3CDTF">2011-09-10T23:10:00Z</dcterms:modified>
</cp:coreProperties>
</file>