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ED0" w:rsidRPr="00821B2D" w:rsidRDefault="009C0ED0" w:rsidP="009C0ED0">
      <w:pPr>
        <w:pStyle w:val="CM3"/>
      </w:pPr>
      <w:r w:rsidRPr="00C2637A">
        <w:rPr>
          <w:rFonts w:cs="Calibri"/>
          <w:b/>
          <w:color w:val="000000"/>
        </w:rPr>
        <w:t xml:space="preserve">To:  </w:t>
      </w:r>
      <w:r>
        <w:rPr>
          <w:rFonts w:cs="Calibri"/>
          <w:b/>
          <w:color w:val="000000"/>
        </w:rPr>
        <w:t xml:space="preserve">      </w:t>
      </w:r>
      <w:r w:rsidRPr="00A26CBE">
        <w:rPr>
          <w:rFonts w:cs="Calibri"/>
          <w:color w:val="000000"/>
        </w:rPr>
        <w:t>Office of Academic Affairs</w:t>
      </w:r>
      <w:r w:rsidR="00864BA6">
        <w:rPr>
          <w:rFonts w:cs="Calibri"/>
          <w:color w:val="000000"/>
        </w:rPr>
        <w:t xml:space="preserve"> and Services</w:t>
      </w:r>
    </w:p>
    <w:p w:rsidR="009C0ED0" w:rsidRPr="00C2637A" w:rsidRDefault="009C0ED0" w:rsidP="009C0ED0">
      <w:pPr>
        <w:pStyle w:val="Default"/>
        <w:rPr>
          <w:b/>
        </w:rPr>
      </w:pPr>
    </w:p>
    <w:p w:rsidR="009C0ED0" w:rsidRPr="00BC3704" w:rsidRDefault="009C0ED0" w:rsidP="009C0ED0">
      <w:pPr>
        <w:pStyle w:val="Default"/>
      </w:pPr>
      <w:r w:rsidRPr="00415676">
        <w:rPr>
          <w:b/>
        </w:rPr>
        <w:t xml:space="preserve">From: </w:t>
      </w:r>
      <w:r>
        <w:rPr>
          <w:b/>
        </w:rPr>
        <w:t xml:space="preserve">  </w:t>
      </w:r>
      <w:r w:rsidRPr="00BC3704">
        <w:t>DegreeWorks Project Team</w:t>
      </w:r>
    </w:p>
    <w:p w:rsidR="009C0ED0" w:rsidRPr="00415676" w:rsidRDefault="009C0ED0" w:rsidP="009C0ED0">
      <w:pPr>
        <w:pStyle w:val="Default"/>
        <w:rPr>
          <w:b/>
        </w:rPr>
      </w:pPr>
    </w:p>
    <w:p w:rsidR="009C0ED0" w:rsidRPr="00BC3704" w:rsidRDefault="009C0ED0" w:rsidP="009C0ED0">
      <w:pPr>
        <w:pStyle w:val="Default"/>
      </w:pPr>
      <w:r w:rsidRPr="00415676">
        <w:rPr>
          <w:b/>
        </w:rPr>
        <w:t xml:space="preserve">Date: </w:t>
      </w:r>
      <w:fldSimple w:instr=" DATE \@ &quot;M/d/yyyy&quot; ">
        <w:r w:rsidR="00A923EF">
          <w:rPr>
            <w:noProof/>
          </w:rPr>
          <w:t>10/28/2010</w:t>
        </w:r>
      </w:fldSimple>
    </w:p>
    <w:p w:rsidR="009C0ED0" w:rsidRPr="00415676" w:rsidRDefault="009C0ED0" w:rsidP="009C0ED0">
      <w:pPr>
        <w:pStyle w:val="Default"/>
        <w:rPr>
          <w:b/>
        </w:rPr>
      </w:pPr>
    </w:p>
    <w:p w:rsidR="009C0ED0" w:rsidRPr="00BC3704" w:rsidRDefault="009C0ED0" w:rsidP="009C0ED0">
      <w:pPr>
        <w:pStyle w:val="Default"/>
      </w:pPr>
      <w:r w:rsidRPr="00415676">
        <w:rPr>
          <w:b/>
        </w:rPr>
        <w:t xml:space="preserve">Re: </w:t>
      </w:r>
      <w:r w:rsidRPr="00BC3704">
        <w:t xml:space="preserve">Degree Works </w:t>
      </w:r>
      <w:r>
        <w:t>Catalog Discrepancies</w:t>
      </w:r>
    </w:p>
    <w:p w:rsidR="009C0ED0" w:rsidRPr="00415676" w:rsidRDefault="00F53DAC" w:rsidP="009C0ED0">
      <w:pPr>
        <w:pStyle w:val="Default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.5pt;margin-top:7.85pt;width:472.5pt;height:.75pt;z-index:251660288" o:connectortype="straight"/>
        </w:pict>
      </w:r>
    </w:p>
    <w:p w:rsidR="004D58D0" w:rsidRDefault="009C0ED0" w:rsidP="009C0ED0">
      <w:pPr>
        <w:pStyle w:val="Defaul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 would like to thank you for all of your hard work and assistance with the DegreeWorks project.  This document includes a list of Catalog issues identified for updating</w:t>
      </w:r>
      <w:r w:rsidR="004D58D0">
        <w:rPr>
          <w:rFonts w:asciiTheme="minorHAnsi" w:hAnsiTheme="minorHAnsi" w:cs="Arial"/>
        </w:rPr>
        <w:t xml:space="preserve"> both the Undergraduate and Graduate 2008-2012 Catalogs</w:t>
      </w:r>
      <w:r>
        <w:rPr>
          <w:rFonts w:asciiTheme="minorHAnsi" w:hAnsiTheme="minorHAnsi" w:cs="Arial"/>
        </w:rPr>
        <w:t xml:space="preserve">. </w:t>
      </w:r>
    </w:p>
    <w:p w:rsidR="004D58D0" w:rsidRDefault="004D58D0" w:rsidP="009C0ED0">
      <w:pPr>
        <w:pStyle w:val="Default"/>
        <w:rPr>
          <w:rFonts w:asciiTheme="minorHAnsi" w:hAnsiTheme="minorHAnsi" w:cs="Arial"/>
        </w:rPr>
      </w:pPr>
    </w:p>
    <w:p w:rsidR="004D58D0" w:rsidRDefault="004D58D0" w:rsidP="009C0ED0">
      <w:pPr>
        <w:pStyle w:val="Default"/>
        <w:rPr>
          <w:rFonts w:asciiTheme="minorHAnsi" w:hAnsiTheme="minorHAnsi" w:cs="Arial"/>
        </w:rPr>
      </w:pPr>
    </w:p>
    <w:p w:rsidR="009C0ED0" w:rsidRDefault="009C0ED0" w:rsidP="009C0ED0">
      <w:pPr>
        <w:pStyle w:val="Default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Please see below.</w:t>
      </w:r>
    </w:p>
    <w:p w:rsidR="00864BA6" w:rsidRDefault="00864BA6" w:rsidP="009C0ED0">
      <w:pPr>
        <w:pStyle w:val="Default"/>
        <w:rPr>
          <w:rFonts w:asciiTheme="minorHAnsi" w:hAnsiTheme="minorHAnsi" w:cs="Arial"/>
        </w:rPr>
      </w:pPr>
    </w:p>
    <w:p w:rsidR="00864BA6" w:rsidRDefault="00864BA6" w:rsidP="009C0ED0">
      <w:pPr>
        <w:pStyle w:val="Default"/>
        <w:rPr>
          <w:rFonts w:asciiTheme="minorHAnsi" w:hAnsiTheme="minorHAnsi" w:cs="Arial"/>
        </w:rPr>
      </w:pPr>
    </w:p>
    <w:p w:rsidR="009C0ED0" w:rsidRDefault="009C0ED0" w:rsidP="009C0ED0">
      <w:pPr>
        <w:pStyle w:val="Default"/>
        <w:rPr>
          <w:rFonts w:asciiTheme="minorHAnsi" w:hAnsiTheme="minorHAnsi" w:cs="Arial"/>
        </w:rPr>
      </w:pPr>
    </w:p>
    <w:p w:rsidR="009C0ED0" w:rsidRDefault="009C0ED0" w:rsidP="009C0ED0">
      <w:pPr>
        <w:pStyle w:val="Default"/>
        <w:rPr>
          <w:rFonts w:asciiTheme="minorHAnsi" w:hAnsiTheme="minorHAnsi" w:cs="Arial"/>
        </w:rPr>
      </w:pPr>
    </w:p>
    <w:p w:rsidR="009C0ED0" w:rsidRDefault="009C0ED0" w:rsidP="009C0ED0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:rsidR="009C0ED0" w:rsidRDefault="009C0ED0" w:rsidP="009C0ED0">
      <w:pPr>
        <w:pStyle w:val="Default"/>
      </w:pPr>
    </w:p>
    <w:p w:rsidR="009C0ED0" w:rsidRDefault="009C0ED0" w:rsidP="009C0ED0">
      <w:pPr>
        <w:pStyle w:val="Title"/>
      </w:pPr>
      <w:r>
        <w:t>DegreeWorks: Catalog Discrepancies</w:t>
      </w:r>
    </w:p>
    <w:p w:rsidR="009C0ED0" w:rsidRDefault="009C0ED0" w:rsidP="009C0ED0">
      <w:pPr>
        <w:pStyle w:val="Heading2"/>
      </w:pPr>
      <w:r>
        <w:t>Purpose</w:t>
      </w:r>
    </w:p>
    <w:p w:rsidR="009C0ED0" w:rsidRDefault="009C0ED0" w:rsidP="009C0ED0">
      <w:r>
        <w:t xml:space="preserve">Identified Catalog Discrepancies </w:t>
      </w:r>
    </w:p>
    <w:tbl>
      <w:tblPr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/>
      </w:tblPr>
      <w:tblGrid>
        <w:gridCol w:w="4780"/>
        <w:gridCol w:w="3776"/>
        <w:gridCol w:w="1009"/>
      </w:tblGrid>
      <w:tr w:rsidR="009C0ED0" w:rsidRPr="0058233B" w:rsidTr="00051E07">
        <w:tc>
          <w:tcPr>
            <w:tcW w:w="4780" w:type="dxa"/>
            <w:tcBorders>
              <w:bottom w:val="single" w:sz="4" w:space="0" w:color="000000"/>
            </w:tcBorders>
            <w:shd w:val="clear" w:color="auto" w:fill="FFFF00"/>
          </w:tcPr>
          <w:p w:rsidR="009C0ED0" w:rsidRPr="0058233B" w:rsidRDefault="00864BA6" w:rsidP="00051E07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</w:t>
            </w:r>
            <w:r w:rsidR="00BD150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C0ED0">
              <w:rPr>
                <w:rFonts w:ascii="Arial" w:hAnsi="Arial" w:cs="Arial"/>
                <w:b/>
                <w:sz w:val="20"/>
                <w:szCs w:val="20"/>
              </w:rPr>
              <w:t>Catalog Issue</w:t>
            </w:r>
          </w:p>
        </w:tc>
        <w:tc>
          <w:tcPr>
            <w:tcW w:w="3776" w:type="dxa"/>
            <w:tcBorders>
              <w:bottom w:val="single" w:sz="4" w:space="0" w:color="000000"/>
            </w:tcBorders>
            <w:shd w:val="clear" w:color="auto" w:fill="FFFF00"/>
          </w:tcPr>
          <w:p w:rsidR="009C0ED0" w:rsidRPr="0058233B" w:rsidRDefault="009C0ED0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Degree Program</w:t>
            </w:r>
            <w:r w:rsidRPr="0058233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  <w:shd w:val="clear" w:color="auto" w:fill="FFFF00"/>
          </w:tcPr>
          <w:p w:rsidR="009C0ED0" w:rsidRPr="0058233B" w:rsidRDefault="009C0ED0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Page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103874" w:rsidRPr="00103874" w:rsidRDefault="00103874" w:rsidP="00103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:rsidR="00103874" w:rsidRPr="00103874" w:rsidRDefault="00103874" w:rsidP="00103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  <w:r w:rsidRPr="00103874">
              <w:rPr>
                <w:rFonts w:ascii="Calibri" w:eastAsiaTheme="minorHAnsi" w:hAnsi="Calibri" w:cs="Calibri"/>
                <w:color w:val="000000"/>
              </w:rPr>
              <w:t xml:space="preserve">ASU 2008‐2012 Graduate Catalog MED Early Childhood Education has courses listed on page 73 as a part of Area C such as SECD 5535 Strategic Developmental Counseling and the course is not listed on the </w:t>
            </w:r>
            <w:proofErr w:type="spellStart"/>
            <w:r w:rsidRPr="00103874">
              <w:rPr>
                <w:rFonts w:ascii="Calibri" w:eastAsiaTheme="minorHAnsi" w:hAnsi="Calibri" w:cs="Calibri"/>
                <w:color w:val="000000"/>
              </w:rPr>
              <w:t>checksheet</w:t>
            </w:r>
            <w:proofErr w:type="spellEnd"/>
            <w:r w:rsidRPr="00103874">
              <w:rPr>
                <w:rFonts w:ascii="Calibri" w:eastAsiaTheme="minorHAnsi" w:hAnsi="Calibri" w:cs="Calibri"/>
                <w:color w:val="000000"/>
              </w:rPr>
              <w:t xml:space="preserve"> </w:t>
            </w:r>
          </w:p>
          <w:p w:rsidR="009C0ED0" w:rsidRDefault="009C0ED0" w:rsidP="00051E07">
            <w:pPr>
              <w:spacing w:after="120"/>
            </w:pPr>
          </w:p>
        </w:tc>
        <w:tc>
          <w:tcPr>
            <w:tcW w:w="3776" w:type="dxa"/>
            <w:shd w:val="clear" w:color="auto" w:fill="auto"/>
          </w:tcPr>
          <w:p w:rsidR="009C0ED0" w:rsidRDefault="00103874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CoE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A923EF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103874" w:rsidRPr="00103874" w:rsidRDefault="00103874" w:rsidP="00103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:rsidR="00103874" w:rsidRPr="00103874" w:rsidRDefault="00103874" w:rsidP="00103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  <w:r w:rsidRPr="00103874">
              <w:rPr>
                <w:rFonts w:ascii="Calibri" w:eastAsiaTheme="minorHAnsi" w:hAnsi="Calibri" w:cs="Calibri"/>
                <w:color w:val="000000"/>
              </w:rPr>
              <w:t xml:space="preserve">EDRG 5595/5596 on </w:t>
            </w:r>
            <w:proofErr w:type="spellStart"/>
            <w:r w:rsidRPr="00103874">
              <w:rPr>
                <w:rFonts w:ascii="Calibri" w:eastAsiaTheme="minorHAnsi" w:hAnsi="Calibri" w:cs="Calibri"/>
                <w:color w:val="000000"/>
              </w:rPr>
              <w:t>checksheet</w:t>
            </w:r>
            <w:proofErr w:type="spellEnd"/>
            <w:r w:rsidRPr="00103874">
              <w:rPr>
                <w:rFonts w:ascii="Calibri" w:eastAsiaTheme="minorHAnsi" w:hAnsi="Calibri" w:cs="Calibri"/>
                <w:color w:val="000000"/>
              </w:rPr>
              <w:t xml:space="preserve"> and not listed in the Catalog. </w:t>
            </w:r>
          </w:p>
          <w:p w:rsidR="009C0ED0" w:rsidRDefault="009C0ED0" w:rsidP="00051E07">
            <w:pPr>
              <w:spacing w:after="120"/>
            </w:pPr>
          </w:p>
        </w:tc>
        <w:tc>
          <w:tcPr>
            <w:tcW w:w="3776" w:type="dxa"/>
            <w:shd w:val="clear" w:color="auto" w:fill="auto"/>
          </w:tcPr>
          <w:p w:rsidR="009C0ED0" w:rsidRDefault="00A923EF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CoE</w:t>
            </w:r>
            <w:proofErr w:type="spellEnd"/>
          </w:p>
        </w:tc>
        <w:tc>
          <w:tcPr>
            <w:tcW w:w="1009" w:type="dxa"/>
            <w:shd w:val="clear" w:color="auto" w:fill="auto"/>
          </w:tcPr>
          <w:p w:rsidR="009C0ED0" w:rsidRPr="0058233B" w:rsidRDefault="009C0ED0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103874" w:rsidRPr="00103874" w:rsidRDefault="00103874" w:rsidP="00103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</w:p>
          <w:p w:rsidR="00103874" w:rsidRPr="00103874" w:rsidRDefault="00103874" w:rsidP="001038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Theme="minorHAnsi" w:hAnsi="Calibri" w:cs="Calibri"/>
                <w:color w:val="000000"/>
              </w:rPr>
            </w:pPr>
            <w:r w:rsidRPr="00103874">
              <w:rPr>
                <w:rFonts w:ascii="Calibri" w:eastAsiaTheme="minorHAnsi" w:hAnsi="Calibri" w:cs="Calibri"/>
                <w:color w:val="000000"/>
              </w:rPr>
              <w:t xml:space="preserve">MED in Early Childhood Education Catalog: Are all of the course descriptions listed on pages 74‐75? </w:t>
            </w:r>
          </w:p>
          <w:p w:rsidR="009C0ED0" w:rsidRDefault="009C0ED0" w:rsidP="00051E07">
            <w:pPr>
              <w:spacing w:after="120"/>
            </w:pPr>
          </w:p>
        </w:tc>
        <w:tc>
          <w:tcPr>
            <w:tcW w:w="3776" w:type="dxa"/>
            <w:shd w:val="clear" w:color="auto" w:fill="auto"/>
          </w:tcPr>
          <w:p w:rsidR="009C0ED0" w:rsidRDefault="00A923EF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CoE</w:t>
            </w:r>
            <w:proofErr w:type="spellEnd"/>
          </w:p>
        </w:tc>
        <w:tc>
          <w:tcPr>
            <w:tcW w:w="1009" w:type="dxa"/>
            <w:shd w:val="clear" w:color="auto" w:fill="auto"/>
          </w:tcPr>
          <w:p w:rsidR="009C0ED0" w:rsidRPr="0058233B" w:rsidRDefault="00A923EF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74/75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A923EF" w:rsidP="00051E07">
            <w:pPr>
              <w:spacing w:after="120"/>
            </w:pPr>
            <w:r>
              <w:t>Academic Support Services – Honors and Awards section lists Associate Degree honors and Albany State University does not offer Associate Degrees?</w:t>
            </w:r>
          </w:p>
        </w:tc>
        <w:tc>
          <w:tcPr>
            <w:tcW w:w="3776" w:type="dxa"/>
            <w:shd w:val="clear" w:color="auto" w:fill="auto"/>
          </w:tcPr>
          <w:p w:rsidR="009C0ED0" w:rsidRDefault="00A923EF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Academic Support Services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A923EF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8C6151" w:rsidP="00051E07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Admissions – Transfer Students </w:t>
            </w:r>
          </w:p>
          <w:p w:rsidR="008C6151" w:rsidRDefault="008C6151" w:rsidP="00051E07">
            <w:pPr>
              <w:spacing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Review</w:t>
            </w:r>
          </w:p>
          <w:p w:rsidR="008C6151" w:rsidRDefault="008C6151" w:rsidP="008C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Albany State University will accept as transferred credit “D” grades earned in core curriculum courses; no freshman English courses with</w:t>
            </w:r>
          </w:p>
          <w:p w:rsidR="008C6151" w:rsidRDefault="008C6151" w:rsidP="008C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grades</w:t>
            </w:r>
            <w:proofErr w:type="gramEnd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 less than “C” will be accepted as transfer credit. All transfer applicants accepted for admissions will be mailed a copy of their evaluation</w:t>
            </w:r>
          </w:p>
          <w:p w:rsidR="008C6151" w:rsidRDefault="008C6151" w:rsidP="008C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sheet</w:t>
            </w:r>
            <w:proofErr w:type="gramEnd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, which includes the work accepted from the college previously attended. This evaluation must be presented upon registration to the</w:t>
            </w:r>
          </w:p>
          <w:p w:rsidR="008C6151" w:rsidRDefault="008C6151" w:rsidP="008C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students</w:t>
            </w:r>
            <w:proofErr w:type="gramEnd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’ advisors. Unofficial transcripts cannot be evaluated. Applicants who have not completed at least 30 semester hours of accepted</w:t>
            </w:r>
          </w:p>
          <w:p w:rsidR="008C6151" w:rsidRDefault="008C6151" w:rsidP="008C61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transfer</w:t>
            </w:r>
            <w:proofErr w:type="gramEnd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 credits should complete all the requirements for </w:t>
            </w: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lastRenderedPageBreak/>
              <w:t>freshman admissions. Students who have not completed Developmental Studies requirements</w:t>
            </w:r>
          </w:p>
          <w:p w:rsidR="008C6151" w:rsidRPr="00A16F9E" w:rsidRDefault="008C6151" w:rsidP="008C6151">
            <w:pPr>
              <w:spacing w:after="120"/>
              <w:rPr>
                <w:color w:val="000000" w:themeColor="text1"/>
              </w:rPr>
            </w:pP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at another System institution shall be admitted only in accordance with the developmental Studies guidelines</w:t>
            </w:r>
          </w:p>
        </w:tc>
        <w:tc>
          <w:tcPr>
            <w:tcW w:w="3776" w:type="dxa"/>
            <w:shd w:val="clear" w:color="auto" w:fill="auto"/>
          </w:tcPr>
          <w:p w:rsidR="009C0ED0" w:rsidRDefault="008C615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Admissions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8C615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8C6151" w:rsidRDefault="008C6151" w:rsidP="00051E07">
            <w:pPr>
              <w:spacing w:after="120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lastRenderedPageBreak/>
              <w:t>In the printed Undergrad Catalog, the below words are joined, misprint</w:t>
            </w:r>
          </w:p>
          <w:p w:rsidR="009C0ED0" w:rsidRPr="00727D02" w:rsidRDefault="008C6151" w:rsidP="00051E07">
            <w:pPr>
              <w:spacing w:after="120"/>
              <w:rPr>
                <w:color w:val="000000" w:themeColor="text1"/>
              </w:rPr>
            </w:pP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The following procedures </w:t>
            </w:r>
            <w:proofErr w:type="spellStart"/>
            <w:r w:rsidRPr="008C6151"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  <w:highlight w:val="yellow"/>
              </w:rPr>
              <w:t>implementthe</w:t>
            </w:r>
            <w:proofErr w:type="spellEnd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 Policy on the Regents’ Testing Program of the Board of Regents of the University System of Georgia (USG).</w:t>
            </w:r>
          </w:p>
        </w:tc>
        <w:tc>
          <w:tcPr>
            <w:tcW w:w="3776" w:type="dxa"/>
            <w:shd w:val="clear" w:color="auto" w:fill="auto"/>
          </w:tcPr>
          <w:p w:rsidR="009C0ED0" w:rsidRDefault="008C615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Academic Information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8C615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45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Pr="00A16F9E" w:rsidRDefault="008C6151" w:rsidP="008C6151">
            <w:pPr>
              <w:pStyle w:val="ListParagraph"/>
              <w:spacing w:after="120"/>
              <w:ind w:left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Please review the Grading System in the Academic Support Services section</w:t>
            </w:r>
          </w:p>
        </w:tc>
        <w:tc>
          <w:tcPr>
            <w:tcW w:w="3776" w:type="dxa"/>
            <w:shd w:val="clear" w:color="auto" w:fill="auto"/>
          </w:tcPr>
          <w:p w:rsidR="009C0ED0" w:rsidRDefault="008C615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Academic Support Services 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8C615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Pr="00A16F9E" w:rsidRDefault="008C6151" w:rsidP="008C6151">
            <w:pPr>
              <w:pStyle w:val="ListParagraph"/>
              <w:spacing w:after="120"/>
              <w:ind w:left="90"/>
              <w:rPr>
                <w:color w:val="000000" w:themeColor="text1"/>
              </w:rPr>
            </w:pP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Any forms submitted after </w:t>
            </w:r>
            <w:proofErr w:type="spellStart"/>
            <w:r w:rsidRPr="008C6151"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  <w:highlight w:val="yellow"/>
              </w:rPr>
              <w:t>teh</w:t>
            </w:r>
            <w:proofErr w:type="spellEnd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 </w:t>
            </w:r>
            <w:r w:rsidRPr="008C6151"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  <w:highlight w:val="yellow"/>
              </w:rPr>
              <w:t>–misspelled</w:t>
            </w: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 deadline will not be processed</w:t>
            </w:r>
          </w:p>
        </w:tc>
        <w:tc>
          <w:tcPr>
            <w:tcW w:w="3776" w:type="dxa"/>
            <w:shd w:val="clear" w:color="auto" w:fill="auto"/>
          </w:tcPr>
          <w:p w:rsidR="009C0ED0" w:rsidRDefault="008C615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Academic Support Services 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8C615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53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051E07" w:rsidRDefault="00051E07" w:rsidP="00051E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Any student who successfully completes military science courses (MILS 1110, 1120, 2210 OR 2220) with a “C” or better can substitute 1 unit</w:t>
            </w:r>
          </w:p>
          <w:p w:rsidR="009C0ED0" w:rsidRDefault="00051E07" w:rsidP="00051E07">
            <w:pPr>
              <w:pStyle w:val="ListParagraph"/>
              <w:spacing w:after="120"/>
              <w:ind w:left="0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of</w:t>
            </w:r>
            <w:proofErr w:type="gramEnd"/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 Physical Education toward graduation credit.</w:t>
            </w:r>
          </w:p>
          <w:p w:rsidR="00051E07" w:rsidRPr="00A16F9E" w:rsidRDefault="00051E07" w:rsidP="00051E07">
            <w:pPr>
              <w:pStyle w:val="ListParagraph"/>
              <w:spacing w:after="120"/>
              <w:ind w:left="0"/>
              <w:rPr>
                <w:color w:val="000000" w:themeColor="text1"/>
              </w:rPr>
            </w:pPr>
            <w:r w:rsidRPr="00051E07"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  <w:highlight w:val="yellow"/>
              </w:rPr>
              <w:t>Course Numbers are incorrect</w:t>
            </w:r>
          </w:p>
        </w:tc>
        <w:tc>
          <w:tcPr>
            <w:tcW w:w="3776" w:type="dxa"/>
            <w:shd w:val="clear" w:color="auto" w:fill="auto"/>
          </w:tcPr>
          <w:p w:rsidR="009C0ED0" w:rsidRDefault="00051E0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Military Science 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051E0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59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051E07" w:rsidP="00051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Should there be a separate Area A for Pre-Engineering/Computer Science?</w:t>
            </w:r>
          </w:p>
          <w:p w:rsidR="00051E07" w:rsidRPr="00727D02" w:rsidRDefault="00051E07" w:rsidP="00051E07">
            <w:pPr>
              <w:rPr>
                <w:color w:val="000000" w:themeColor="text1"/>
              </w:rPr>
            </w:pPr>
            <w:r w:rsidRPr="00051E07">
              <w:rPr>
                <w:color w:val="000000" w:themeColor="text1"/>
                <w:highlight w:val="yellow"/>
              </w:rPr>
              <w:t>Core Curriculum Area requires review</w:t>
            </w:r>
          </w:p>
        </w:tc>
        <w:tc>
          <w:tcPr>
            <w:tcW w:w="3776" w:type="dxa"/>
            <w:shd w:val="clear" w:color="auto" w:fill="auto"/>
          </w:tcPr>
          <w:p w:rsidR="009C0ED0" w:rsidRDefault="00051E0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Core Curriculum 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051E0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65/66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Pr="00727D02" w:rsidRDefault="00051E07" w:rsidP="00051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Total Credit Hours showing 38 as the Major Requirements (38hours) section.  We counted 36 hours</w:t>
            </w:r>
          </w:p>
        </w:tc>
        <w:tc>
          <w:tcPr>
            <w:tcW w:w="3776" w:type="dxa"/>
            <w:shd w:val="clear" w:color="auto" w:fill="auto"/>
          </w:tcPr>
          <w:p w:rsidR="009C0ED0" w:rsidRDefault="00051E0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English &amp; Modern Languages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051E0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051E07" w:rsidRDefault="00051E07" w:rsidP="00051E07">
            <w:pP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B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>ACHELOR OF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A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 xml:space="preserve">RTS 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D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>EGREE</w:t>
            </w:r>
          </w:p>
          <w:p w:rsidR="009C0ED0" w:rsidRDefault="00051E07" w:rsidP="00051E07">
            <w:pPr>
              <w:rPr>
                <w:rFonts w:cs="Courier New"/>
                <w:color w:val="000000"/>
                <w:szCs w:val="20"/>
              </w:rPr>
            </w:pPr>
            <w:r w:rsidRPr="003E5A57"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  <w:highlight w:val="yellow"/>
              </w:rPr>
              <w:t>offers concentrations</w:t>
            </w: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 – Language not consistent with program delivery </w:t>
            </w:r>
          </w:p>
        </w:tc>
        <w:tc>
          <w:tcPr>
            <w:tcW w:w="3776" w:type="dxa"/>
            <w:shd w:val="clear" w:color="auto" w:fill="auto"/>
          </w:tcPr>
          <w:p w:rsidR="009C0ED0" w:rsidRDefault="00051E0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Fine Arts 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051E0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75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3E5A57" w:rsidP="00051E07">
            <w:p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 xml:space="preserve">Graduate Record Examination should be changed to Department Exit Examination </w:t>
            </w:r>
          </w:p>
        </w:tc>
        <w:tc>
          <w:tcPr>
            <w:tcW w:w="3776" w:type="dxa"/>
            <w:shd w:val="clear" w:color="auto" w:fill="auto"/>
          </w:tcPr>
          <w:p w:rsidR="009C0ED0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Fine Arts 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75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3E5A57" w:rsidP="00051E07">
            <w:p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 xml:space="preserve">Please review the Bachelor of Arts Degree in Music Major Field Courses and Major Requirements </w:t>
            </w:r>
          </w:p>
        </w:tc>
        <w:tc>
          <w:tcPr>
            <w:tcW w:w="3776" w:type="dxa"/>
            <w:shd w:val="clear" w:color="auto" w:fill="auto"/>
          </w:tcPr>
          <w:p w:rsidR="009C0ED0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Fine Arts/Music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77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3E5A57" w:rsidRDefault="003E5A57" w:rsidP="00051E07">
            <w:pPr>
              <w:rPr>
                <w:rFonts w:cs="Courier New"/>
                <w:szCs w:val="20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P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 xml:space="preserve">ROGRAM OF 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S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 xml:space="preserve">TUDY FOR 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B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>ACHELOR OF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A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 xml:space="preserve">RTS 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D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 xml:space="preserve">EGREE IN 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S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 xml:space="preserve">PEECH AND 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T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>HEATRE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: S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 xml:space="preserve">PEECH 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C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>ONCENTRATION</w:t>
            </w:r>
          </w:p>
          <w:p w:rsidR="009C0ED0" w:rsidRDefault="003E5A57" w:rsidP="00051E07">
            <w:pPr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lastRenderedPageBreak/>
              <w:t>Total Semester hours  for Spring  not adding up properly</w:t>
            </w:r>
          </w:p>
        </w:tc>
        <w:tc>
          <w:tcPr>
            <w:tcW w:w="3776" w:type="dxa"/>
            <w:shd w:val="clear" w:color="auto" w:fill="auto"/>
          </w:tcPr>
          <w:p w:rsidR="009C0ED0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Speech and Theatre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81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3E5A57" w:rsidP="00051E07">
            <w:r>
              <w:lastRenderedPageBreak/>
              <w:t xml:space="preserve">Please review the courses, titles and credit hours for </w:t>
            </w:r>
            <w:r w:rsidRPr="003E5A57"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6"/>
                <w:szCs w:val="16"/>
              </w:rPr>
              <w:t>BACHELOR OFARTSDEGREE IN SPEECHANDTHEATRE: THEATRECONCENTRATION</w:t>
            </w:r>
          </w:p>
        </w:tc>
        <w:tc>
          <w:tcPr>
            <w:tcW w:w="3776" w:type="dxa"/>
            <w:shd w:val="clear" w:color="auto" w:fill="auto"/>
          </w:tcPr>
          <w:p w:rsidR="009C0ED0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Speech and Theatre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82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3E5A57" w:rsidP="00051E07">
            <w:r>
              <w:t>Pre-law listed as a minor program</w:t>
            </w:r>
            <w:r w:rsidR="00B524A1">
              <w:t xml:space="preserve"> along with African/African-American Studies as a minor program with no course listing.</w:t>
            </w:r>
          </w:p>
        </w:tc>
        <w:tc>
          <w:tcPr>
            <w:tcW w:w="3776" w:type="dxa"/>
            <w:shd w:val="clear" w:color="auto" w:fill="auto"/>
          </w:tcPr>
          <w:p w:rsidR="009C0ED0" w:rsidRDefault="003E5A57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History and Political Science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84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B524A1" w:rsidP="00B524A1">
            <w:pPr>
              <w:rPr>
                <w:rFonts w:cs="Courier New"/>
                <w:color w:val="000000"/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>Please review the Minor in Sociology section at the bottom of the page.  Are these separate minors or concentrations?</w:t>
            </w:r>
          </w:p>
        </w:tc>
        <w:tc>
          <w:tcPr>
            <w:tcW w:w="3776" w:type="dxa"/>
            <w:shd w:val="clear" w:color="auto" w:fill="auto"/>
          </w:tcPr>
          <w:p w:rsidR="009C0ED0" w:rsidRDefault="00B524A1" w:rsidP="00B524A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Psychology, Sociology &amp; Social Work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91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B524A1" w:rsidP="00051E07">
            <w:r>
              <w:t>Supportive Courses – Please review – Which area should the advisor approved courses be listed</w:t>
            </w:r>
          </w:p>
        </w:tc>
        <w:tc>
          <w:tcPr>
            <w:tcW w:w="3776" w:type="dxa"/>
            <w:shd w:val="clear" w:color="auto" w:fill="auto"/>
          </w:tcPr>
          <w:p w:rsidR="009C0ED0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Psychology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92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B524A1" w:rsidP="00051E07">
            <w:r>
              <w:t>Bachelor of Science in Logistics Management should be added on page 99</w:t>
            </w:r>
          </w:p>
        </w:tc>
        <w:tc>
          <w:tcPr>
            <w:tcW w:w="3776" w:type="dxa"/>
            <w:shd w:val="clear" w:color="auto" w:fill="auto"/>
          </w:tcPr>
          <w:p w:rsidR="009C0ED0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CoB</w:t>
            </w:r>
            <w:proofErr w:type="spellEnd"/>
          </w:p>
        </w:tc>
        <w:tc>
          <w:tcPr>
            <w:tcW w:w="1009" w:type="dxa"/>
            <w:shd w:val="clear" w:color="auto" w:fill="auto"/>
          </w:tcPr>
          <w:p w:rsidR="009C0ED0" w:rsidRPr="0058233B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99</w:t>
            </w: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Pr="00B524A1" w:rsidRDefault="00B524A1" w:rsidP="00B524A1">
            <w:pPr>
              <w:autoSpaceDE w:val="0"/>
              <w:autoSpaceDN w:val="0"/>
              <w:adjustRightInd w:val="0"/>
              <w:spacing w:after="120" w:line="240" w:lineRule="auto"/>
            </w:pPr>
            <w:r>
              <w:t>Where is the minor in Business Administration information located?</w:t>
            </w:r>
          </w:p>
        </w:tc>
        <w:tc>
          <w:tcPr>
            <w:tcW w:w="3776" w:type="dxa"/>
            <w:shd w:val="clear" w:color="auto" w:fill="auto"/>
          </w:tcPr>
          <w:p w:rsidR="009C0ED0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Business Administration 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  <w:tr w:rsidR="009C0ED0" w:rsidRPr="0058233B" w:rsidTr="004826FC">
        <w:trPr>
          <w:trHeight w:val="1097"/>
        </w:trPr>
        <w:tc>
          <w:tcPr>
            <w:tcW w:w="4780" w:type="dxa"/>
            <w:shd w:val="clear" w:color="auto" w:fill="auto"/>
          </w:tcPr>
          <w:p w:rsidR="009C0ED0" w:rsidRPr="00B524A1" w:rsidRDefault="00B524A1" w:rsidP="00B524A1">
            <w:pPr>
              <w:autoSpaceDE w:val="0"/>
              <w:autoSpaceDN w:val="0"/>
              <w:adjustRightInd w:val="0"/>
              <w:spacing w:after="120" w:line="240" w:lineRule="auto"/>
            </w:pPr>
            <w:r>
              <w:t>Area G:  Business Major  Required Courses add(graduating seniors only) to the MGMT 4199 Business Policy</w:t>
            </w:r>
          </w:p>
        </w:tc>
        <w:tc>
          <w:tcPr>
            <w:tcW w:w="3776" w:type="dxa"/>
            <w:shd w:val="clear" w:color="auto" w:fill="auto"/>
          </w:tcPr>
          <w:p w:rsidR="009C0ED0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Business Administration</w:t>
            </w:r>
          </w:p>
        </w:tc>
        <w:tc>
          <w:tcPr>
            <w:tcW w:w="1009" w:type="dxa"/>
            <w:shd w:val="clear" w:color="auto" w:fill="auto"/>
          </w:tcPr>
          <w:p w:rsidR="009C0ED0" w:rsidRDefault="00B524A1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101</w:t>
            </w:r>
          </w:p>
          <w:p w:rsidR="009C0ED0" w:rsidRPr="0058233B" w:rsidRDefault="009C0ED0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C0ED0" w:rsidRPr="0058233B" w:rsidTr="00051E07">
        <w:tc>
          <w:tcPr>
            <w:tcW w:w="4780" w:type="dxa"/>
            <w:shd w:val="clear" w:color="auto" w:fill="auto"/>
          </w:tcPr>
          <w:p w:rsidR="009C0ED0" w:rsidRDefault="004826FC" w:rsidP="004826FC">
            <w:pPr>
              <w:autoSpaceDE w:val="0"/>
              <w:autoSpaceDN w:val="0"/>
              <w:adjustRightInd w:val="0"/>
              <w:spacing w:after="120" w:line="240" w:lineRule="auto"/>
            </w:pPr>
            <w:r w:rsidRPr="004826FC">
              <w:t>Area F courses</w:t>
            </w:r>
            <w:r>
              <w:t>: corrections/additions</w:t>
            </w:r>
          </w:p>
          <w:p w:rsidR="004826FC" w:rsidRDefault="004826FC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NURS(</w:t>
            </w:r>
            <w:proofErr w:type="spellStart"/>
            <w:r>
              <w:t>CoHP</w:t>
            </w:r>
            <w:proofErr w:type="spellEnd"/>
            <w:r>
              <w:t>)</w:t>
            </w:r>
          </w:p>
          <w:p w:rsidR="004826FC" w:rsidRPr="004826FC" w:rsidRDefault="004826FC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 xml:space="preserve">NURS 2601 – Introduction to Geriatric Nursing </w:t>
            </w:r>
          </w:p>
          <w:p w:rsidR="009C0ED0" w:rsidRPr="004826FC" w:rsidRDefault="009C0ED0" w:rsidP="00051E07">
            <w:pPr>
              <w:autoSpaceDE w:val="0"/>
              <w:autoSpaceDN w:val="0"/>
              <w:adjustRightInd w:val="0"/>
              <w:spacing w:after="120" w:line="240" w:lineRule="auto"/>
              <w:ind w:left="720"/>
            </w:pPr>
          </w:p>
        </w:tc>
        <w:tc>
          <w:tcPr>
            <w:tcW w:w="3776" w:type="dxa"/>
            <w:shd w:val="clear" w:color="auto" w:fill="auto"/>
          </w:tcPr>
          <w:p w:rsidR="009C0ED0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Sciences &amp; Health Professions</w:t>
            </w:r>
          </w:p>
        </w:tc>
        <w:tc>
          <w:tcPr>
            <w:tcW w:w="1009" w:type="dxa"/>
            <w:shd w:val="clear" w:color="auto" w:fill="auto"/>
          </w:tcPr>
          <w:p w:rsidR="009C0ED0" w:rsidRPr="0058233B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140</w:t>
            </w: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Pr="004826FC" w:rsidRDefault="004826FC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Add Major Exit Exam under the Requirements for bachelor of Science in Nursing Degree section</w:t>
            </w:r>
          </w:p>
        </w:tc>
        <w:tc>
          <w:tcPr>
            <w:tcW w:w="3776" w:type="dxa"/>
            <w:shd w:val="clear" w:color="auto" w:fill="auto"/>
          </w:tcPr>
          <w:p w:rsidR="004826FC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Sciences &amp; Health Professions</w:t>
            </w:r>
          </w:p>
        </w:tc>
        <w:tc>
          <w:tcPr>
            <w:tcW w:w="1009" w:type="dxa"/>
            <w:shd w:val="clear" w:color="auto" w:fill="auto"/>
          </w:tcPr>
          <w:p w:rsidR="004826FC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140</w:t>
            </w: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Default="004826FC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Please review the Freshman year Math courses for validity (Math 1111/1101)</w:t>
            </w:r>
          </w:p>
        </w:tc>
        <w:tc>
          <w:tcPr>
            <w:tcW w:w="3776" w:type="dxa"/>
            <w:shd w:val="clear" w:color="auto" w:fill="auto"/>
          </w:tcPr>
          <w:p w:rsidR="004826FC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Nursing</w:t>
            </w:r>
          </w:p>
        </w:tc>
        <w:tc>
          <w:tcPr>
            <w:tcW w:w="1009" w:type="dxa"/>
            <w:shd w:val="clear" w:color="auto" w:fill="auto"/>
          </w:tcPr>
          <w:p w:rsidR="004826FC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141</w:t>
            </w: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Default="004826FC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Department of Natural Sciences</w:t>
            </w:r>
            <w:r w:rsidR="00C56508">
              <w:t xml:space="preserve"> – is this true?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24"/>
                <w:szCs w:val="24"/>
              </w:rPr>
              <w:t>E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color w:val="191919"/>
                <w:sz w:val="18"/>
                <w:szCs w:val="18"/>
              </w:rPr>
              <w:t>NGINEERING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 xml:space="preserve">Albany State University offers two tracks of pre-engineering programs that lead to a Bachelor of Engineering degree from the Georgia Institute of </w:t>
            </w: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lastRenderedPageBreak/>
              <w:t>Technology: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120" w:line="240" w:lineRule="auto"/>
            </w:pPr>
            <w:r>
              <w:rPr>
                <w:rFonts w:ascii="TimesNewRomanPSMT" w:eastAsiaTheme="minorHAnsi" w:hAnsi="TimesNewRomanPSMT" w:cs="TimesNewRomanPSMT"/>
                <w:color w:val="191919"/>
                <w:sz w:val="18"/>
                <w:szCs w:val="18"/>
              </w:rPr>
              <w:t>(1) The Regents’ Engineering Transfer Program (RETP) and (2) Dual Degree Program.</w:t>
            </w:r>
          </w:p>
        </w:tc>
        <w:tc>
          <w:tcPr>
            <w:tcW w:w="3776" w:type="dxa"/>
            <w:shd w:val="clear" w:color="auto" w:fill="auto"/>
          </w:tcPr>
          <w:p w:rsidR="004826FC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Forensic Science/Natural Sciences</w:t>
            </w:r>
          </w:p>
        </w:tc>
        <w:tc>
          <w:tcPr>
            <w:tcW w:w="1009" w:type="dxa"/>
            <w:shd w:val="clear" w:color="auto" w:fill="auto"/>
          </w:tcPr>
          <w:p w:rsidR="004826FC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149</w:t>
            </w: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Default="00C56508" w:rsidP="00C56508">
            <w:pPr>
              <w:autoSpaceDE w:val="0"/>
              <w:autoSpaceDN w:val="0"/>
              <w:adjustRightInd w:val="0"/>
              <w:spacing w:after="120" w:line="240" w:lineRule="auto"/>
            </w:pPr>
            <w:r w:rsidRPr="00C56508">
              <w:rPr>
                <w:highlight w:val="yellow"/>
              </w:rPr>
              <w:lastRenderedPageBreak/>
              <w:t>Bachelor of Arts</w:t>
            </w:r>
            <w:r>
              <w:t xml:space="preserve"> Degree in Mathematics Is this correct?</w:t>
            </w:r>
          </w:p>
        </w:tc>
        <w:tc>
          <w:tcPr>
            <w:tcW w:w="3776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Mathematics</w:t>
            </w:r>
          </w:p>
        </w:tc>
        <w:tc>
          <w:tcPr>
            <w:tcW w:w="1009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163</w:t>
            </w: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Default="00C56508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Please review all of the course descriptions for Biology</w:t>
            </w:r>
          </w:p>
        </w:tc>
        <w:tc>
          <w:tcPr>
            <w:tcW w:w="3776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Descriptions Section</w:t>
            </w:r>
          </w:p>
        </w:tc>
        <w:tc>
          <w:tcPr>
            <w:tcW w:w="1009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</w:t>
            </w: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Default="00C56508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Business Administration – Add BUSA 2000 course description</w:t>
            </w:r>
          </w:p>
        </w:tc>
        <w:tc>
          <w:tcPr>
            <w:tcW w:w="3776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Descriptions Section</w:t>
            </w:r>
          </w:p>
        </w:tc>
        <w:tc>
          <w:tcPr>
            <w:tcW w:w="1009" w:type="dxa"/>
            <w:shd w:val="clear" w:color="auto" w:fill="auto"/>
          </w:tcPr>
          <w:p w:rsidR="004826FC" w:rsidRDefault="004826FC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Default="00C56508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Forensic Science course numbers and descriptions require review</w:t>
            </w:r>
          </w:p>
        </w:tc>
        <w:tc>
          <w:tcPr>
            <w:tcW w:w="3776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Descriptions Section</w:t>
            </w:r>
          </w:p>
        </w:tc>
        <w:tc>
          <w:tcPr>
            <w:tcW w:w="1009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191</w:t>
            </w:r>
          </w:p>
        </w:tc>
      </w:tr>
      <w:tr w:rsidR="00864BA6" w:rsidRPr="0058233B" w:rsidTr="00051E07">
        <w:tc>
          <w:tcPr>
            <w:tcW w:w="4780" w:type="dxa"/>
            <w:shd w:val="clear" w:color="auto" w:fill="auto"/>
          </w:tcPr>
          <w:p w:rsidR="00864BA6" w:rsidRDefault="00864BA6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Review French Course Descriptions</w:t>
            </w:r>
          </w:p>
        </w:tc>
        <w:tc>
          <w:tcPr>
            <w:tcW w:w="3776" w:type="dxa"/>
            <w:shd w:val="clear" w:color="auto" w:fill="auto"/>
          </w:tcPr>
          <w:p w:rsidR="00864BA6" w:rsidRDefault="00864BA6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Descriptions Section</w:t>
            </w:r>
          </w:p>
        </w:tc>
        <w:tc>
          <w:tcPr>
            <w:tcW w:w="1009" w:type="dxa"/>
            <w:shd w:val="clear" w:color="auto" w:fill="auto"/>
          </w:tcPr>
          <w:p w:rsidR="00864BA6" w:rsidRDefault="00864BA6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193</w:t>
            </w:r>
          </w:p>
        </w:tc>
      </w:tr>
      <w:tr w:rsidR="00864BA6" w:rsidRPr="0058233B" w:rsidTr="00051E07">
        <w:tc>
          <w:tcPr>
            <w:tcW w:w="4780" w:type="dxa"/>
            <w:shd w:val="clear" w:color="auto" w:fill="auto"/>
          </w:tcPr>
          <w:p w:rsidR="00864BA6" w:rsidRDefault="00864BA6" w:rsidP="004826FC">
            <w:pPr>
              <w:autoSpaceDE w:val="0"/>
              <w:autoSpaceDN w:val="0"/>
              <w:adjustRightInd w:val="0"/>
              <w:spacing w:after="120" w:line="240" w:lineRule="auto"/>
            </w:pPr>
          </w:p>
        </w:tc>
        <w:tc>
          <w:tcPr>
            <w:tcW w:w="3776" w:type="dxa"/>
            <w:shd w:val="clear" w:color="auto" w:fill="auto"/>
          </w:tcPr>
          <w:p w:rsidR="00864BA6" w:rsidRDefault="00864BA6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9" w:type="dxa"/>
            <w:shd w:val="clear" w:color="auto" w:fill="auto"/>
          </w:tcPr>
          <w:p w:rsidR="00864BA6" w:rsidRDefault="00864BA6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Default="00C56508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Missing prefixes for the German Course numbers.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sz w:val="32"/>
                <w:szCs w:val="32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sz w:val="32"/>
                <w:szCs w:val="32"/>
              </w:rPr>
              <w:t>German</w:t>
            </w:r>
          </w:p>
          <w:p w:rsidR="00864BA6" w:rsidRPr="00864BA6" w:rsidRDefault="00864BA6" w:rsidP="00C56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</w:pPr>
            <w:r w:rsidRPr="00864BA6"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  <w:t>1001 Elementary German I missing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  <w:t xml:space="preserve"> 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  <w:t>1002 - Elementary German II ...............................3.00 Credits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  <w:t>2200 - Scientific German........................................3.00 Credits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Designed for students in the sciences who need a functional knowledge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of</w:t>
            </w:r>
            <w:proofErr w:type="gram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 the scientific phase of the language. Prerequisite: GRMN</w:t>
            </w:r>
          </w:p>
          <w:p w:rsidR="00C56508" w:rsidRDefault="00C56508" w:rsidP="00C56508">
            <w:pPr>
              <w:autoSpaceDE w:val="0"/>
              <w:autoSpaceDN w:val="0"/>
              <w:adjustRightInd w:val="0"/>
              <w:spacing w:after="120" w:line="240" w:lineRule="auto"/>
            </w:pPr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1122. By request.</w:t>
            </w:r>
          </w:p>
        </w:tc>
        <w:tc>
          <w:tcPr>
            <w:tcW w:w="3776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Descriptions Section</w:t>
            </w:r>
          </w:p>
        </w:tc>
        <w:tc>
          <w:tcPr>
            <w:tcW w:w="1009" w:type="dxa"/>
            <w:shd w:val="clear" w:color="auto" w:fill="auto"/>
          </w:tcPr>
          <w:p w:rsidR="004826FC" w:rsidRDefault="00C56508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194</w:t>
            </w:r>
          </w:p>
        </w:tc>
      </w:tr>
      <w:tr w:rsidR="004826FC" w:rsidRPr="0058233B" w:rsidTr="00051E07">
        <w:tc>
          <w:tcPr>
            <w:tcW w:w="4780" w:type="dxa"/>
            <w:shd w:val="clear" w:color="auto" w:fill="auto"/>
          </w:tcPr>
          <w:p w:rsidR="004826FC" w:rsidRDefault="00EA7ACD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YORUBA 1001, 1002 –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sz w:val="30"/>
                <w:szCs w:val="30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sz w:val="30"/>
                <w:szCs w:val="30"/>
              </w:rPr>
              <w:t>Modern Languages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  <w:t>MDLG 1161, 1162 - Elementary Yoruba.........................3 (3-0)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Introduction to </w:t>
            </w:r>
            <w:proofErr w:type="spell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theYoruba</w:t>
            </w:r>
            <w:proofErr w:type="spell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 language and culture and general Nigerian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culture</w:t>
            </w:r>
            <w:proofErr w:type="gram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. Emphasis on elements </w:t>
            </w:r>
            <w:proofErr w:type="spell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ofYoruba</w:t>
            </w:r>
            <w:proofErr w:type="spell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 through oral and written exercises,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pronunciation, conversation and reading; culture, geography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120" w:line="240" w:lineRule="auto"/>
            </w:pPr>
            <w:proofErr w:type="gram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and</w:t>
            </w:r>
            <w:proofErr w:type="gram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 daily living.</w:t>
            </w:r>
          </w:p>
        </w:tc>
        <w:tc>
          <w:tcPr>
            <w:tcW w:w="3776" w:type="dxa"/>
            <w:shd w:val="clear" w:color="auto" w:fill="auto"/>
          </w:tcPr>
          <w:p w:rsidR="004826FC" w:rsidRDefault="00EA7ACD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Descriptions Section</w:t>
            </w:r>
          </w:p>
        </w:tc>
        <w:tc>
          <w:tcPr>
            <w:tcW w:w="1009" w:type="dxa"/>
            <w:shd w:val="clear" w:color="auto" w:fill="auto"/>
          </w:tcPr>
          <w:p w:rsidR="004826FC" w:rsidRDefault="00EA7ACD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206</w:t>
            </w:r>
          </w:p>
        </w:tc>
      </w:tr>
      <w:tr w:rsidR="00EA7ACD" w:rsidRPr="0058233B" w:rsidTr="00051E07">
        <w:tc>
          <w:tcPr>
            <w:tcW w:w="4780" w:type="dxa"/>
            <w:shd w:val="clear" w:color="auto" w:fill="auto"/>
          </w:tcPr>
          <w:p w:rsidR="00EA7ACD" w:rsidRDefault="00EA7ACD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 xml:space="preserve">Nursing prefixes need to be changed for NURS 1231, NURS 2110 to </w:t>
            </w:r>
            <w:proofErr w:type="spellStart"/>
            <w:r>
              <w:t>CoHP</w:t>
            </w:r>
            <w:proofErr w:type="spellEnd"/>
          </w:p>
        </w:tc>
        <w:tc>
          <w:tcPr>
            <w:tcW w:w="3776" w:type="dxa"/>
            <w:shd w:val="clear" w:color="auto" w:fill="auto"/>
          </w:tcPr>
          <w:p w:rsidR="00EA7ACD" w:rsidRDefault="00EA7ACD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Course Descriptions Section</w:t>
            </w:r>
          </w:p>
        </w:tc>
        <w:tc>
          <w:tcPr>
            <w:tcW w:w="1009" w:type="dxa"/>
            <w:shd w:val="clear" w:color="auto" w:fill="auto"/>
          </w:tcPr>
          <w:p w:rsidR="00EA7ACD" w:rsidRDefault="00EA7ACD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228</w:t>
            </w:r>
          </w:p>
        </w:tc>
      </w:tr>
      <w:tr w:rsidR="00EA7ACD" w:rsidRPr="0058233B" w:rsidTr="00051E07">
        <w:tc>
          <w:tcPr>
            <w:tcW w:w="4780" w:type="dxa"/>
            <w:shd w:val="clear" w:color="auto" w:fill="auto"/>
          </w:tcPr>
          <w:p w:rsidR="00EA7ACD" w:rsidRDefault="00EA7ACD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t>Two descriptions for  Intermediate Spanish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  <w:t>SPAN 2001 - Intermediate Spanish I ....................3.00 Credits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proofErr w:type="spell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Acontinuation</w:t>
            </w:r>
            <w:proofErr w:type="spell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 of the elementary sequence, with greater </w:t>
            </w:r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lastRenderedPageBreak/>
              <w:t>emphasis on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oral and aural proficiency and the spontaneous use of all four skills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to</w:t>
            </w:r>
            <w:proofErr w:type="gram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 describe real and potential situations. Occasional literary and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cultural</w:t>
            </w:r>
            <w:proofErr w:type="gram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 discussions.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eastAsiaTheme="minorHAnsi" w:hAnsi="TimesNewRomanPS-ItalicMT" w:cs="TimesNewRomanPS-ItalicMT"/>
                <w:i/>
                <w:iCs/>
                <w:sz w:val="18"/>
                <w:szCs w:val="18"/>
              </w:rPr>
            </w:pPr>
            <w:r>
              <w:rPr>
                <w:rFonts w:ascii="TimesNewRomanPS-ItalicMT" w:eastAsiaTheme="minorHAnsi" w:hAnsi="TimesNewRomanPS-ItalicMT" w:cs="TimesNewRomanPS-ItalicMT"/>
                <w:i/>
                <w:iCs/>
                <w:sz w:val="18"/>
                <w:szCs w:val="18"/>
              </w:rPr>
              <w:t>Prerequisite: Spanish 1102, Spanish 1002 or Spanish 1132.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NewRomanPS-ItalicMT" w:eastAsiaTheme="minorHAnsi" w:hAnsi="TimesNewRomanPS-ItalicMT" w:cs="TimesNewRomanPS-ItalicMT"/>
                <w:i/>
                <w:iCs/>
                <w:sz w:val="18"/>
                <w:szCs w:val="18"/>
              </w:rPr>
            </w:pPr>
            <w:r>
              <w:rPr>
                <w:rFonts w:ascii="TimesNewRomanPS-ItalicMT" w:eastAsiaTheme="minorHAnsi" w:hAnsi="TimesNewRomanPS-ItalicMT" w:cs="TimesNewRomanPS-ItalicMT"/>
                <w:i/>
                <w:iCs/>
                <w:sz w:val="18"/>
                <w:szCs w:val="18"/>
              </w:rPr>
              <w:t>Laboratory requirement.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</w:pPr>
            <w:r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</w:rPr>
              <w:t>SPAN 2231 - Intermediate Spanish I ....................3.00 Credits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The student is guided in achieving some proficiency in oral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communication while developing a degree of skill in reading and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writing</w:t>
            </w:r>
            <w:proofErr w:type="gram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. Aspects of Spanish life and culture are presented through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eastAsiaTheme="minorHAnsi" w:hAnsi="TimesNewRomanPSMT" w:cs="TimesNewRomanPSMT"/>
                <w:sz w:val="18"/>
                <w:szCs w:val="18"/>
              </w:rPr>
            </w:pPr>
            <w:proofErr w:type="gramStart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>use</w:t>
            </w:r>
            <w:proofErr w:type="gramEnd"/>
            <w:r>
              <w:rPr>
                <w:rFonts w:ascii="TimesNewRomanPSMT" w:eastAsiaTheme="minorHAnsi" w:hAnsi="TimesNewRomanPSMT" w:cs="TimesNewRomanPSMT"/>
                <w:sz w:val="18"/>
                <w:szCs w:val="18"/>
              </w:rPr>
              <w:t xml:space="preserve"> of selected reading materials, regalia and discussions.</w:t>
            </w:r>
          </w:p>
          <w:p w:rsidR="00EA7ACD" w:rsidRDefault="00EA7ACD" w:rsidP="00EA7ACD">
            <w:pPr>
              <w:autoSpaceDE w:val="0"/>
              <w:autoSpaceDN w:val="0"/>
              <w:adjustRightInd w:val="0"/>
              <w:spacing w:after="120" w:line="240" w:lineRule="auto"/>
            </w:pPr>
            <w:r>
              <w:rPr>
                <w:rFonts w:ascii="TimesNewRomanPS-ItalicMT" w:eastAsiaTheme="minorHAnsi" w:hAnsi="TimesNewRomanPS-ItalicMT" w:cs="TimesNewRomanPS-ItalicMT"/>
                <w:i/>
                <w:iCs/>
                <w:sz w:val="18"/>
                <w:szCs w:val="18"/>
              </w:rPr>
              <w:t>Prerequisite: SPA" 1132 or equivalent</w:t>
            </w:r>
          </w:p>
        </w:tc>
        <w:tc>
          <w:tcPr>
            <w:tcW w:w="3776" w:type="dxa"/>
            <w:shd w:val="clear" w:color="auto" w:fill="auto"/>
          </w:tcPr>
          <w:p w:rsidR="00EA7ACD" w:rsidRDefault="00EA7ACD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Course Descriptions Section</w:t>
            </w:r>
          </w:p>
        </w:tc>
        <w:tc>
          <w:tcPr>
            <w:tcW w:w="1009" w:type="dxa"/>
            <w:shd w:val="clear" w:color="auto" w:fill="auto"/>
          </w:tcPr>
          <w:p w:rsidR="00EA7ACD" w:rsidRDefault="00EA7ACD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245</w:t>
            </w:r>
          </w:p>
        </w:tc>
      </w:tr>
      <w:tr w:rsidR="00EA7ACD" w:rsidRPr="0058233B" w:rsidTr="00051E07">
        <w:tc>
          <w:tcPr>
            <w:tcW w:w="4780" w:type="dxa"/>
            <w:shd w:val="clear" w:color="auto" w:fill="auto"/>
          </w:tcPr>
          <w:p w:rsidR="00EA7ACD" w:rsidRDefault="00EA7ACD" w:rsidP="004826FC">
            <w:pPr>
              <w:autoSpaceDE w:val="0"/>
              <w:autoSpaceDN w:val="0"/>
              <w:adjustRightInd w:val="0"/>
              <w:spacing w:after="120" w:line="240" w:lineRule="auto"/>
            </w:pPr>
            <w:r>
              <w:lastRenderedPageBreak/>
              <w:t>Changes required for the Faculty section in the Person</w:t>
            </w:r>
            <w:r w:rsidR="00864BA6">
              <w:t>nel index starting on page 251</w:t>
            </w:r>
          </w:p>
        </w:tc>
        <w:tc>
          <w:tcPr>
            <w:tcW w:w="3776" w:type="dxa"/>
            <w:shd w:val="clear" w:color="auto" w:fill="auto"/>
          </w:tcPr>
          <w:p w:rsidR="00EA7ACD" w:rsidRDefault="00864BA6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  <w:tc>
          <w:tcPr>
            <w:tcW w:w="1009" w:type="dxa"/>
            <w:shd w:val="clear" w:color="auto" w:fill="auto"/>
          </w:tcPr>
          <w:p w:rsidR="00EA7ACD" w:rsidRDefault="00864BA6" w:rsidP="00051E0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251</w:t>
            </w:r>
          </w:p>
        </w:tc>
      </w:tr>
    </w:tbl>
    <w:p w:rsidR="009C0ED0" w:rsidRDefault="009C0ED0" w:rsidP="009C0ED0"/>
    <w:tbl>
      <w:tblPr>
        <w:tblW w:w="9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/>
      </w:tblPr>
      <w:tblGrid>
        <w:gridCol w:w="4780"/>
        <w:gridCol w:w="3776"/>
        <w:gridCol w:w="1009"/>
      </w:tblGrid>
      <w:tr w:rsidR="00BD1506" w:rsidRPr="0058233B" w:rsidTr="00BD1506">
        <w:tc>
          <w:tcPr>
            <w:tcW w:w="4780" w:type="dxa"/>
            <w:tcBorders>
              <w:bottom w:val="single" w:sz="4" w:space="0" w:color="000000"/>
            </w:tcBorders>
            <w:shd w:val="clear" w:color="auto" w:fill="FFFF00"/>
          </w:tcPr>
          <w:p w:rsidR="00BD1506" w:rsidRPr="0058233B" w:rsidRDefault="00BD1506" w:rsidP="00212032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sz w:val="20"/>
                <w:szCs w:val="20"/>
              </w:rPr>
              <w:t>raduate Catalog Issue</w:t>
            </w:r>
          </w:p>
        </w:tc>
        <w:tc>
          <w:tcPr>
            <w:tcW w:w="3776" w:type="dxa"/>
            <w:tcBorders>
              <w:bottom w:val="single" w:sz="4" w:space="0" w:color="000000"/>
            </w:tcBorders>
            <w:shd w:val="clear" w:color="auto" w:fill="FFFF00"/>
          </w:tcPr>
          <w:p w:rsidR="00BD1506" w:rsidRPr="0058233B" w:rsidRDefault="00BD1506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Degree Program</w:t>
            </w:r>
            <w:r w:rsidRPr="0058233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09" w:type="dxa"/>
            <w:tcBorders>
              <w:bottom w:val="single" w:sz="4" w:space="0" w:color="000000"/>
            </w:tcBorders>
            <w:shd w:val="clear" w:color="auto" w:fill="FFFF00"/>
          </w:tcPr>
          <w:p w:rsidR="00BD1506" w:rsidRPr="0058233B" w:rsidRDefault="00BD1506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Page</w:t>
            </w:r>
          </w:p>
        </w:tc>
      </w:tr>
      <w:tr w:rsidR="00BD1506" w:rsidTr="00BD1506">
        <w:trPr>
          <w:trHeight w:val="602"/>
        </w:trPr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Pr="00BD1506" w:rsidRDefault="00BD1506" w:rsidP="00BD1506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Macroeconomcs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misspelled on page 37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Pr="00BD1506" w:rsidRDefault="00BD1506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Business Administration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Pr="00BD1506" w:rsidRDefault="00BD1506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37</w:t>
            </w:r>
          </w:p>
        </w:tc>
      </w:tr>
      <w:tr w:rsidR="00BD1506" w:rsidTr="00BD1506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BD1506" w:rsidP="00BD1506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review all Areas for Early Childhood Education Degree Program</w:t>
            </w:r>
          </w:p>
          <w:p w:rsidR="00BD1506" w:rsidRDefault="00BD1506" w:rsidP="00BD1506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Area C – Teaching Field    </w:t>
            </w:r>
          </w:p>
          <w:p w:rsidR="00BD1506" w:rsidRDefault="00BD1506" w:rsidP="00BD1506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MATH 5508 </w:t>
            </w:r>
          </w:p>
          <w:p w:rsidR="00BD1506" w:rsidRDefault="00BD1506" w:rsidP="00BD1506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EDRG 5595/5596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BD1506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Early Childhood Education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BD1506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</w:tr>
      <w:tr w:rsidR="00BD1506" w:rsidTr="00BD1506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BD1506" w:rsidP="00BD1506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Should the Master’s Degree in Educational Leadership degree program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BD1506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Master’s Degree in Educational Leadership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BD1506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75</w:t>
            </w:r>
          </w:p>
        </w:tc>
      </w:tr>
      <w:tr w:rsidR="00BD1506" w:rsidTr="00BD1506"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4D58D0" w:rsidP="00BD1506">
            <w:pPr>
              <w:tabs>
                <w:tab w:val="left" w:pos="1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Not all course descriptions are listed in the Early Childhood Education section 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4D58D0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Early Childhood Education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D1506" w:rsidRDefault="004D58D0" w:rsidP="00212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74</w:t>
            </w:r>
          </w:p>
        </w:tc>
      </w:tr>
    </w:tbl>
    <w:p w:rsidR="00C34467" w:rsidRPr="009C0ED0" w:rsidRDefault="00C34467" w:rsidP="009C0ED0"/>
    <w:sectPr w:rsidR="00C34467" w:rsidRPr="009C0ED0" w:rsidSect="00335D5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36B" w:rsidRDefault="00A7636B" w:rsidP="00883BF4">
      <w:pPr>
        <w:spacing w:after="0" w:line="240" w:lineRule="auto"/>
      </w:pPr>
      <w:r>
        <w:separator/>
      </w:r>
    </w:p>
  </w:endnote>
  <w:endnote w:type="continuationSeparator" w:id="0">
    <w:p w:rsidR="00A7636B" w:rsidRDefault="00A7636B" w:rsidP="0088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ACD" w:rsidRDefault="00EA7ACD" w:rsidP="007C79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EA7ACD" w:rsidRDefault="00EA7ACD" w:rsidP="007C794A">
    <w:r>
      <w:rPr>
        <w:rFonts w:asciiTheme="majorHAnsi" w:hAnsiTheme="majorHAnsi"/>
      </w:rPr>
      <w:t xml:space="preserve">Prepared by Samanthea Lolita Price   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                                                                                          Page </w:t>
        </w:r>
        <w:fldSimple w:instr=" PAGE ">
          <w:r w:rsidR="004D58D0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4D58D0">
            <w:rPr>
              <w:noProof/>
            </w:rPr>
            <w:t>6</w:t>
          </w:r>
        </w:fldSimple>
      </w:sdtContent>
    </w:sdt>
  </w:p>
  <w:p w:rsidR="00EA7ACD" w:rsidRPr="00D72B0B" w:rsidRDefault="00EA7ACD" w:rsidP="00D72B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ACD" w:rsidRDefault="00EA7ACD">
    <w:pPr>
      <w:pStyle w:val="Footer"/>
    </w:pPr>
    <w:r>
      <w:t>Prepared by Samanthea Lolita Price</w:t>
    </w:r>
    <w:r>
      <w:ptab w:relativeTo="margin" w:alignment="center" w:leader="none"/>
    </w:r>
    <w:r>
      <w:t xml:space="preserve">Page </w:t>
    </w:r>
    <w:fldSimple w:instr=" PAGE   \* MERGEFORMAT ">
      <w:r w:rsidR="004D58D0">
        <w:rPr>
          <w:noProof/>
        </w:rPr>
        <w:t>1</w:t>
      </w:r>
    </w:fldSimple>
    <w:r>
      <w:ptab w:relativeTo="margin" w:alignment="right" w:leader="none"/>
    </w:r>
    <w:fldSimple w:instr=" DATE \@ &quot;M/d/yyyy&quot; ">
      <w:r>
        <w:rPr>
          <w:noProof/>
        </w:rPr>
        <w:t>10/28/2010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36B" w:rsidRDefault="00A7636B" w:rsidP="00883BF4">
      <w:pPr>
        <w:spacing w:after="0" w:line="240" w:lineRule="auto"/>
      </w:pPr>
      <w:r>
        <w:separator/>
      </w:r>
    </w:p>
  </w:footnote>
  <w:footnote w:type="continuationSeparator" w:id="0">
    <w:p w:rsidR="00A7636B" w:rsidRDefault="00A7636B" w:rsidP="0088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ACD" w:rsidRDefault="00EA7ACD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8E6DB5"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>
          <wp:extent cx="1952625" cy="609600"/>
          <wp:effectExtent l="19050" t="0" r="9525" b="0"/>
          <wp:docPr id="3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A7ACD" w:rsidRDefault="00EA7A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ACD" w:rsidRDefault="00EA7ACD" w:rsidP="00D72B0B">
    <w:pPr>
      <w:pStyle w:val="Header"/>
      <w:jc w:val="center"/>
    </w:pPr>
    <w:r w:rsidRPr="00D72B0B">
      <w:rPr>
        <w:noProof/>
      </w:rPr>
      <w:drawing>
        <wp:inline distT="0" distB="0" distL="0" distR="0">
          <wp:extent cx="2767846" cy="10287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7890" cy="102871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1373"/>
    <w:multiLevelType w:val="hybridMultilevel"/>
    <w:tmpl w:val="5E9E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17D3D"/>
    <w:multiLevelType w:val="hybridMultilevel"/>
    <w:tmpl w:val="8250BA8A"/>
    <w:lvl w:ilvl="0" w:tplc="9FD640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C548A7"/>
    <w:multiLevelType w:val="hybridMultilevel"/>
    <w:tmpl w:val="1458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9138E"/>
    <w:multiLevelType w:val="hybridMultilevel"/>
    <w:tmpl w:val="A83C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4D2A6"/>
    <w:multiLevelType w:val="hybridMultilevel"/>
    <w:tmpl w:val="8FA6288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68043746"/>
    <w:multiLevelType w:val="hybridMultilevel"/>
    <w:tmpl w:val="029693EC"/>
    <w:lvl w:ilvl="0" w:tplc="2F704016">
      <w:start w:val="1"/>
      <w:numFmt w:val="decimal"/>
      <w:lvlText w:val="%1."/>
      <w:lvlJc w:val="left"/>
      <w:pPr>
        <w:ind w:left="12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8A10AA"/>
    <w:rsid w:val="00016C63"/>
    <w:rsid w:val="0002092C"/>
    <w:rsid w:val="00022249"/>
    <w:rsid w:val="00051E07"/>
    <w:rsid w:val="0005410F"/>
    <w:rsid w:val="00065F58"/>
    <w:rsid w:val="00077DD8"/>
    <w:rsid w:val="00080F45"/>
    <w:rsid w:val="00084695"/>
    <w:rsid w:val="000C3564"/>
    <w:rsid w:val="000C3BC9"/>
    <w:rsid w:val="000E71CC"/>
    <w:rsid w:val="000E72A2"/>
    <w:rsid w:val="00103874"/>
    <w:rsid w:val="0010492C"/>
    <w:rsid w:val="001202B2"/>
    <w:rsid w:val="00131375"/>
    <w:rsid w:val="00136AE9"/>
    <w:rsid w:val="001518AF"/>
    <w:rsid w:val="001832BA"/>
    <w:rsid w:val="00184F21"/>
    <w:rsid w:val="001A5CAE"/>
    <w:rsid w:val="001E621A"/>
    <w:rsid w:val="00214D31"/>
    <w:rsid w:val="00241EAD"/>
    <w:rsid w:val="0025254E"/>
    <w:rsid w:val="00283C9B"/>
    <w:rsid w:val="002E7170"/>
    <w:rsid w:val="00310F9E"/>
    <w:rsid w:val="00335D52"/>
    <w:rsid w:val="003362CB"/>
    <w:rsid w:val="003374CC"/>
    <w:rsid w:val="00344B9B"/>
    <w:rsid w:val="00354C7E"/>
    <w:rsid w:val="00355168"/>
    <w:rsid w:val="00364F83"/>
    <w:rsid w:val="003720E1"/>
    <w:rsid w:val="003A4933"/>
    <w:rsid w:val="003E1958"/>
    <w:rsid w:val="003E5A57"/>
    <w:rsid w:val="003F31E6"/>
    <w:rsid w:val="004029ED"/>
    <w:rsid w:val="00405B4E"/>
    <w:rsid w:val="004127BE"/>
    <w:rsid w:val="00415676"/>
    <w:rsid w:val="00467554"/>
    <w:rsid w:val="00475F7D"/>
    <w:rsid w:val="004826FC"/>
    <w:rsid w:val="004B2FD0"/>
    <w:rsid w:val="004B60C8"/>
    <w:rsid w:val="004D3A84"/>
    <w:rsid w:val="004D58D0"/>
    <w:rsid w:val="004D6ED9"/>
    <w:rsid w:val="004E6B73"/>
    <w:rsid w:val="004E7675"/>
    <w:rsid w:val="00517B0D"/>
    <w:rsid w:val="0052271D"/>
    <w:rsid w:val="00537B53"/>
    <w:rsid w:val="005415F6"/>
    <w:rsid w:val="00552AB1"/>
    <w:rsid w:val="00566015"/>
    <w:rsid w:val="0058233B"/>
    <w:rsid w:val="00587428"/>
    <w:rsid w:val="00592732"/>
    <w:rsid w:val="00597A93"/>
    <w:rsid w:val="005D1417"/>
    <w:rsid w:val="005D1C00"/>
    <w:rsid w:val="005E548A"/>
    <w:rsid w:val="0061444A"/>
    <w:rsid w:val="006149D2"/>
    <w:rsid w:val="00624A6F"/>
    <w:rsid w:val="0063161B"/>
    <w:rsid w:val="0064364A"/>
    <w:rsid w:val="0065323A"/>
    <w:rsid w:val="0065769C"/>
    <w:rsid w:val="006D7733"/>
    <w:rsid w:val="007052FE"/>
    <w:rsid w:val="00710338"/>
    <w:rsid w:val="00722EC8"/>
    <w:rsid w:val="00723354"/>
    <w:rsid w:val="00727D02"/>
    <w:rsid w:val="00735FB9"/>
    <w:rsid w:val="00762EFD"/>
    <w:rsid w:val="0078316A"/>
    <w:rsid w:val="007A1ABC"/>
    <w:rsid w:val="007A3B18"/>
    <w:rsid w:val="007C0838"/>
    <w:rsid w:val="007C0930"/>
    <w:rsid w:val="007C0C61"/>
    <w:rsid w:val="007C4D6E"/>
    <w:rsid w:val="007C794A"/>
    <w:rsid w:val="007E7B43"/>
    <w:rsid w:val="007F0CBC"/>
    <w:rsid w:val="00801370"/>
    <w:rsid w:val="00816258"/>
    <w:rsid w:val="00823E04"/>
    <w:rsid w:val="008243B3"/>
    <w:rsid w:val="00836261"/>
    <w:rsid w:val="0083674D"/>
    <w:rsid w:val="008506DF"/>
    <w:rsid w:val="00850B28"/>
    <w:rsid w:val="00864BA6"/>
    <w:rsid w:val="008663B2"/>
    <w:rsid w:val="00883BF4"/>
    <w:rsid w:val="008841EB"/>
    <w:rsid w:val="00887440"/>
    <w:rsid w:val="00891CFA"/>
    <w:rsid w:val="008943A4"/>
    <w:rsid w:val="008A10AA"/>
    <w:rsid w:val="008A4B75"/>
    <w:rsid w:val="008C25A2"/>
    <w:rsid w:val="008C6151"/>
    <w:rsid w:val="008E6DB5"/>
    <w:rsid w:val="008F0C30"/>
    <w:rsid w:val="009008CA"/>
    <w:rsid w:val="009015FE"/>
    <w:rsid w:val="0097306D"/>
    <w:rsid w:val="00975ED7"/>
    <w:rsid w:val="00991614"/>
    <w:rsid w:val="009933C3"/>
    <w:rsid w:val="009C012A"/>
    <w:rsid w:val="009C0ED0"/>
    <w:rsid w:val="009C363F"/>
    <w:rsid w:val="009F27DC"/>
    <w:rsid w:val="009F7133"/>
    <w:rsid w:val="00A04451"/>
    <w:rsid w:val="00A2177A"/>
    <w:rsid w:val="00A35A6F"/>
    <w:rsid w:val="00A3787E"/>
    <w:rsid w:val="00A66152"/>
    <w:rsid w:val="00A7636B"/>
    <w:rsid w:val="00A8291D"/>
    <w:rsid w:val="00A87051"/>
    <w:rsid w:val="00A923EF"/>
    <w:rsid w:val="00AA3ECA"/>
    <w:rsid w:val="00AB1939"/>
    <w:rsid w:val="00AC3E83"/>
    <w:rsid w:val="00AD3874"/>
    <w:rsid w:val="00AD5BCD"/>
    <w:rsid w:val="00AD719B"/>
    <w:rsid w:val="00AE27F0"/>
    <w:rsid w:val="00AE76AD"/>
    <w:rsid w:val="00AF000B"/>
    <w:rsid w:val="00AF53A7"/>
    <w:rsid w:val="00B22858"/>
    <w:rsid w:val="00B324D6"/>
    <w:rsid w:val="00B524A1"/>
    <w:rsid w:val="00B57BFF"/>
    <w:rsid w:val="00B7744A"/>
    <w:rsid w:val="00B8397D"/>
    <w:rsid w:val="00B92422"/>
    <w:rsid w:val="00B978E2"/>
    <w:rsid w:val="00BC0DE1"/>
    <w:rsid w:val="00BC3704"/>
    <w:rsid w:val="00BD0CF2"/>
    <w:rsid w:val="00BD1506"/>
    <w:rsid w:val="00BD71F0"/>
    <w:rsid w:val="00BE56A7"/>
    <w:rsid w:val="00C119D1"/>
    <w:rsid w:val="00C2637A"/>
    <w:rsid w:val="00C34467"/>
    <w:rsid w:val="00C36C58"/>
    <w:rsid w:val="00C5051D"/>
    <w:rsid w:val="00C54C93"/>
    <w:rsid w:val="00C56508"/>
    <w:rsid w:val="00C5790E"/>
    <w:rsid w:val="00C75EF6"/>
    <w:rsid w:val="00C842EF"/>
    <w:rsid w:val="00C95099"/>
    <w:rsid w:val="00C96DF6"/>
    <w:rsid w:val="00CB487B"/>
    <w:rsid w:val="00CE2735"/>
    <w:rsid w:val="00D172D7"/>
    <w:rsid w:val="00D174E9"/>
    <w:rsid w:val="00D21A4C"/>
    <w:rsid w:val="00D25F8D"/>
    <w:rsid w:val="00D67DCB"/>
    <w:rsid w:val="00D72B0B"/>
    <w:rsid w:val="00D77831"/>
    <w:rsid w:val="00D919F7"/>
    <w:rsid w:val="00DA0D0A"/>
    <w:rsid w:val="00DA4928"/>
    <w:rsid w:val="00DB7FCE"/>
    <w:rsid w:val="00DC015E"/>
    <w:rsid w:val="00DC2847"/>
    <w:rsid w:val="00DC5965"/>
    <w:rsid w:val="00DF3C8A"/>
    <w:rsid w:val="00E2515C"/>
    <w:rsid w:val="00E30783"/>
    <w:rsid w:val="00E32247"/>
    <w:rsid w:val="00E42A8C"/>
    <w:rsid w:val="00E51D16"/>
    <w:rsid w:val="00E6083E"/>
    <w:rsid w:val="00E66E9F"/>
    <w:rsid w:val="00E75B58"/>
    <w:rsid w:val="00EA1A52"/>
    <w:rsid w:val="00EA3588"/>
    <w:rsid w:val="00EA761C"/>
    <w:rsid w:val="00EA7ACD"/>
    <w:rsid w:val="00EB23B8"/>
    <w:rsid w:val="00EB7FCF"/>
    <w:rsid w:val="00EC2FE6"/>
    <w:rsid w:val="00ED06D2"/>
    <w:rsid w:val="00ED0D38"/>
    <w:rsid w:val="00EE1531"/>
    <w:rsid w:val="00F062C6"/>
    <w:rsid w:val="00F1447E"/>
    <w:rsid w:val="00F31E93"/>
    <w:rsid w:val="00F413D8"/>
    <w:rsid w:val="00F53DAC"/>
    <w:rsid w:val="00F55A0D"/>
    <w:rsid w:val="00F64567"/>
    <w:rsid w:val="00F72883"/>
    <w:rsid w:val="00F75BDE"/>
    <w:rsid w:val="00F853D1"/>
    <w:rsid w:val="00FA0BF2"/>
    <w:rsid w:val="00FD29EB"/>
    <w:rsid w:val="00FE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AA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10A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A10AA"/>
    <w:rPr>
      <w:rFonts w:cstheme="minorBidi"/>
      <w:color w:val="auto"/>
    </w:rPr>
  </w:style>
  <w:style w:type="paragraph" w:customStyle="1" w:styleId="CM1">
    <w:name w:val="CM1"/>
    <w:basedOn w:val="Default"/>
    <w:next w:val="Default"/>
    <w:uiPriority w:val="99"/>
    <w:rsid w:val="008A10AA"/>
    <w:pPr>
      <w:spacing w:line="31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E153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B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8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B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F4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45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7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C79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9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1113B46BDAA6BA4BAFE3C73E3809E33D" ma:contentTypeVersion="0" ma:contentTypeDescription="" ma:contentTypeScope="" ma:versionID="07995d64c632ddb599aec6475a619efb">
  <xsd:schema xmlns:xsd="http://www.w3.org/2001/XMLSchema" xmlns:p="http://schemas.microsoft.com/office/2006/metadata/properties" xmlns:ns2="9AAD4BE4-2DB2-4CE9-A6D9-243416B4548D" targetNamespace="http://schemas.microsoft.com/office/2006/metadata/properties" ma:root="true" ma:fieldsID="3bd4135e94ab3b71c96e2290bfdb8c16" ns2:_="">
    <xsd:import namespace="9AAD4BE4-2DB2-4CE9-A6D9-243416B4548D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AAD4BE4-2DB2-4CE9-A6D9-243416B4548D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Owner xmlns="9AAD4BE4-2DB2-4CE9-A6D9-243416B4548D">
      <UserInfo>
        <DisplayName>ASURAMS\slprice</DisplayName>
        <AccountId>765</AccountId>
        <AccountType/>
      </UserInfo>
    </Owner>
    <Status xmlns="9AAD4BE4-2DB2-4CE9-A6D9-243416B4548D">Ready For Review</Status>
    <Links xmlns="9AAD4BE4-2DB2-4CE9-A6D9-243416B454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E8088C-5B9E-4F9A-A1DF-A8A539CD2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D4BE4-2DB2-4CE9-A6D9-243416B4548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6DB6C06-6AB5-4718-9C63-F0F48B29B8AE}">
  <ds:schemaRefs>
    <ds:schemaRef ds:uri="http://schemas.microsoft.com/office/2006/metadata/properties"/>
    <ds:schemaRef ds:uri="9AAD4BE4-2DB2-4CE9-A6D9-243416B4548D"/>
  </ds:schemaRefs>
</ds:datastoreItem>
</file>

<file path=customXml/itemProps3.xml><?xml version="1.0" encoding="utf-8"?>
<ds:datastoreItem xmlns:ds="http://schemas.openxmlformats.org/officeDocument/2006/customXml" ds:itemID="{E3A23504-2992-4F23-A383-4E126D6B03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Banner Data Entry CoSHP</vt:lpstr>
    </vt:vector>
  </TitlesOfParts>
  <Company/>
  <LinksUpToDate>false</LinksUpToDate>
  <CharactersWithSpaces>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Banner Data Entry CoSHP</dc:title>
  <dc:creator>slprice</dc:creator>
  <cp:lastModifiedBy>slprice</cp:lastModifiedBy>
  <cp:revision>6</cp:revision>
  <cp:lastPrinted>2010-08-04T19:57:00Z</cp:lastPrinted>
  <dcterms:created xsi:type="dcterms:W3CDTF">2010-10-22T19:00:00Z</dcterms:created>
  <dcterms:modified xsi:type="dcterms:W3CDTF">2010-10-28T19:39:00Z</dcterms:modified>
  <cp:contentType>Project Workspace 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0x0101008A98423170284BEEB635F43C3CF4E98B001113B46BDAA6BA4BAFE3C73E3809E33D</vt:lpwstr>
  </property>
</Properties>
</file>