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19B30" w14:textId="65DC284B" w:rsidR="008A3338" w:rsidRPr="000667C4" w:rsidRDefault="002548A6" w:rsidP="000667C4">
      <w:pPr>
        <w:pStyle w:val="1"/>
        <w:jc w:val="center"/>
      </w:pPr>
      <w:r w:rsidRPr="000667C4">
        <w:rPr>
          <w:rFonts w:hint="eastAsia"/>
        </w:rPr>
        <w:t>基于大语言模型的“固收</w:t>
      </w:r>
      <w:r w:rsidRPr="000667C4">
        <w:rPr>
          <w:rFonts w:hint="eastAsia"/>
        </w:rPr>
        <w:t>+</w:t>
      </w:r>
      <w:r w:rsidRPr="000667C4">
        <w:rPr>
          <w:rFonts w:hint="eastAsia"/>
        </w:rPr>
        <w:t>”基金经理风格画像与标签构建</w:t>
      </w:r>
    </w:p>
    <w:p w14:paraId="7519EA8F" w14:textId="730D63D1" w:rsidR="002548A6" w:rsidRDefault="00E85A73" w:rsidP="002D0694">
      <w:pPr>
        <w:pStyle w:val="1"/>
      </w:pPr>
      <w:r w:rsidRPr="00E85A73">
        <w:rPr>
          <w:rFonts w:hint="eastAsia"/>
          <w:b w:val="0"/>
          <w:bCs w:val="0"/>
        </w:rPr>
        <w:t>1.</w:t>
      </w:r>
      <w:r w:rsidR="000667C4" w:rsidRPr="000667C4">
        <w:t>引言</w:t>
      </w:r>
    </w:p>
    <w:p w14:paraId="10686969" w14:textId="287B27BB" w:rsidR="000667C4" w:rsidRDefault="00E85A73" w:rsidP="000667C4">
      <w:pPr>
        <w:ind w:firstLineChars="0"/>
      </w:pPr>
      <w:r w:rsidRPr="00E85A73">
        <w:t>传统的基金评价体系高度依赖持仓、净值、超额收益等滞后性结果指标。这些硬核数据虽能精准刻画基金经理</w:t>
      </w:r>
      <w:r w:rsidRPr="00E85A73">
        <w:t>“</w:t>
      </w:r>
      <w:r w:rsidRPr="00E85A73">
        <w:t>做了什么</w:t>
      </w:r>
      <w:r w:rsidRPr="00E85A73">
        <w:t>”</w:t>
      </w:r>
      <w:r w:rsidRPr="00E85A73">
        <w:t>，却在解释</w:t>
      </w:r>
      <w:r w:rsidRPr="00E85A73">
        <w:t>“</w:t>
      </w:r>
      <w:r w:rsidRPr="00E85A73">
        <w:t>为什么做</w:t>
      </w:r>
      <w:r w:rsidRPr="00E85A73">
        <w:t>”</w:t>
      </w:r>
      <w:r w:rsidRPr="00E85A73">
        <w:t>时显得力不从心。在市场结构高频切换、产业轮动加速的复杂博弈中，单纯依赖结果数据往往难以甄别基金经理的真实动机</w:t>
      </w:r>
      <w:r>
        <w:rPr>
          <w:rFonts w:hint="eastAsia"/>
        </w:rPr>
        <w:t>，</w:t>
      </w:r>
      <w:r w:rsidRPr="00E85A73">
        <w:t>例如，阶段性调仓究竟是顺应产业趋势，还是短期的交易博弈？</w:t>
      </w:r>
      <w:r w:rsidR="002D0694" w:rsidRPr="002D0694">
        <w:t>作为基金经理少有的主动表达渠道，季报文本恰好填补了这一拼图。它不仅记录了基金经理对宏观环境、估值性价比及政策脉络的主观研判，更是其推演未来市场的逻辑框架展现。更为重要的是，从机构行为学维度来看，海量文本背后潜藏着市场的</w:t>
      </w:r>
      <w:r w:rsidR="002D0694" w:rsidRPr="002D0694">
        <w:t>“</w:t>
      </w:r>
      <w:r w:rsidR="002D0694" w:rsidRPr="002D0694">
        <w:t>表达共识</w:t>
      </w:r>
      <w:r w:rsidR="002D0694" w:rsidRPr="002D0694">
        <w:t>”</w:t>
      </w:r>
      <w:r w:rsidR="002D0694" w:rsidRPr="002D0694">
        <w:t>。这种共识揭示了当下机构群体中最为流行的叙事主线，系统化解析这些被反复强调的方向与风险点，不仅有助于我们捕捉潜在的主线行情，更能前瞻性地识别交易拥挤度，已成为理解机构微观行为不可或缺的基石。</w:t>
      </w:r>
    </w:p>
    <w:p w14:paraId="16AF2E71" w14:textId="488D5BA0" w:rsidR="002E2C1D" w:rsidRDefault="002E2C1D" w:rsidP="00280FC5">
      <w:pPr>
        <w:tabs>
          <w:tab w:val="num" w:pos="720"/>
        </w:tabs>
        <w:ind w:firstLineChars="0"/>
      </w:pPr>
      <w:r w:rsidRPr="002E2C1D">
        <w:t>本报告</w:t>
      </w:r>
      <w:r w:rsidR="00217244">
        <w:rPr>
          <w:rFonts w:hint="eastAsia"/>
        </w:rPr>
        <w:t>希望</w:t>
      </w:r>
      <w:r w:rsidRPr="002E2C1D">
        <w:t>穿透</w:t>
      </w:r>
      <w:r w:rsidRPr="002E2C1D">
        <w:t>“</w:t>
      </w:r>
      <w:r w:rsidRPr="002E2C1D">
        <w:t>固收</w:t>
      </w:r>
      <w:r w:rsidRPr="002E2C1D">
        <w:t>+”</w:t>
      </w:r>
      <w:r w:rsidRPr="002E2C1D">
        <w:t>基金经理主观叙事背后的投资逻辑，利用大语言模型对二级债基和转债基金过去三年的定期报告</w:t>
      </w:r>
      <w:r w:rsidR="00731F7F">
        <w:rPr>
          <w:rFonts w:hint="eastAsia"/>
        </w:rPr>
        <w:t>进行</w:t>
      </w:r>
      <w:r w:rsidRPr="002E2C1D">
        <w:t>深度的文本挖掘。首先，</w:t>
      </w:r>
      <w:r w:rsidR="00731F7F">
        <w:rPr>
          <w:rFonts w:hint="eastAsia"/>
        </w:rPr>
        <w:t>使用</w:t>
      </w:r>
      <w:r w:rsidRPr="002E2C1D">
        <w:t>正则表达式精准提取</w:t>
      </w:r>
      <w:r w:rsidRPr="002E2C1D">
        <w:t>“</w:t>
      </w:r>
      <w:r w:rsidRPr="002E2C1D">
        <w:t>投资策略和运作分析</w:t>
      </w:r>
      <w:r w:rsidRPr="002E2C1D">
        <w:t>”</w:t>
      </w:r>
      <w:r w:rsidRPr="002E2C1D">
        <w:t>等核心文本</w:t>
      </w:r>
      <w:r w:rsidR="00731F7F">
        <w:rPr>
          <w:rFonts w:hint="eastAsia"/>
        </w:rPr>
        <w:t>和</w:t>
      </w:r>
      <w:r w:rsidRPr="002E2C1D">
        <w:t>底层持仓数据</w:t>
      </w:r>
      <w:r w:rsidR="00731F7F">
        <w:rPr>
          <w:rFonts w:hint="eastAsia"/>
        </w:rPr>
        <w:t>，为大语言模型分析奠定数据基础</w:t>
      </w:r>
      <w:r w:rsidRPr="002E2C1D">
        <w:t>；其次，</w:t>
      </w:r>
      <w:r w:rsidR="00731F7F">
        <w:rPr>
          <w:rFonts w:hint="eastAsia"/>
        </w:rPr>
        <w:t>设计一套大语言模型的</w:t>
      </w:r>
      <w:r w:rsidR="00731F7F">
        <w:rPr>
          <w:rFonts w:hint="eastAsia"/>
        </w:rPr>
        <w:t>Prompt</w:t>
      </w:r>
      <w:r w:rsidR="00731F7F">
        <w:rPr>
          <w:rFonts w:hint="eastAsia"/>
        </w:rPr>
        <w:t>模板</w:t>
      </w:r>
      <w:r w:rsidRPr="002E2C1D">
        <w:t>，</w:t>
      </w:r>
      <w:r w:rsidR="00731F7F">
        <w:rPr>
          <w:rFonts w:hint="eastAsia"/>
        </w:rPr>
        <w:t>将报告中提取出来的信息</w:t>
      </w:r>
      <w:r w:rsidRPr="002E2C1D">
        <w:t>转化为了一套涵盖</w:t>
      </w:r>
      <w:r w:rsidRPr="002E2C1D">
        <w:t>“</w:t>
      </w:r>
      <w:r w:rsidRPr="002E2C1D">
        <w:t>收益风险、操作风格、个性特征</w:t>
      </w:r>
      <w:r w:rsidRPr="002E2C1D">
        <w:t>”</w:t>
      </w:r>
      <w:r w:rsidRPr="002E2C1D">
        <w:t>三大维度的客观、可量化标签体系与多维画像；最后，本研究创新性地引入了</w:t>
      </w:r>
      <w:r w:rsidR="00731F7F" w:rsidRPr="00731F7F">
        <w:t>时序多数投票机制</w:t>
      </w:r>
      <w:r w:rsidRPr="002E2C1D">
        <w:t>，将季频动态标签平滑转化为长效标签，从而有效过滤短期噪音，精准揭示基金经理长期稳定的真实投资风格。</w:t>
      </w:r>
    </w:p>
    <w:p w14:paraId="08828E94" w14:textId="40F27308" w:rsidR="00E54DAE" w:rsidRPr="002E2C1D" w:rsidRDefault="00E54DAE" w:rsidP="00004D9A">
      <w:pPr>
        <w:tabs>
          <w:tab w:val="num" w:pos="720"/>
        </w:tabs>
        <w:ind w:firstLineChars="0"/>
      </w:pPr>
      <w:r w:rsidRPr="00B9658E">
        <w:t>具体而言，本研究实现了以下四大突破：</w:t>
      </w:r>
      <w:r w:rsidR="002E2C1D" w:rsidRPr="002E2C1D">
        <w:rPr>
          <w:rFonts w:hint="eastAsia"/>
        </w:rPr>
        <w:t>第一、</w:t>
      </w:r>
      <w:r w:rsidR="002E2C1D" w:rsidRPr="002E2C1D">
        <w:t>突破非结构化文本瓶颈，实现底层数据的</w:t>
      </w:r>
      <w:r w:rsidR="002E2C1D">
        <w:rPr>
          <w:rFonts w:hint="eastAsia"/>
        </w:rPr>
        <w:t>精准</w:t>
      </w:r>
      <w:r w:rsidR="00731F7F">
        <w:rPr>
          <w:rFonts w:hint="eastAsia"/>
        </w:rPr>
        <w:t>提取</w:t>
      </w:r>
      <w:r w:rsidR="00B9658E">
        <w:rPr>
          <w:rFonts w:hint="eastAsia"/>
        </w:rPr>
        <w:t>。</w:t>
      </w:r>
      <w:r w:rsidR="002E2C1D" w:rsidRPr="002E2C1D">
        <w:t>成功从海量</w:t>
      </w:r>
      <w:r w:rsidR="002E2C1D" w:rsidRPr="002E2C1D">
        <w:t>PDF</w:t>
      </w:r>
      <w:r w:rsidR="002E2C1D" w:rsidRPr="002E2C1D">
        <w:t>定期报告中精准提取核心持仓数据与主观文本段落，为后续的大模型深度研判奠定了绝对可靠的数据底板</w:t>
      </w:r>
      <w:r w:rsidR="00B9658E">
        <w:rPr>
          <w:rFonts w:hint="eastAsia"/>
        </w:rPr>
        <w:t>，数据提取准确率达到</w:t>
      </w:r>
      <w:r w:rsidR="00B9658E">
        <w:rPr>
          <w:rFonts w:hint="eastAsia"/>
        </w:rPr>
        <w:t>80%</w:t>
      </w:r>
      <w:r w:rsidR="00B9658E">
        <w:rPr>
          <w:rFonts w:hint="eastAsia"/>
        </w:rPr>
        <w:t>以上</w:t>
      </w:r>
      <w:r w:rsidR="002E2C1D" w:rsidRPr="002E2C1D">
        <w:t>；第二，打破传统评价单一维度，构建主客观融合的三维能力画像，摈弃了仅看收益率的传统模式</w:t>
      </w:r>
      <w:r w:rsidR="00731F7F">
        <w:rPr>
          <w:rFonts w:hint="eastAsia"/>
        </w:rPr>
        <w:t>。</w:t>
      </w:r>
      <w:r w:rsidR="002E2C1D" w:rsidRPr="002E2C1D">
        <w:t>创新性地将量化指标等硬核数据与基金经理操作逻辑等主观语义进行深度交叉验证；第三，</w:t>
      </w:r>
      <w:r w:rsidR="00B9658E">
        <w:rPr>
          <w:rFonts w:hint="eastAsia"/>
        </w:rPr>
        <w:t>通过</w:t>
      </w:r>
      <w:r w:rsidR="002E2C1D" w:rsidRPr="002E2C1D">
        <w:t>时序多数投票机制，</w:t>
      </w:r>
      <w:r w:rsidR="00B9658E">
        <w:rPr>
          <w:rFonts w:hint="eastAsia"/>
        </w:rPr>
        <w:t>提取</w:t>
      </w:r>
      <w:r w:rsidR="002E2C1D" w:rsidRPr="002E2C1D">
        <w:t>穿越周期的长效风格</w:t>
      </w:r>
      <w:r w:rsidR="00731F7F">
        <w:rPr>
          <w:rFonts w:hint="eastAsia"/>
        </w:rPr>
        <w:t>。</w:t>
      </w:r>
      <w:r w:rsidR="00004D9A" w:rsidRPr="00004D9A">
        <w:t>面对复杂多变的市场环境，基金经理的操作往往呈现出动态特征。</w:t>
      </w:r>
      <w:r w:rsidR="00004D9A">
        <w:rPr>
          <w:rFonts w:hint="eastAsia"/>
        </w:rPr>
        <w:t>通过跨期数据的综合分析，可以识别基金经理</w:t>
      </w:r>
      <w:r w:rsidR="00004D9A" w:rsidRPr="00004D9A">
        <w:t>是坚守投资主线、呈现稳定长效风格的压舱石型选手，还是随波逐流、短期风格频繁切换的风格漂移者。</w:t>
      </w:r>
      <w:r w:rsidR="002E2C1D" w:rsidRPr="002E2C1D">
        <w:t>第四，摈弃一刀切的泛化模型</w:t>
      </w:r>
      <w:r w:rsidR="00004D9A">
        <w:rPr>
          <w:rFonts w:hint="eastAsia"/>
        </w:rPr>
        <w:t>。</w:t>
      </w:r>
      <w:r w:rsidR="002E2C1D" w:rsidRPr="002E2C1D">
        <w:t>严格根据二级债基与转债基金截然不同的底层逻辑与风险特征，</w:t>
      </w:r>
      <w:r w:rsidR="00004D9A">
        <w:rPr>
          <w:rFonts w:hint="eastAsia"/>
        </w:rPr>
        <w:t>在</w:t>
      </w:r>
      <w:r w:rsidR="00004D9A" w:rsidRPr="00004D9A">
        <w:t>Prompt</w:t>
      </w:r>
      <w:r w:rsidR="00004D9A" w:rsidRPr="00004D9A">
        <w:t>模板</w:t>
      </w:r>
      <w:r w:rsidR="00004D9A">
        <w:rPr>
          <w:rFonts w:hint="eastAsia"/>
        </w:rPr>
        <w:t>上进行差异化分析。</w:t>
      </w:r>
    </w:p>
    <w:p w14:paraId="184618AF" w14:textId="4FB3195E" w:rsidR="00126C8B" w:rsidRDefault="00126C8B" w:rsidP="001766D5">
      <w:pPr>
        <w:pStyle w:val="1"/>
      </w:pPr>
      <w:r>
        <w:rPr>
          <w:rFonts w:hint="eastAsia"/>
        </w:rPr>
        <w:t>2.</w:t>
      </w:r>
      <w:r w:rsidR="001766D5">
        <w:rPr>
          <w:rFonts w:hint="eastAsia"/>
        </w:rPr>
        <w:t>模型构建</w:t>
      </w:r>
    </w:p>
    <w:p w14:paraId="44A0E8FB" w14:textId="2E0255F3" w:rsidR="00E54DAE" w:rsidRDefault="001766D5" w:rsidP="001766D5">
      <w:pPr>
        <w:pStyle w:val="2"/>
        <w:ind w:firstLine="532"/>
      </w:pPr>
      <w:r>
        <w:rPr>
          <w:rFonts w:hint="eastAsia"/>
        </w:rPr>
        <w:t>2.1</w:t>
      </w:r>
      <w:r w:rsidRPr="001766D5">
        <w:t>样本构建与底层数据预处理</w:t>
      </w:r>
    </w:p>
    <w:p w14:paraId="02689394" w14:textId="067A819C" w:rsidR="001766D5" w:rsidRPr="001766D5" w:rsidRDefault="00687AB5" w:rsidP="001766D5">
      <w:r>
        <w:rPr>
          <w:rFonts w:hint="eastAsia"/>
        </w:rPr>
        <w:lastRenderedPageBreak/>
        <w:t>本文基金数据来源于</w:t>
      </w:r>
      <w:r>
        <w:rPr>
          <w:rFonts w:hint="eastAsia"/>
        </w:rPr>
        <w:t>ifind</w:t>
      </w:r>
      <w:r>
        <w:rPr>
          <w:rFonts w:hint="eastAsia"/>
        </w:rPr>
        <w:t>，</w:t>
      </w:r>
      <w:r w:rsidRPr="00687AB5">
        <w:t>对初始数据进行如下处理：</w:t>
      </w:r>
      <w:r w:rsidR="001766D5">
        <w:rPr>
          <w:rFonts w:hint="eastAsia"/>
        </w:rPr>
        <w:t>（</w:t>
      </w:r>
      <w:r w:rsidR="001766D5">
        <w:rPr>
          <w:rFonts w:hint="eastAsia"/>
        </w:rPr>
        <w:t>1</w:t>
      </w:r>
      <w:r w:rsidR="001766D5">
        <w:rPr>
          <w:rFonts w:hint="eastAsia"/>
        </w:rPr>
        <w:t>）严格剔除成立时间晚于或等于</w:t>
      </w:r>
      <w:r w:rsidR="001766D5">
        <w:rPr>
          <w:rFonts w:hint="eastAsia"/>
        </w:rPr>
        <w:t>2023</w:t>
      </w:r>
      <w:r w:rsidR="001766D5">
        <w:rPr>
          <w:rFonts w:hint="eastAsia"/>
        </w:rPr>
        <w:t>年</w:t>
      </w:r>
      <w:r w:rsidR="001766D5">
        <w:rPr>
          <w:rFonts w:hint="eastAsia"/>
        </w:rPr>
        <w:t>1</w:t>
      </w:r>
      <w:r w:rsidR="001766D5">
        <w:rPr>
          <w:rFonts w:hint="eastAsia"/>
        </w:rPr>
        <w:t>月</w:t>
      </w:r>
      <w:r w:rsidR="001766D5">
        <w:rPr>
          <w:rFonts w:hint="eastAsia"/>
        </w:rPr>
        <w:t>1</w:t>
      </w:r>
      <w:r w:rsidR="001766D5">
        <w:rPr>
          <w:rFonts w:hint="eastAsia"/>
        </w:rPr>
        <w:t>日的基金，确保所有样本具备完整的三年期考察周期</w:t>
      </w:r>
      <w:r>
        <w:rPr>
          <w:rFonts w:hint="eastAsia"/>
        </w:rPr>
        <w:t>；</w:t>
      </w:r>
      <w:r w:rsidR="001766D5">
        <w:rPr>
          <w:rFonts w:hint="eastAsia"/>
        </w:rPr>
        <w:t>（</w:t>
      </w:r>
      <w:r w:rsidR="001766D5">
        <w:rPr>
          <w:rFonts w:hint="eastAsia"/>
        </w:rPr>
        <w:t>2</w:t>
      </w:r>
      <w:r w:rsidR="001766D5">
        <w:rPr>
          <w:rFonts w:hint="eastAsia"/>
        </w:rPr>
        <w:t>）</w:t>
      </w:r>
      <w:r w:rsidRPr="00687AB5">
        <w:rPr>
          <w:rFonts w:hint="eastAsia"/>
        </w:rPr>
        <w:t>最新规模不低于</w:t>
      </w:r>
      <w:r w:rsidRPr="00687AB5">
        <w:rPr>
          <w:rFonts w:hint="eastAsia"/>
        </w:rPr>
        <w:t>2</w:t>
      </w:r>
      <w:r w:rsidRPr="00687AB5">
        <w:rPr>
          <w:rFonts w:hint="eastAsia"/>
        </w:rPr>
        <w:t>亿且近三年平均规模不低于</w:t>
      </w:r>
      <w:r w:rsidRPr="00687AB5">
        <w:rPr>
          <w:rFonts w:hint="eastAsia"/>
        </w:rPr>
        <w:t>2</w:t>
      </w:r>
      <w:r w:rsidRPr="00687AB5">
        <w:rPr>
          <w:rFonts w:hint="eastAsia"/>
        </w:rPr>
        <w:t>亿</w:t>
      </w:r>
      <w:r>
        <w:rPr>
          <w:rFonts w:hint="eastAsia"/>
        </w:rPr>
        <w:t>，</w:t>
      </w:r>
      <w:r w:rsidRPr="00687AB5">
        <w:rPr>
          <w:rFonts w:hint="eastAsia"/>
        </w:rPr>
        <w:t>为过滤掉迷你基金带来的噪音</w:t>
      </w:r>
      <w:r>
        <w:rPr>
          <w:rFonts w:hint="eastAsia"/>
        </w:rPr>
        <w:t>；</w:t>
      </w:r>
      <w:r w:rsidR="001766D5">
        <w:rPr>
          <w:rFonts w:hint="eastAsia"/>
        </w:rPr>
        <w:t>（</w:t>
      </w:r>
      <w:r w:rsidR="001766D5">
        <w:rPr>
          <w:rFonts w:hint="eastAsia"/>
        </w:rPr>
        <w:t>3</w:t>
      </w:r>
      <w:r w:rsidR="001766D5">
        <w:rPr>
          <w:rFonts w:hint="eastAsia"/>
        </w:rPr>
        <w:t>）将清洗后的样本池严格划分为“混合债券型基金（二级）”与“可转换债券型基金”两个子集</w:t>
      </w:r>
      <w:r>
        <w:rPr>
          <w:rFonts w:hint="eastAsia"/>
        </w:rPr>
        <w:t>，分别进行分析</w:t>
      </w:r>
      <w:r w:rsidR="001766D5">
        <w:rPr>
          <w:rFonts w:hint="eastAsia"/>
        </w:rPr>
        <w:t>。</w:t>
      </w:r>
      <w:r w:rsidRPr="00687AB5">
        <w:t>根据以上标准</w:t>
      </w:r>
      <w:r>
        <w:rPr>
          <w:rFonts w:hint="eastAsia"/>
        </w:rPr>
        <w:t>，共得到</w:t>
      </w:r>
      <w:r w:rsidR="00120A87">
        <w:rPr>
          <w:rFonts w:hint="eastAsia"/>
        </w:rPr>
        <w:t>363</w:t>
      </w:r>
      <w:r w:rsidR="00120A87">
        <w:rPr>
          <w:rFonts w:hint="eastAsia"/>
        </w:rPr>
        <w:t>只</w:t>
      </w:r>
      <w:r w:rsidR="00120A87" w:rsidRPr="00120A87">
        <w:rPr>
          <w:rFonts w:hint="eastAsia"/>
        </w:rPr>
        <w:t>混合债券型基金</w:t>
      </w:r>
      <w:r w:rsidR="00120A87">
        <w:rPr>
          <w:rFonts w:hint="eastAsia"/>
        </w:rPr>
        <w:t>（</w:t>
      </w:r>
      <w:r w:rsidR="00120A87" w:rsidRPr="00120A87">
        <w:rPr>
          <w:rFonts w:hint="eastAsia"/>
        </w:rPr>
        <w:t>二级</w:t>
      </w:r>
      <w:r w:rsidR="00120A87">
        <w:rPr>
          <w:rFonts w:hint="eastAsia"/>
        </w:rPr>
        <w:t>）和</w:t>
      </w:r>
      <w:r w:rsidR="00120A87">
        <w:rPr>
          <w:rFonts w:hint="eastAsia"/>
        </w:rPr>
        <w:t>32</w:t>
      </w:r>
      <w:r w:rsidR="00120A87">
        <w:rPr>
          <w:rFonts w:hint="eastAsia"/>
        </w:rPr>
        <w:t>只</w:t>
      </w:r>
      <w:r w:rsidR="00120A87" w:rsidRPr="00120A87">
        <w:rPr>
          <w:rFonts w:hint="eastAsia"/>
        </w:rPr>
        <w:t>可转换债券型基金</w:t>
      </w:r>
      <w:r w:rsidR="00A2731D">
        <w:rPr>
          <w:rFonts w:hint="eastAsia"/>
        </w:rPr>
        <w:t>。</w:t>
      </w:r>
    </w:p>
    <w:p w14:paraId="0EAF11DC" w14:textId="5BE06525" w:rsidR="001766D5" w:rsidRDefault="001766D5" w:rsidP="001766D5">
      <w:pPr>
        <w:pStyle w:val="2"/>
        <w:ind w:firstLine="532"/>
      </w:pPr>
      <w:r>
        <w:rPr>
          <w:rFonts w:hint="eastAsia"/>
        </w:rPr>
        <w:t>2.2</w:t>
      </w:r>
      <w:r w:rsidR="00382487">
        <w:rPr>
          <w:rFonts w:hint="eastAsia"/>
        </w:rPr>
        <w:t>底层数据加载与文本切片</w:t>
      </w:r>
    </w:p>
    <w:p w14:paraId="5498B8EC" w14:textId="1BD05D0D" w:rsidR="00382487" w:rsidRDefault="00286806" w:rsidP="00681689">
      <w:r>
        <w:rPr>
          <w:rFonts w:hint="eastAsia"/>
        </w:rPr>
        <w:t>为了节约</w:t>
      </w:r>
      <w:r>
        <w:rPr>
          <w:rFonts w:hint="eastAsia"/>
        </w:rPr>
        <w:t>token</w:t>
      </w:r>
      <w:r>
        <w:rPr>
          <w:rFonts w:hint="eastAsia"/>
        </w:rPr>
        <w:t>，同时使得</w:t>
      </w:r>
      <w:r>
        <w:rPr>
          <w:rFonts w:hint="eastAsia"/>
        </w:rPr>
        <w:t>LLM</w:t>
      </w:r>
      <w:r>
        <w:rPr>
          <w:rFonts w:hint="eastAsia"/>
        </w:rPr>
        <w:t>模型对文本的分析更加精准，我们首先对报告内容进行分块预处理。</w:t>
      </w:r>
      <w:r w:rsidR="00382487" w:rsidRPr="00382487">
        <w:t>首先</w:t>
      </w:r>
      <w:r>
        <w:rPr>
          <w:rFonts w:hint="eastAsia"/>
        </w:rPr>
        <w:t>，</w:t>
      </w:r>
      <w:r w:rsidR="00382487" w:rsidRPr="00382487">
        <w:t>遍历目标基金过去三年的所有定期报告</w:t>
      </w:r>
      <w:r w:rsidR="0081127B" w:rsidRPr="0081127B">
        <w:rPr>
          <w:vertAlign w:val="superscript"/>
        </w:rPr>
        <w:footnoteReference w:id="1"/>
      </w:r>
      <w:r w:rsidR="00382487" w:rsidRPr="00382487">
        <w:t>（一</w:t>
      </w:r>
      <w:r>
        <w:rPr>
          <w:rFonts w:hint="eastAsia"/>
        </w:rPr>
        <w:t>至四季报、</w:t>
      </w:r>
      <w:r w:rsidR="00382487" w:rsidRPr="00382487">
        <w:t>中报</w:t>
      </w:r>
      <w:r>
        <w:rPr>
          <w:rFonts w:hint="eastAsia"/>
        </w:rPr>
        <w:t>、</w:t>
      </w:r>
      <w:r w:rsidR="00382487" w:rsidRPr="00382487">
        <w:t>年报），通过自动化脚本解析文件名获取时间戳，并利用</w:t>
      </w:r>
      <w:r w:rsidR="00382487" w:rsidRPr="00382487">
        <w:t xml:space="preserve"> PDF </w:t>
      </w:r>
      <w:r w:rsidR="00382487" w:rsidRPr="00382487">
        <w:t>提取引擎将非结构化文档转化为纯文本。</w:t>
      </w:r>
      <w:r>
        <w:rPr>
          <w:rFonts w:hint="eastAsia"/>
        </w:rPr>
        <w:t>第二、</w:t>
      </w:r>
      <w:r w:rsidR="00382487" w:rsidRPr="00382487">
        <w:t>系统引入正则表达式进行精准切片，剔除无关噪音，专门提取出</w:t>
      </w:r>
      <w:r w:rsidR="00382487" w:rsidRPr="00382487">
        <w:t>“</w:t>
      </w:r>
      <w:r w:rsidR="00681689" w:rsidRPr="00681689">
        <w:t>管理人报告</w:t>
      </w:r>
      <w:r w:rsidR="00382487" w:rsidRPr="00382487">
        <w:t>”</w:t>
      </w:r>
      <w:r w:rsidR="00681689">
        <w:rPr>
          <w:rFonts w:hint="eastAsia"/>
        </w:rPr>
        <w:t>、</w:t>
      </w:r>
      <w:r w:rsidR="00382487" w:rsidRPr="00382487">
        <w:t>“</w:t>
      </w:r>
      <w:r w:rsidR="00382487" w:rsidRPr="00382487">
        <w:t>业绩指标</w:t>
      </w:r>
      <w:r w:rsidR="00382487" w:rsidRPr="00382487">
        <w:t>”</w:t>
      </w:r>
      <w:r w:rsidR="00681689">
        <w:rPr>
          <w:rFonts w:hint="eastAsia"/>
        </w:rPr>
        <w:t>以及“</w:t>
      </w:r>
      <w:r w:rsidR="00681689" w:rsidRPr="00681689">
        <w:t>主要财务指标和基金净值表现</w:t>
      </w:r>
      <w:r w:rsidR="00681689">
        <w:rPr>
          <w:rFonts w:hint="eastAsia"/>
        </w:rPr>
        <w:t>”</w:t>
      </w:r>
      <w:r w:rsidR="00382487" w:rsidRPr="00382487">
        <w:t>等核心关键章节，并将这些切片数据按时间线有序存入底层数据字典中备用</w:t>
      </w:r>
      <w:r w:rsidR="00E75B1C">
        <w:rPr>
          <w:rFonts w:hint="eastAsia"/>
        </w:rPr>
        <w:t>，并且提取出相关业绩数据。</w:t>
      </w:r>
    </w:p>
    <w:p w14:paraId="27CC7E16" w14:textId="7F8E362A" w:rsidR="008A4B01" w:rsidRDefault="008A4B01" w:rsidP="001D2D10">
      <w:pPr>
        <w:pStyle w:val="af0"/>
        <w:ind w:firstLineChars="0" w:firstLine="0"/>
      </w:pPr>
      <w:r>
        <w:rPr>
          <w:rFonts w:hint="eastAsia"/>
        </w:rPr>
        <w:t>表：</w:t>
      </w:r>
      <w:r w:rsidR="00FC6432">
        <w:rPr>
          <w:rFonts w:hint="eastAsia"/>
        </w:rPr>
        <w:t>报告</w:t>
      </w:r>
      <w:r>
        <w:rPr>
          <w:rFonts w:hint="eastAsia"/>
        </w:rPr>
        <w:t>章节提取结构</w:t>
      </w:r>
      <w:r w:rsidR="00FD644C">
        <w:rPr>
          <w:rStyle w:val="af4"/>
        </w:rPr>
        <w:footnoteReference w:id="2"/>
      </w:r>
    </w:p>
    <w:tbl>
      <w:tblPr>
        <w:tblStyle w:val="11"/>
        <w:tblW w:w="5000" w:type="pct"/>
        <w:tblLook w:val="04A0" w:firstRow="1" w:lastRow="0" w:firstColumn="1" w:lastColumn="0" w:noHBand="0" w:noVBand="1"/>
      </w:tblPr>
      <w:tblGrid>
        <w:gridCol w:w="1134"/>
        <w:gridCol w:w="2268"/>
        <w:gridCol w:w="1701"/>
        <w:gridCol w:w="3203"/>
      </w:tblGrid>
      <w:tr w:rsidR="001D2D10" w:rsidRPr="008A4B01" w14:paraId="6B7C3B73" w14:textId="19067207" w:rsidTr="001D2D10">
        <w:trPr>
          <w:cnfStyle w:val="100000000000" w:firstRow="1" w:lastRow="0" w:firstColumn="0" w:lastColumn="0" w:oddVBand="0" w:evenVBand="0" w:oddHBand="0" w:evenHBand="0" w:firstRowFirstColumn="0" w:firstRowLastColumn="0" w:lastRowFirstColumn="0" w:lastRowLastColumn="0"/>
        </w:trPr>
        <w:tc>
          <w:tcPr>
            <w:tcW w:w="683" w:type="pct"/>
            <w:hideMark/>
          </w:tcPr>
          <w:p w14:paraId="210932CF" w14:textId="77777777" w:rsidR="001D2D10" w:rsidRPr="008A4B01" w:rsidRDefault="001D2D10" w:rsidP="008A4B01">
            <w:pPr>
              <w:spacing w:line="240" w:lineRule="auto"/>
              <w:ind w:firstLineChars="0" w:firstLine="0"/>
              <w:jc w:val="center"/>
              <w:rPr>
                <w:b w:val="0"/>
                <w:bCs/>
                <w:sz w:val="21"/>
                <w:szCs w:val="20"/>
              </w:rPr>
            </w:pPr>
            <w:r w:rsidRPr="008A4B01">
              <w:rPr>
                <w:bCs/>
                <w:sz w:val="21"/>
                <w:szCs w:val="20"/>
              </w:rPr>
              <w:t>数据类型</w:t>
            </w:r>
          </w:p>
        </w:tc>
        <w:tc>
          <w:tcPr>
            <w:tcW w:w="1365" w:type="pct"/>
            <w:hideMark/>
          </w:tcPr>
          <w:p w14:paraId="78EEE0A6" w14:textId="77777777" w:rsidR="001D2D10" w:rsidRPr="008A4B01" w:rsidRDefault="001D2D10" w:rsidP="008A4B01">
            <w:pPr>
              <w:spacing w:line="240" w:lineRule="auto"/>
              <w:ind w:firstLineChars="0" w:firstLine="0"/>
              <w:jc w:val="center"/>
              <w:rPr>
                <w:b w:val="0"/>
                <w:bCs/>
                <w:sz w:val="21"/>
                <w:szCs w:val="20"/>
              </w:rPr>
            </w:pPr>
            <w:r w:rsidRPr="008A4B01">
              <w:rPr>
                <w:bCs/>
                <w:sz w:val="21"/>
                <w:szCs w:val="20"/>
              </w:rPr>
              <w:t>说明</w:t>
            </w:r>
          </w:p>
        </w:tc>
        <w:tc>
          <w:tcPr>
            <w:tcW w:w="1024" w:type="pct"/>
            <w:hideMark/>
          </w:tcPr>
          <w:p w14:paraId="7F2D3C02" w14:textId="77777777" w:rsidR="001D2D10" w:rsidRPr="008A4B01" w:rsidRDefault="001D2D10" w:rsidP="008A4B01">
            <w:pPr>
              <w:spacing w:line="240" w:lineRule="auto"/>
              <w:ind w:firstLineChars="0" w:firstLine="0"/>
              <w:jc w:val="center"/>
              <w:rPr>
                <w:b w:val="0"/>
                <w:bCs/>
                <w:sz w:val="21"/>
                <w:szCs w:val="20"/>
              </w:rPr>
            </w:pPr>
            <w:r w:rsidRPr="008A4B01">
              <w:rPr>
                <w:bCs/>
                <w:sz w:val="21"/>
                <w:szCs w:val="20"/>
              </w:rPr>
              <w:t>提取位置</w:t>
            </w:r>
          </w:p>
        </w:tc>
        <w:tc>
          <w:tcPr>
            <w:tcW w:w="1928" w:type="pct"/>
            <w:hideMark/>
          </w:tcPr>
          <w:p w14:paraId="056414BD" w14:textId="77777777" w:rsidR="001D2D10" w:rsidRPr="008A4B01" w:rsidRDefault="001D2D10" w:rsidP="008A4B01">
            <w:pPr>
              <w:spacing w:line="240" w:lineRule="auto"/>
              <w:ind w:firstLineChars="0" w:firstLine="0"/>
              <w:jc w:val="center"/>
              <w:rPr>
                <w:b w:val="0"/>
                <w:bCs/>
                <w:sz w:val="21"/>
                <w:szCs w:val="20"/>
              </w:rPr>
            </w:pPr>
            <w:r w:rsidRPr="008A4B01">
              <w:rPr>
                <w:bCs/>
                <w:sz w:val="21"/>
                <w:szCs w:val="20"/>
              </w:rPr>
              <w:t>章节编号</w:t>
            </w:r>
          </w:p>
        </w:tc>
      </w:tr>
      <w:tr w:rsidR="001D2D10" w:rsidRPr="008A4B01" w14:paraId="60C04620" w14:textId="722CF7CF" w:rsidTr="001D2D10">
        <w:tc>
          <w:tcPr>
            <w:tcW w:w="683" w:type="pct"/>
            <w:hideMark/>
          </w:tcPr>
          <w:p w14:paraId="0E5A86F0" w14:textId="77777777" w:rsidR="001D2D10" w:rsidRPr="008A4B01" w:rsidRDefault="001D2D10" w:rsidP="008A4B01">
            <w:pPr>
              <w:spacing w:line="240" w:lineRule="auto"/>
              <w:ind w:firstLineChars="0" w:firstLine="0"/>
              <w:jc w:val="center"/>
              <w:rPr>
                <w:sz w:val="21"/>
                <w:szCs w:val="20"/>
              </w:rPr>
            </w:pPr>
            <w:r w:rsidRPr="008A4B01">
              <w:rPr>
                <w:sz w:val="21"/>
                <w:szCs w:val="20"/>
              </w:rPr>
              <w:t>str</w:t>
            </w:r>
          </w:p>
        </w:tc>
        <w:tc>
          <w:tcPr>
            <w:tcW w:w="1365" w:type="pct"/>
            <w:hideMark/>
          </w:tcPr>
          <w:p w14:paraId="41F75E48" w14:textId="77777777" w:rsidR="001D2D10" w:rsidRPr="008A4B01" w:rsidRDefault="001D2D10" w:rsidP="008A4B01">
            <w:pPr>
              <w:spacing w:line="240" w:lineRule="auto"/>
              <w:ind w:firstLineChars="0" w:firstLine="0"/>
              <w:jc w:val="center"/>
              <w:rPr>
                <w:sz w:val="21"/>
                <w:szCs w:val="20"/>
              </w:rPr>
            </w:pPr>
            <w:r w:rsidRPr="008A4B01">
              <w:rPr>
                <w:sz w:val="21"/>
                <w:szCs w:val="20"/>
              </w:rPr>
              <w:t>基金经理简介</w:t>
            </w:r>
          </w:p>
        </w:tc>
        <w:tc>
          <w:tcPr>
            <w:tcW w:w="1024" w:type="pct"/>
            <w:hideMark/>
          </w:tcPr>
          <w:p w14:paraId="49E8D9BB" w14:textId="77777777" w:rsidR="001D2D10" w:rsidRPr="008A4B01" w:rsidRDefault="001D2D10" w:rsidP="008A4B01">
            <w:pPr>
              <w:spacing w:line="240" w:lineRule="auto"/>
              <w:ind w:firstLineChars="0" w:firstLine="0"/>
              <w:jc w:val="center"/>
              <w:rPr>
                <w:sz w:val="21"/>
                <w:szCs w:val="20"/>
              </w:rPr>
            </w:pPr>
            <w:r w:rsidRPr="008A4B01">
              <w:rPr>
                <w:sz w:val="21"/>
                <w:szCs w:val="20"/>
              </w:rPr>
              <w:t>管理人报告</w:t>
            </w:r>
          </w:p>
        </w:tc>
        <w:tc>
          <w:tcPr>
            <w:tcW w:w="1928" w:type="pct"/>
            <w:hideMark/>
          </w:tcPr>
          <w:p w14:paraId="04F5B227" w14:textId="77777777" w:rsidR="001D2D10" w:rsidRPr="008A4B01" w:rsidRDefault="001D2D10" w:rsidP="008A4B01">
            <w:pPr>
              <w:spacing w:line="240" w:lineRule="auto"/>
              <w:ind w:firstLineChars="0" w:firstLine="0"/>
              <w:jc w:val="center"/>
              <w:rPr>
                <w:sz w:val="21"/>
                <w:szCs w:val="20"/>
              </w:rPr>
            </w:pPr>
            <w:r w:rsidRPr="008A4B01">
              <w:rPr>
                <w:sz w:val="21"/>
                <w:szCs w:val="20"/>
              </w:rPr>
              <w:t>§4.1</w:t>
            </w:r>
          </w:p>
        </w:tc>
      </w:tr>
      <w:tr w:rsidR="001D2D10" w:rsidRPr="008A4B01" w14:paraId="6ABC7756" w14:textId="2381012B" w:rsidTr="001D2D10">
        <w:tc>
          <w:tcPr>
            <w:tcW w:w="683" w:type="pct"/>
            <w:hideMark/>
          </w:tcPr>
          <w:p w14:paraId="37F77C5F" w14:textId="77777777" w:rsidR="001D2D10" w:rsidRPr="008A4B01" w:rsidRDefault="001D2D10" w:rsidP="008A4B01">
            <w:pPr>
              <w:spacing w:line="240" w:lineRule="auto"/>
              <w:ind w:firstLineChars="0" w:firstLine="0"/>
              <w:jc w:val="center"/>
              <w:rPr>
                <w:sz w:val="21"/>
                <w:szCs w:val="20"/>
              </w:rPr>
            </w:pPr>
            <w:r w:rsidRPr="008A4B01">
              <w:rPr>
                <w:sz w:val="21"/>
                <w:szCs w:val="20"/>
              </w:rPr>
              <w:t>str</w:t>
            </w:r>
          </w:p>
        </w:tc>
        <w:tc>
          <w:tcPr>
            <w:tcW w:w="1365" w:type="pct"/>
            <w:hideMark/>
          </w:tcPr>
          <w:p w14:paraId="2C6B1C6F" w14:textId="77777777" w:rsidR="001D2D10" w:rsidRPr="008A4B01" w:rsidRDefault="001D2D10" w:rsidP="008A4B01">
            <w:pPr>
              <w:spacing w:line="240" w:lineRule="auto"/>
              <w:ind w:firstLineChars="0" w:firstLine="0"/>
              <w:jc w:val="center"/>
              <w:rPr>
                <w:sz w:val="21"/>
                <w:szCs w:val="20"/>
              </w:rPr>
            </w:pPr>
            <w:r w:rsidRPr="008A4B01">
              <w:rPr>
                <w:sz w:val="21"/>
                <w:szCs w:val="20"/>
              </w:rPr>
              <w:t>投资策略和运作分析</w:t>
            </w:r>
          </w:p>
        </w:tc>
        <w:tc>
          <w:tcPr>
            <w:tcW w:w="1024" w:type="pct"/>
            <w:hideMark/>
          </w:tcPr>
          <w:p w14:paraId="242E9296" w14:textId="77777777" w:rsidR="001D2D10" w:rsidRPr="008A4B01" w:rsidRDefault="001D2D10" w:rsidP="008A4B01">
            <w:pPr>
              <w:spacing w:line="240" w:lineRule="auto"/>
              <w:ind w:firstLineChars="0" w:firstLine="0"/>
              <w:jc w:val="center"/>
              <w:rPr>
                <w:sz w:val="21"/>
                <w:szCs w:val="20"/>
              </w:rPr>
            </w:pPr>
            <w:r w:rsidRPr="008A4B01">
              <w:rPr>
                <w:sz w:val="21"/>
                <w:szCs w:val="20"/>
              </w:rPr>
              <w:t>管理人报告</w:t>
            </w:r>
          </w:p>
        </w:tc>
        <w:tc>
          <w:tcPr>
            <w:tcW w:w="1928" w:type="pct"/>
            <w:hideMark/>
          </w:tcPr>
          <w:p w14:paraId="29BA4A2D" w14:textId="77777777" w:rsidR="001D2D10" w:rsidRPr="008A4B01" w:rsidRDefault="001D2D10" w:rsidP="008A4B01">
            <w:pPr>
              <w:spacing w:line="240" w:lineRule="auto"/>
              <w:ind w:firstLineChars="0" w:firstLine="0"/>
              <w:jc w:val="center"/>
              <w:rPr>
                <w:sz w:val="21"/>
                <w:szCs w:val="20"/>
              </w:rPr>
            </w:pPr>
            <w:r w:rsidRPr="008A4B01">
              <w:rPr>
                <w:sz w:val="21"/>
                <w:szCs w:val="20"/>
              </w:rPr>
              <w:t>§4.4</w:t>
            </w:r>
          </w:p>
        </w:tc>
      </w:tr>
      <w:tr w:rsidR="001D2D10" w:rsidRPr="008A4B01" w14:paraId="315D7111" w14:textId="2683DF81" w:rsidTr="001D2D10">
        <w:tc>
          <w:tcPr>
            <w:tcW w:w="683" w:type="pct"/>
            <w:hideMark/>
          </w:tcPr>
          <w:p w14:paraId="056234B8" w14:textId="77777777" w:rsidR="001D2D10" w:rsidRPr="008A4B01" w:rsidRDefault="001D2D10" w:rsidP="008A4B01">
            <w:pPr>
              <w:spacing w:line="240" w:lineRule="auto"/>
              <w:ind w:firstLineChars="0" w:firstLine="0"/>
              <w:jc w:val="center"/>
              <w:rPr>
                <w:sz w:val="21"/>
                <w:szCs w:val="20"/>
              </w:rPr>
            </w:pPr>
            <w:r w:rsidRPr="008A4B01">
              <w:rPr>
                <w:sz w:val="21"/>
                <w:szCs w:val="20"/>
              </w:rPr>
              <w:t>str</w:t>
            </w:r>
          </w:p>
        </w:tc>
        <w:tc>
          <w:tcPr>
            <w:tcW w:w="1365" w:type="pct"/>
            <w:hideMark/>
          </w:tcPr>
          <w:p w14:paraId="238D36D6" w14:textId="77777777" w:rsidR="001D2D10" w:rsidRPr="008A4B01" w:rsidRDefault="001D2D10" w:rsidP="008A4B01">
            <w:pPr>
              <w:spacing w:line="240" w:lineRule="auto"/>
              <w:ind w:firstLineChars="0" w:firstLine="0"/>
              <w:jc w:val="center"/>
              <w:rPr>
                <w:sz w:val="21"/>
                <w:szCs w:val="20"/>
              </w:rPr>
            </w:pPr>
            <w:r w:rsidRPr="008A4B01">
              <w:rPr>
                <w:sz w:val="21"/>
                <w:szCs w:val="20"/>
              </w:rPr>
              <w:t>宏观经济展望</w:t>
            </w:r>
          </w:p>
        </w:tc>
        <w:tc>
          <w:tcPr>
            <w:tcW w:w="1024" w:type="pct"/>
            <w:hideMark/>
          </w:tcPr>
          <w:p w14:paraId="7B7D67DC" w14:textId="77777777" w:rsidR="001D2D10" w:rsidRPr="008A4B01" w:rsidRDefault="001D2D10" w:rsidP="008A4B01">
            <w:pPr>
              <w:spacing w:line="240" w:lineRule="auto"/>
              <w:ind w:firstLineChars="0" w:firstLine="0"/>
              <w:jc w:val="center"/>
              <w:rPr>
                <w:sz w:val="21"/>
                <w:szCs w:val="20"/>
              </w:rPr>
            </w:pPr>
            <w:r w:rsidRPr="008A4B01">
              <w:rPr>
                <w:sz w:val="21"/>
                <w:szCs w:val="20"/>
              </w:rPr>
              <w:t>与投资策略相同</w:t>
            </w:r>
          </w:p>
        </w:tc>
        <w:tc>
          <w:tcPr>
            <w:tcW w:w="1928" w:type="pct"/>
            <w:hideMark/>
          </w:tcPr>
          <w:p w14:paraId="15066500" w14:textId="66DC5D98" w:rsidR="001D2D10" w:rsidRPr="008A4B01" w:rsidRDefault="001D2D10" w:rsidP="008A4B01">
            <w:pPr>
              <w:spacing w:line="240" w:lineRule="auto"/>
              <w:ind w:firstLineChars="0" w:firstLine="0"/>
              <w:jc w:val="center"/>
              <w:rPr>
                <w:sz w:val="21"/>
                <w:szCs w:val="20"/>
              </w:rPr>
            </w:pPr>
            <w:r w:rsidRPr="001D2D10">
              <w:rPr>
                <w:sz w:val="21"/>
                <w:szCs w:val="20"/>
              </w:rPr>
              <w:t>§4.5</w:t>
            </w:r>
            <w:r>
              <w:rPr>
                <w:rFonts w:hint="eastAsia"/>
                <w:sz w:val="21"/>
                <w:szCs w:val="20"/>
              </w:rPr>
              <w:t>（年</w:t>
            </w:r>
            <w:r>
              <w:rPr>
                <w:rFonts w:hint="eastAsia"/>
                <w:sz w:val="21"/>
                <w:szCs w:val="20"/>
              </w:rPr>
              <w:t>/</w:t>
            </w:r>
            <w:r>
              <w:rPr>
                <w:rFonts w:hint="eastAsia"/>
                <w:sz w:val="21"/>
                <w:szCs w:val="20"/>
              </w:rPr>
              <w:t>中）</w:t>
            </w:r>
          </w:p>
        </w:tc>
      </w:tr>
      <w:tr w:rsidR="001D2D10" w:rsidRPr="008A4B01" w14:paraId="1097F1FB" w14:textId="34CB8FBB" w:rsidTr="001D2D10">
        <w:tc>
          <w:tcPr>
            <w:tcW w:w="683" w:type="pct"/>
            <w:hideMark/>
          </w:tcPr>
          <w:p w14:paraId="4292004B" w14:textId="77777777" w:rsidR="001D2D10" w:rsidRPr="008A4B01" w:rsidRDefault="001D2D10" w:rsidP="008A4B01">
            <w:pPr>
              <w:spacing w:line="240" w:lineRule="auto"/>
              <w:ind w:firstLineChars="0" w:firstLine="0"/>
              <w:jc w:val="center"/>
              <w:rPr>
                <w:sz w:val="21"/>
                <w:szCs w:val="20"/>
              </w:rPr>
            </w:pPr>
            <w:r w:rsidRPr="008A4B01">
              <w:rPr>
                <w:sz w:val="21"/>
                <w:szCs w:val="20"/>
              </w:rPr>
              <w:t>str</w:t>
            </w:r>
          </w:p>
        </w:tc>
        <w:tc>
          <w:tcPr>
            <w:tcW w:w="1365" w:type="pct"/>
            <w:hideMark/>
          </w:tcPr>
          <w:p w14:paraId="7622240B" w14:textId="77777777" w:rsidR="001D2D10" w:rsidRPr="008A4B01" w:rsidRDefault="001D2D10" w:rsidP="008A4B01">
            <w:pPr>
              <w:spacing w:line="240" w:lineRule="auto"/>
              <w:ind w:firstLineChars="0" w:firstLine="0"/>
              <w:jc w:val="center"/>
              <w:rPr>
                <w:sz w:val="21"/>
                <w:szCs w:val="20"/>
              </w:rPr>
            </w:pPr>
            <w:r w:rsidRPr="008A4B01">
              <w:rPr>
                <w:sz w:val="21"/>
                <w:szCs w:val="20"/>
              </w:rPr>
              <w:t>大类资产配置比例</w:t>
            </w:r>
          </w:p>
        </w:tc>
        <w:tc>
          <w:tcPr>
            <w:tcW w:w="1024" w:type="pct"/>
            <w:hideMark/>
          </w:tcPr>
          <w:p w14:paraId="16CDC24B" w14:textId="77777777" w:rsidR="001D2D10" w:rsidRPr="008A4B01" w:rsidRDefault="001D2D10" w:rsidP="008A4B01">
            <w:pPr>
              <w:spacing w:line="240" w:lineRule="auto"/>
              <w:ind w:firstLineChars="0" w:firstLine="0"/>
              <w:jc w:val="center"/>
              <w:rPr>
                <w:sz w:val="21"/>
                <w:szCs w:val="20"/>
              </w:rPr>
            </w:pPr>
            <w:r w:rsidRPr="008A4B01">
              <w:rPr>
                <w:sz w:val="21"/>
                <w:szCs w:val="20"/>
              </w:rPr>
              <w:t>投资组合报告</w:t>
            </w:r>
          </w:p>
        </w:tc>
        <w:tc>
          <w:tcPr>
            <w:tcW w:w="1928" w:type="pct"/>
            <w:hideMark/>
          </w:tcPr>
          <w:p w14:paraId="6EA37A4E" w14:textId="193DFFFC" w:rsidR="001D2D10" w:rsidRPr="008A4B01" w:rsidRDefault="001D2D10" w:rsidP="008A4B01">
            <w:pPr>
              <w:spacing w:line="240" w:lineRule="auto"/>
              <w:ind w:firstLineChars="0" w:firstLine="0"/>
              <w:jc w:val="center"/>
              <w:rPr>
                <w:sz w:val="21"/>
                <w:szCs w:val="20"/>
              </w:rPr>
            </w:pPr>
            <w:r w:rsidRPr="008A4B01">
              <w:rPr>
                <w:sz w:val="21"/>
                <w:szCs w:val="20"/>
              </w:rPr>
              <w:t>§5.1</w:t>
            </w:r>
            <w:r>
              <w:rPr>
                <w:rFonts w:hint="eastAsia"/>
                <w:sz w:val="21"/>
                <w:szCs w:val="20"/>
              </w:rPr>
              <w:t>（季）</w:t>
            </w:r>
            <w:r>
              <w:rPr>
                <w:rFonts w:hint="eastAsia"/>
                <w:sz w:val="21"/>
                <w:szCs w:val="20"/>
              </w:rPr>
              <w:t>/</w:t>
            </w:r>
            <w:r w:rsidRPr="001D2D10">
              <w:rPr>
                <w:sz w:val="21"/>
                <w:szCs w:val="20"/>
              </w:rPr>
              <w:t>§7.1</w:t>
            </w:r>
            <w:r>
              <w:rPr>
                <w:rFonts w:hint="eastAsia"/>
                <w:sz w:val="21"/>
                <w:szCs w:val="20"/>
              </w:rPr>
              <w:t>（年）</w:t>
            </w:r>
            <w:r>
              <w:rPr>
                <w:rFonts w:hint="eastAsia"/>
                <w:sz w:val="21"/>
                <w:szCs w:val="20"/>
              </w:rPr>
              <w:t>/</w:t>
            </w:r>
            <w:r w:rsidRPr="001D2D10">
              <w:rPr>
                <w:sz w:val="21"/>
                <w:szCs w:val="20"/>
              </w:rPr>
              <w:t>§8.1</w:t>
            </w:r>
            <w:r>
              <w:rPr>
                <w:rFonts w:hint="eastAsia"/>
                <w:sz w:val="21"/>
                <w:szCs w:val="20"/>
              </w:rPr>
              <w:t>（中）</w:t>
            </w:r>
          </w:p>
        </w:tc>
      </w:tr>
      <w:tr w:rsidR="001D2D10" w:rsidRPr="008A4B01" w14:paraId="54995529" w14:textId="757B7F02" w:rsidTr="001D2D10">
        <w:tc>
          <w:tcPr>
            <w:tcW w:w="683" w:type="pct"/>
            <w:hideMark/>
          </w:tcPr>
          <w:p w14:paraId="7B40C320" w14:textId="77777777" w:rsidR="001D2D10" w:rsidRPr="008A4B01" w:rsidRDefault="001D2D10" w:rsidP="008A4B01">
            <w:pPr>
              <w:spacing w:line="240" w:lineRule="auto"/>
              <w:ind w:firstLineChars="0" w:firstLine="0"/>
              <w:jc w:val="center"/>
              <w:rPr>
                <w:sz w:val="21"/>
                <w:szCs w:val="20"/>
              </w:rPr>
            </w:pPr>
            <w:r w:rsidRPr="008A4B01">
              <w:rPr>
                <w:sz w:val="21"/>
                <w:szCs w:val="20"/>
              </w:rPr>
              <w:t>str</w:t>
            </w:r>
          </w:p>
        </w:tc>
        <w:tc>
          <w:tcPr>
            <w:tcW w:w="1365" w:type="pct"/>
            <w:hideMark/>
          </w:tcPr>
          <w:p w14:paraId="7E8AAF43" w14:textId="77777777" w:rsidR="001D2D10" w:rsidRPr="008A4B01" w:rsidRDefault="001D2D10" w:rsidP="008A4B01">
            <w:pPr>
              <w:spacing w:line="240" w:lineRule="auto"/>
              <w:ind w:firstLineChars="0" w:firstLine="0"/>
              <w:jc w:val="center"/>
              <w:rPr>
                <w:sz w:val="21"/>
                <w:szCs w:val="20"/>
              </w:rPr>
            </w:pPr>
            <w:r w:rsidRPr="008A4B01">
              <w:rPr>
                <w:sz w:val="21"/>
                <w:szCs w:val="20"/>
              </w:rPr>
              <w:t>行业分类股票投资组合</w:t>
            </w:r>
          </w:p>
        </w:tc>
        <w:tc>
          <w:tcPr>
            <w:tcW w:w="1024" w:type="pct"/>
            <w:hideMark/>
          </w:tcPr>
          <w:p w14:paraId="29729B4C" w14:textId="77777777" w:rsidR="001D2D10" w:rsidRPr="008A4B01" w:rsidRDefault="001D2D10" w:rsidP="008A4B01">
            <w:pPr>
              <w:spacing w:line="240" w:lineRule="auto"/>
              <w:ind w:firstLineChars="0" w:firstLine="0"/>
              <w:jc w:val="center"/>
              <w:rPr>
                <w:sz w:val="21"/>
                <w:szCs w:val="20"/>
              </w:rPr>
            </w:pPr>
            <w:r w:rsidRPr="008A4B01">
              <w:rPr>
                <w:sz w:val="21"/>
                <w:szCs w:val="20"/>
              </w:rPr>
              <w:t>投资组合报告</w:t>
            </w:r>
          </w:p>
        </w:tc>
        <w:tc>
          <w:tcPr>
            <w:tcW w:w="1928" w:type="pct"/>
            <w:hideMark/>
          </w:tcPr>
          <w:p w14:paraId="2CBC7320" w14:textId="528163E7" w:rsidR="001D2D10" w:rsidRPr="008A4B01" w:rsidRDefault="001D2D10" w:rsidP="008A4B01">
            <w:pPr>
              <w:spacing w:line="240" w:lineRule="auto"/>
              <w:ind w:firstLineChars="0" w:firstLine="0"/>
              <w:jc w:val="center"/>
              <w:rPr>
                <w:sz w:val="21"/>
                <w:szCs w:val="20"/>
              </w:rPr>
            </w:pPr>
            <w:r w:rsidRPr="008A4B01">
              <w:rPr>
                <w:sz w:val="21"/>
                <w:szCs w:val="20"/>
              </w:rPr>
              <w:t>§5.2</w:t>
            </w:r>
            <w:r w:rsidRPr="001D2D10">
              <w:rPr>
                <w:sz w:val="21"/>
                <w:szCs w:val="20"/>
              </w:rPr>
              <w:t>（</w:t>
            </w:r>
            <w:r w:rsidRPr="001D2D10">
              <w:rPr>
                <w:rFonts w:hint="eastAsia"/>
                <w:sz w:val="21"/>
                <w:szCs w:val="20"/>
              </w:rPr>
              <w:t>季</w:t>
            </w:r>
            <w:r w:rsidRPr="001D2D10">
              <w:rPr>
                <w:sz w:val="21"/>
                <w:szCs w:val="20"/>
              </w:rPr>
              <w:t>）</w:t>
            </w:r>
            <w:r w:rsidRPr="001D2D10">
              <w:rPr>
                <w:rFonts w:hint="eastAsia"/>
                <w:sz w:val="21"/>
                <w:szCs w:val="20"/>
              </w:rPr>
              <w:t>/</w:t>
            </w:r>
            <w:r w:rsidRPr="001D2D10">
              <w:rPr>
                <w:sz w:val="21"/>
                <w:szCs w:val="20"/>
              </w:rPr>
              <w:t>§7.</w:t>
            </w:r>
            <w:r>
              <w:rPr>
                <w:rFonts w:hint="eastAsia"/>
                <w:sz w:val="21"/>
                <w:szCs w:val="20"/>
              </w:rPr>
              <w:t>2</w:t>
            </w:r>
            <w:r w:rsidRPr="001D2D10">
              <w:rPr>
                <w:sz w:val="21"/>
                <w:szCs w:val="20"/>
              </w:rPr>
              <w:t>（</w:t>
            </w:r>
            <w:r w:rsidRPr="001D2D10">
              <w:rPr>
                <w:rFonts w:hint="eastAsia"/>
                <w:sz w:val="21"/>
                <w:szCs w:val="20"/>
              </w:rPr>
              <w:t>年</w:t>
            </w:r>
            <w:r w:rsidRPr="001D2D10">
              <w:rPr>
                <w:sz w:val="21"/>
                <w:szCs w:val="20"/>
              </w:rPr>
              <w:t>）</w:t>
            </w:r>
            <w:r w:rsidRPr="001D2D10">
              <w:rPr>
                <w:rFonts w:hint="eastAsia"/>
                <w:sz w:val="21"/>
                <w:szCs w:val="20"/>
              </w:rPr>
              <w:t>/</w:t>
            </w:r>
            <w:r w:rsidRPr="001D2D10">
              <w:rPr>
                <w:sz w:val="21"/>
                <w:szCs w:val="20"/>
              </w:rPr>
              <w:t>§8.</w:t>
            </w:r>
            <w:r>
              <w:rPr>
                <w:rFonts w:hint="eastAsia"/>
                <w:sz w:val="21"/>
                <w:szCs w:val="20"/>
              </w:rPr>
              <w:t>2</w:t>
            </w:r>
            <w:r w:rsidRPr="001D2D10">
              <w:rPr>
                <w:sz w:val="21"/>
                <w:szCs w:val="20"/>
              </w:rPr>
              <w:t>（</w:t>
            </w:r>
            <w:r w:rsidRPr="001D2D10">
              <w:rPr>
                <w:rFonts w:hint="eastAsia"/>
                <w:sz w:val="21"/>
                <w:szCs w:val="20"/>
              </w:rPr>
              <w:t>中</w:t>
            </w:r>
            <w:r w:rsidRPr="001D2D10">
              <w:rPr>
                <w:sz w:val="21"/>
                <w:szCs w:val="20"/>
              </w:rPr>
              <w:t>）</w:t>
            </w:r>
          </w:p>
        </w:tc>
      </w:tr>
      <w:tr w:rsidR="001D2D10" w:rsidRPr="008A4B01" w14:paraId="3E8CDFD5" w14:textId="10C26328" w:rsidTr="001D2D10">
        <w:tc>
          <w:tcPr>
            <w:tcW w:w="683" w:type="pct"/>
            <w:hideMark/>
          </w:tcPr>
          <w:p w14:paraId="4F9CED50" w14:textId="77777777" w:rsidR="001D2D10" w:rsidRPr="008A4B01" w:rsidRDefault="001D2D10" w:rsidP="008A4B01">
            <w:pPr>
              <w:spacing w:line="240" w:lineRule="auto"/>
              <w:ind w:firstLineChars="0" w:firstLine="0"/>
              <w:jc w:val="center"/>
              <w:rPr>
                <w:sz w:val="21"/>
                <w:szCs w:val="20"/>
              </w:rPr>
            </w:pPr>
            <w:r w:rsidRPr="008A4B01">
              <w:rPr>
                <w:sz w:val="21"/>
                <w:szCs w:val="20"/>
              </w:rPr>
              <w:t>str</w:t>
            </w:r>
          </w:p>
        </w:tc>
        <w:tc>
          <w:tcPr>
            <w:tcW w:w="1365" w:type="pct"/>
            <w:hideMark/>
          </w:tcPr>
          <w:p w14:paraId="5248E2DD" w14:textId="77777777" w:rsidR="001D2D10" w:rsidRPr="008A4B01" w:rsidRDefault="001D2D10" w:rsidP="008A4B01">
            <w:pPr>
              <w:spacing w:line="240" w:lineRule="auto"/>
              <w:ind w:firstLineChars="0" w:firstLine="0"/>
              <w:jc w:val="center"/>
              <w:rPr>
                <w:sz w:val="21"/>
                <w:szCs w:val="20"/>
              </w:rPr>
            </w:pPr>
            <w:r w:rsidRPr="008A4B01">
              <w:rPr>
                <w:sz w:val="21"/>
                <w:szCs w:val="20"/>
              </w:rPr>
              <w:t>债券品种分类</w:t>
            </w:r>
          </w:p>
        </w:tc>
        <w:tc>
          <w:tcPr>
            <w:tcW w:w="1024" w:type="pct"/>
            <w:hideMark/>
          </w:tcPr>
          <w:p w14:paraId="51341917" w14:textId="77777777" w:rsidR="001D2D10" w:rsidRPr="008A4B01" w:rsidRDefault="001D2D10" w:rsidP="008A4B01">
            <w:pPr>
              <w:spacing w:line="240" w:lineRule="auto"/>
              <w:ind w:firstLineChars="0" w:firstLine="0"/>
              <w:jc w:val="center"/>
              <w:rPr>
                <w:sz w:val="21"/>
                <w:szCs w:val="20"/>
              </w:rPr>
            </w:pPr>
            <w:r w:rsidRPr="008A4B01">
              <w:rPr>
                <w:sz w:val="21"/>
                <w:szCs w:val="20"/>
              </w:rPr>
              <w:t>投资组合报告</w:t>
            </w:r>
          </w:p>
        </w:tc>
        <w:tc>
          <w:tcPr>
            <w:tcW w:w="1928" w:type="pct"/>
            <w:hideMark/>
          </w:tcPr>
          <w:p w14:paraId="56B37B45" w14:textId="03FDC4A9" w:rsidR="001D2D10" w:rsidRPr="008A4B01" w:rsidRDefault="001D2D10" w:rsidP="008A4B01">
            <w:pPr>
              <w:spacing w:line="240" w:lineRule="auto"/>
              <w:ind w:firstLineChars="0" w:firstLine="0"/>
              <w:jc w:val="center"/>
              <w:rPr>
                <w:sz w:val="21"/>
                <w:szCs w:val="20"/>
              </w:rPr>
            </w:pPr>
            <w:r w:rsidRPr="008A4B01">
              <w:rPr>
                <w:sz w:val="21"/>
                <w:szCs w:val="20"/>
              </w:rPr>
              <w:t>§5.4</w:t>
            </w:r>
            <w:r w:rsidRPr="001D2D10">
              <w:rPr>
                <w:sz w:val="21"/>
                <w:szCs w:val="20"/>
              </w:rPr>
              <w:t>（</w:t>
            </w:r>
            <w:r w:rsidRPr="001D2D10">
              <w:rPr>
                <w:rFonts w:hint="eastAsia"/>
                <w:sz w:val="21"/>
                <w:szCs w:val="20"/>
              </w:rPr>
              <w:t>季</w:t>
            </w:r>
            <w:r w:rsidRPr="001D2D10">
              <w:rPr>
                <w:sz w:val="21"/>
                <w:szCs w:val="20"/>
              </w:rPr>
              <w:t>）</w:t>
            </w:r>
            <w:r w:rsidRPr="001D2D10">
              <w:rPr>
                <w:rFonts w:hint="eastAsia"/>
                <w:sz w:val="21"/>
                <w:szCs w:val="20"/>
              </w:rPr>
              <w:t>/</w:t>
            </w:r>
            <w:r w:rsidRPr="001D2D10">
              <w:rPr>
                <w:sz w:val="21"/>
                <w:szCs w:val="20"/>
              </w:rPr>
              <w:t>§7.</w:t>
            </w:r>
            <w:r>
              <w:rPr>
                <w:rFonts w:hint="eastAsia"/>
                <w:sz w:val="21"/>
                <w:szCs w:val="20"/>
              </w:rPr>
              <w:t>4</w:t>
            </w:r>
            <w:r w:rsidRPr="001D2D10">
              <w:rPr>
                <w:sz w:val="21"/>
                <w:szCs w:val="20"/>
              </w:rPr>
              <w:t>（</w:t>
            </w:r>
            <w:r w:rsidRPr="001D2D10">
              <w:rPr>
                <w:rFonts w:hint="eastAsia"/>
                <w:sz w:val="21"/>
                <w:szCs w:val="20"/>
              </w:rPr>
              <w:t>年</w:t>
            </w:r>
            <w:r w:rsidRPr="001D2D10">
              <w:rPr>
                <w:sz w:val="21"/>
                <w:szCs w:val="20"/>
              </w:rPr>
              <w:t>）</w:t>
            </w:r>
            <w:r w:rsidRPr="001D2D10">
              <w:rPr>
                <w:rFonts w:hint="eastAsia"/>
                <w:sz w:val="21"/>
                <w:szCs w:val="20"/>
              </w:rPr>
              <w:t>/</w:t>
            </w:r>
            <w:r w:rsidRPr="001D2D10">
              <w:rPr>
                <w:sz w:val="21"/>
                <w:szCs w:val="20"/>
              </w:rPr>
              <w:t>§8.</w:t>
            </w:r>
            <w:r>
              <w:rPr>
                <w:rFonts w:hint="eastAsia"/>
                <w:sz w:val="21"/>
                <w:szCs w:val="20"/>
              </w:rPr>
              <w:t>4</w:t>
            </w:r>
            <w:r w:rsidRPr="001D2D10">
              <w:rPr>
                <w:sz w:val="21"/>
                <w:szCs w:val="20"/>
              </w:rPr>
              <w:t>（</w:t>
            </w:r>
            <w:r w:rsidRPr="001D2D10">
              <w:rPr>
                <w:rFonts w:hint="eastAsia"/>
                <w:sz w:val="21"/>
                <w:szCs w:val="20"/>
              </w:rPr>
              <w:t>中</w:t>
            </w:r>
            <w:r w:rsidRPr="001D2D10">
              <w:rPr>
                <w:sz w:val="21"/>
                <w:szCs w:val="20"/>
              </w:rPr>
              <w:t>）</w:t>
            </w:r>
          </w:p>
        </w:tc>
      </w:tr>
      <w:tr w:rsidR="001D2D10" w:rsidRPr="008A4B01" w14:paraId="75F4A5BF" w14:textId="40AF9B40" w:rsidTr="001D2D10">
        <w:tc>
          <w:tcPr>
            <w:tcW w:w="683" w:type="pct"/>
            <w:hideMark/>
          </w:tcPr>
          <w:p w14:paraId="1B903824" w14:textId="77777777" w:rsidR="001D2D10" w:rsidRPr="008A4B01" w:rsidRDefault="001D2D10" w:rsidP="008A4B01">
            <w:pPr>
              <w:spacing w:line="240" w:lineRule="auto"/>
              <w:ind w:firstLineChars="0" w:firstLine="0"/>
              <w:jc w:val="center"/>
              <w:rPr>
                <w:sz w:val="21"/>
                <w:szCs w:val="20"/>
              </w:rPr>
            </w:pPr>
            <w:r w:rsidRPr="008A4B01">
              <w:rPr>
                <w:sz w:val="21"/>
                <w:szCs w:val="20"/>
              </w:rPr>
              <w:t>str</w:t>
            </w:r>
          </w:p>
        </w:tc>
        <w:tc>
          <w:tcPr>
            <w:tcW w:w="1365" w:type="pct"/>
            <w:hideMark/>
          </w:tcPr>
          <w:p w14:paraId="06C68AEF" w14:textId="77777777" w:rsidR="001D2D10" w:rsidRPr="008A4B01" w:rsidRDefault="001D2D10" w:rsidP="008A4B01">
            <w:pPr>
              <w:spacing w:line="240" w:lineRule="auto"/>
              <w:ind w:firstLineChars="0" w:firstLine="0"/>
              <w:jc w:val="center"/>
              <w:rPr>
                <w:sz w:val="21"/>
                <w:szCs w:val="20"/>
              </w:rPr>
            </w:pPr>
            <w:r w:rsidRPr="008A4B01">
              <w:rPr>
                <w:sz w:val="21"/>
                <w:szCs w:val="20"/>
              </w:rPr>
              <w:t>前五名债券投资明细</w:t>
            </w:r>
          </w:p>
        </w:tc>
        <w:tc>
          <w:tcPr>
            <w:tcW w:w="1024" w:type="pct"/>
            <w:hideMark/>
          </w:tcPr>
          <w:p w14:paraId="09CC9BBD" w14:textId="77777777" w:rsidR="001D2D10" w:rsidRPr="008A4B01" w:rsidRDefault="001D2D10" w:rsidP="008A4B01">
            <w:pPr>
              <w:spacing w:line="240" w:lineRule="auto"/>
              <w:ind w:firstLineChars="0" w:firstLine="0"/>
              <w:jc w:val="center"/>
              <w:rPr>
                <w:sz w:val="21"/>
                <w:szCs w:val="20"/>
              </w:rPr>
            </w:pPr>
            <w:r w:rsidRPr="008A4B01">
              <w:rPr>
                <w:sz w:val="21"/>
                <w:szCs w:val="20"/>
              </w:rPr>
              <w:t>投资组合报告</w:t>
            </w:r>
          </w:p>
        </w:tc>
        <w:tc>
          <w:tcPr>
            <w:tcW w:w="1928" w:type="pct"/>
            <w:hideMark/>
          </w:tcPr>
          <w:p w14:paraId="097F5BE2" w14:textId="20789436" w:rsidR="001D2D10" w:rsidRPr="008A4B01" w:rsidRDefault="001D2D10" w:rsidP="008A4B01">
            <w:pPr>
              <w:spacing w:line="240" w:lineRule="auto"/>
              <w:ind w:firstLineChars="0" w:firstLine="0"/>
              <w:jc w:val="center"/>
              <w:rPr>
                <w:sz w:val="21"/>
                <w:szCs w:val="20"/>
              </w:rPr>
            </w:pPr>
            <w:r w:rsidRPr="008A4B01">
              <w:rPr>
                <w:sz w:val="21"/>
                <w:szCs w:val="20"/>
              </w:rPr>
              <w:t>§5.5</w:t>
            </w:r>
            <w:r w:rsidRPr="001D2D10">
              <w:rPr>
                <w:sz w:val="21"/>
                <w:szCs w:val="20"/>
              </w:rPr>
              <w:t>（</w:t>
            </w:r>
            <w:r w:rsidRPr="001D2D10">
              <w:rPr>
                <w:rFonts w:hint="eastAsia"/>
                <w:sz w:val="21"/>
                <w:szCs w:val="20"/>
              </w:rPr>
              <w:t>季</w:t>
            </w:r>
            <w:r w:rsidRPr="001D2D10">
              <w:rPr>
                <w:sz w:val="21"/>
                <w:szCs w:val="20"/>
              </w:rPr>
              <w:t>）</w:t>
            </w:r>
            <w:r w:rsidRPr="001D2D10">
              <w:rPr>
                <w:rFonts w:hint="eastAsia"/>
                <w:sz w:val="21"/>
                <w:szCs w:val="20"/>
              </w:rPr>
              <w:t>/</w:t>
            </w:r>
            <w:r w:rsidRPr="001D2D10">
              <w:rPr>
                <w:sz w:val="21"/>
                <w:szCs w:val="20"/>
              </w:rPr>
              <w:t>§7.</w:t>
            </w:r>
            <w:r>
              <w:rPr>
                <w:rFonts w:hint="eastAsia"/>
                <w:sz w:val="21"/>
                <w:szCs w:val="20"/>
              </w:rPr>
              <w:t>5</w:t>
            </w:r>
            <w:r w:rsidRPr="001D2D10">
              <w:rPr>
                <w:sz w:val="21"/>
                <w:szCs w:val="20"/>
              </w:rPr>
              <w:t>（</w:t>
            </w:r>
            <w:r w:rsidRPr="001D2D10">
              <w:rPr>
                <w:rFonts w:hint="eastAsia"/>
                <w:sz w:val="21"/>
                <w:szCs w:val="20"/>
              </w:rPr>
              <w:t>年</w:t>
            </w:r>
            <w:r w:rsidRPr="001D2D10">
              <w:rPr>
                <w:sz w:val="21"/>
                <w:szCs w:val="20"/>
              </w:rPr>
              <w:t>）</w:t>
            </w:r>
            <w:r w:rsidRPr="001D2D10">
              <w:rPr>
                <w:rFonts w:hint="eastAsia"/>
                <w:sz w:val="21"/>
                <w:szCs w:val="20"/>
              </w:rPr>
              <w:t>/</w:t>
            </w:r>
            <w:r w:rsidRPr="001D2D10">
              <w:rPr>
                <w:sz w:val="21"/>
                <w:szCs w:val="20"/>
              </w:rPr>
              <w:t>§8.</w:t>
            </w:r>
            <w:r>
              <w:rPr>
                <w:rFonts w:hint="eastAsia"/>
                <w:sz w:val="21"/>
                <w:szCs w:val="20"/>
              </w:rPr>
              <w:t>5</w:t>
            </w:r>
            <w:r w:rsidRPr="001D2D10">
              <w:rPr>
                <w:sz w:val="21"/>
                <w:szCs w:val="20"/>
              </w:rPr>
              <w:t>（</w:t>
            </w:r>
            <w:r w:rsidRPr="001D2D10">
              <w:rPr>
                <w:rFonts w:hint="eastAsia"/>
                <w:sz w:val="21"/>
                <w:szCs w:val="20"/>
              </w:rPr>
              <w:t>中</w:t>
            </w:r>
            <w:r w:rsidRPr="001D2D10">
              <w:rPr>
                <w:sz w:val="21"/>
                <w:szCs w:val="20"/>
              </w:rPr>
              <w:t>）</w:t>
            </w:r>
          </w:p>
        </w:tc>
      </w:tr>
      <w:tr w:rsidR="001D2D10" w:rsidRPr="008A4B01" w14:paraId="5FDB4C60" w14:textId="5C91D569" w:rsidTr="001D2D10">
        <w:tc>
          <w:tcPr>
            <w:tcW w:w="683" w:type="pct"/>
            <w:hideMark/>
          </w:tcPr>
          <w:p w14:paraId="78DA6F9B" w14:textId="77777777" w:rsidR="001D2D10" w:rsidRPr="008A4B01" w:rsidRDefault="001D2D10" w:rsidP="008A4B01">
            <w:pPr>
              <w:spacing w:line="240" w:lineRule="auto"/>
              <w:ind w:firstLineChars="0" w:firstLine="0"/>
              <w:jc w:val="center"/>
              <w:rPr>
                <w:sz w:val="21"/>
                <w:szCs w:val="20"/>
              </w:rPr>
            </w:pPr>
            <w:r w:rsidRPr="008A4B01">
              <w:rPr>
                <w:sz w:val="21"/>
                <w:szCs w:val="20"/>
              </w:rPr>
              <w:t>Dict</w:t>
            </w:r>
          </w:p>
        </w:tc>
        <w:tc>
          <w:tcPr>
            <w:tcW w:w="1365" w:type="pct"/>
            <w:hideMark/>
          </w:tcPr>
          <w:p w14:paraId="6EF87C5A" w14:textId="77777777" w:rsidR="001D2D10" w:rsidRPr="008A4B01" w:rsidRDefault="001D2D10" w:rsidP="008A4B01">
            <w:pPr>
              <w:spacing w:line="240" w:lineRule="auto"/>
              <w:ind w:firstLineChars="0" w:firstLine="0"/>
              <w:jc w:val="center"/>
              <w:rPr>
                <w:sz w:val="21"/>
                <w:szCs w:val="20"/>
              </w:rPr>
            </w:pPr>
            <w:r w:rsidRPr="008A4B01">
              <w:rPr>
                <w:sz w:val="21"/>
                <w:szCs w:val="20"/>
              </w:rPr>
              <w:t>业绩指标</w:t>
            </w:r>
          </w:p>
        </w:tc>
        <w:tc>
          <w:tcPr>
            <w:tcW w:w="1024" w:type="pct"/>
            <w:hideMark/>
          </w:tcPr>
          <w:p w14:paraId="4DC76A07" w14:textId="77777777" w:rsidR="001D2D10" w:rsidRPr="008A4B01" w:rsidRDefault="001D2D10" w:rsidP="008A4B01">
            <w:pPr>
              <w:spacing w:line="240" w:lineRule="auto"/>
              <w:ind w:firstLineChars="0" w:firstLine="0"/>
              <w:jc w:val="center"/>
              <w:rPr>
                <w:sz w:val="21"/>
                <w:szCs w:val="20"/>
              </w:rPr>
            </w:pPr>
            <w:r w:rsidRPr="008A4B01">
              <w:rPr>
                <w:sz w:val="21"/>
                <w:szCs w:val="20"/>
              </w:rPr>
              <w:t>主要财务指标</w:t>
            </w:r>
          </w:p>
        </w:tc>
        <w:tc>
          <w:tcPr>
            <w:tcW w:w="1928" w:type="pct"/>
            <w:hideMark/>
          </w:tcPr>
          <w:p w14:paraId="763B6695" w14:textId="77777777" w:rsidR="001D2D10" w:rsidRPr="008A4B01" w:rsidRDefault="001D2D10" w:rsidP="008A4B01">
            <w:pPr>
              <w:spacing w:line="240" w:lineRule="auto"/>
              <w:ind w:firstLineChars="0" w:firstLine="0"/>
              <w:jc w:val="center"/>
              <w:rPr>
                <w:sz w:val="21"/>
                <w:szCs w:val="20"/>
              </w:rPr>
            </w:pPr>
            <w:r w:rsidRPr="008A4B01">
              <w:rPr>
                <w:sz w:val="21"/>
                <w:szCs w:val="20"/>
              </w:rPr>
              <w:t>§3</w:t>
            </w:r>
          </w:p>
        </w:tc>
      </w:tr>
    </w:tbl>
    <w:p w14:paraId="1F6AAF31" w14:textId="299D1088" w:rsidR="00120A87" w:rsidRDefault="00E75B1C" w:rsidP="00E75B1C">
      <w:pPr>
        <w:pStyle w:val="2"/>
        <w:ind w:firstLine="532"/>
      </w:pPr>
      <w:r>
        <w:rPr>
          <w:rFonts w:hint="eastAsia"/>
        </w:rPr>
        <w:t>2.3</w:t>
      </w:r>
      <w:r>
        <w:rPr>
          <w:rFonts w:hint="eastAsia"/>
        </w:rPr>
        <w:t>大模型</w:t>
      </w:r>
      <w:r w:rsidR="001F433D">
        <w:rPr>
          <w:rFonts w:hint="eastAsia"/>
        </w:rPr>
        <w:t>设置</w:t>
      </w:r>
    </w:p>
    <w:p w14:paraId="0094CFD1" w14:textId="00BBA897" w:rsidR="00FC5AE6" w:rsidRDefault="00AB29DB" w:rsidP="00E75B1C">
      <w:r w:rsidRPr="00AB29DB">
        <w:t>本研究选用</w:t>
      </w:r>
      <w:r w:rsidRPr="00AB29DB">
        <w:t xml:space="preserve"> DeepSeek-V3.2 </w:t>
      </w:r>
      <w:r w:rsidRPr="00AB29DB">
        <w:t>作为底层大语言模型分析引擎，并通过精细化的提示词工程（</w:t>
      </w:r>
      <w:r w:rsidRPr="00AB29DB">
        <w:t>Prompt Engineering</w:t>
      </w:r>
      <w:r w:rsidRPr="00AB29DB">
        <w:t>）引导模型输出结构化、高精度的分析结果。在技术实现层面，系统通过</w:t>
      </w:r>
      <w:r w:rsidRPr="00AB29DB">
        <w:t xml:space="preserve"> OpenAI </w:t>
      </w:r>
      <w:r w:rsidRPr="00AB29DB">
        <w:t>兼容接口调用</w:t>
      </w:r>
      <w:r w:rsidRPr="00AB29DB">
        <w:t xml:space="preserve"> DeepSeek API</w:t>
      </w:r>
      <w:r w:rsidRPr="00AB29DB">
        <w:t>。为保证分析结果的专业性与稳定性，对模型超参数进行了针对性配置：将</w:t>
      </w:r>
      <w:r w:rsidRPr="00AB29DB">
        <w:t> temperature </w:t>
      </w:r>
      <w:r w:rsidRPr="00AB29DB">
        <w:t>参数设置为</w:t>
      </w:r>
      <w:r w:rsidRPr="00AB29DB">
        <w:t xml:space="preserve"> 0.3</w:t>
      </w:r>
      <w:r w:rsidR="009E33ED">
        <w:rPr>
          <w:rStyle w:val="af4"/>
        </w:rPr>
        <w:footnoteReference w:id="3"/>
      </w:r>
      <w:r w:rsidRPr="00AB29DB">
        <w:t>，旨在降低模型输出的随机性，确保对金融文本语义理解的确定性与一致性</w:t>
      </w:r>
      <w:r>
        <w:rPr>
          <w:rFonts w:hint="eastAsia"/>
        </w:rPr>
        <w:t>。</w:t>
      </w:r>
    </w:p>
    <w:p w14:paraId="053A31FF" w14:textId="3FFD3468" w:rsidR="00D647CC" w:rsidRDefault="00D647CC" w:rsidP="00D647CC">
      <w:pPr>
        <w:pStyle w:val="2"/>
        <w:ind w:firstLine="532"/>
      </w:pPr>
      <w:r>
        <w:rPr>
          <w:rFonts w:hint="eastAsia"/>
        </w:rPr>
        <w:lastRenderedPageBreak/>
        <w:t>2.4</w:t>
      </w:r>
      <w:r w:rsidRPr="00D647CC">
        <w:rPr>
          <w:rFonts w:hint="eastAsia"/>
        </w:rPr>
        <w:t>基金经理标签构建</w:t>
      </w:r>
    </w:p>
    <w:p w14:paraId="54DED5E2" w14:textId="2FF3B309" w:rsidR="00D647CC" w:rsidRPr="00B93CF0" w:rsidRDefault="00A24548" w:rsidP="00D647CC">
      <w:pPr>
        <w:ind w:firstLine="456"/>
        <w:rPr>
          <w:b/>
          <w:bCs/>
        </w:rPr>
      </w:pPr>
      <w:r w:rsidRPr="00B93CF0">
        <w:rPr>
          <w:rFonts w:hint="eastAsia"/>
          <w:b/>
          <w:bCs/>
        </w:rPr>
        <w:t>1.</w:t>
      </w:r>
      <w:r w:rsidRPr="00B93CF0">
        <w:rPr>
          <w:rFonts w:hint="eastAsia"/>
          <w:b/>
          <w:bCs/>
        </w:rPr>
        <w:t>收益风险标签</w:t>
      </w:r>
    </w:p>
    <w:p w14:paraId="434311DC" w14:textId="6C55C5B1" w:rsidR="004B76A8" w:rsidRPr="00D647CC" w:rsidRDefault="004B76A8" w:rsidP="004B76A8">
      <w:r>
        <w:rPr>
          <w:rFonts w:hint="eastAsia"/>
        </w:rPr>
        <w:t>该部分各个指标量化评估</w:t>
      </w:r>
      <w:r w:rsidRPr="004B76A8">
        <w:rPr>
          <w:rFonts w:hint="eastAsia"/>
        </w:rPr>
        <w:t>基金经理的收益能力和风险控制水平</w:t>
      </w:r>
      <w:r>
        <w:rPr>
          <w:rStyle w:val="af4"/>
        </w:rPr>
        <w:footnoteReference w:id="4"/>
      </w:r>
      <w:r>
        <w:rPr>
          <w:rFonts w:hint="eastAsia"/>
        </w:rPr>
        <w:t>。指标包含近一</w:t>
      </w:r>
      <w:r>
        <w:rPr>
          <w:rFonts w:hint="eastAsia"/>
        </w:rPr>
        <w:t>/</w:t>
      </w:r>
      <w:r>
        <w:rPr>
          <w:rFonts w:hint="eastAsia"/>
        </w:rPr>
        <w:t>二</w:t>
      </w:r>
      <w:r>
        <w:rPr>
          <w:rFonts w:hint="eastAsia"/>
        </w:rPr>
        <w:t>/</w:t>
      </w:r>
      <w:r>
        <w:rPr>
          <w:rFonts w:hint="eastAsia"/>
        </w:rPr>
        <w:t>三年收益率、</w:t>
      </w:r>
      <w:r w:rsidRPr="004B76A8">
        <w:rPr>
          <w:rFonts w:hint="eastAsia"/>
        </w:rPr>
        <w:t>近一</w:t>
      </w:r>
      <w:r w:rsidRPr="004B76A8">
        <w:rPr>
          <w:rFonts w:hint="eastAsia"/>
        </w:rPr>
        <w:t>/</w:t>
      </w:r>
      <w:r w:rsidRPr="004B76A8">
        <w:t>二</w:t>
      </w:r>
      <w:r w:rsidRPr="004B76A8">
        <w:rPr>
          <w:rFonts w:hint="eastAsia"/>
        </w:rPr>
        <w:t>/</w:t>
      </w:r>
      <w:r w:rsidRPr="004B76A8">
        <w:t>三</w:t>
      </w:r>
      <w:r w:rsidRPr="004B76A8">
        <w:rPr>
          <w:rFonts w:hint="eastAsia"/>
        </w:rPr>
        <w:t>年</w:t>
      </w:r>
      <w:r>
        <w:rPr>
          <w:rFonts w:hint="eastAsia"/>
        </w:rPr>
        <w:t>超额收益、</w:t>
      </w:r>
      <w:r w:rsidRPr="004B76A8">
        <w:rPr>
          <w:rFonts w:hint="eastAsia"/>
        </w:rPr>
        <w:t>近一</w:t>
      </w:r>
      <w:r w:rsidRPr="004B76A8">
        <w:rPr>
          <w:rFonts w:hint="eastAsia"/>
        </w:rPr>
        <w:t>/</w:t>
      </w:r>
      <w:r w:rsidRPr="004B76A8">
        <w:t>二</w:t>
      </w:r>
      <w:r w:rsidRPr="004B76A8">
        <w:rPr>
          <w:rFonts w:hint="eastAsia"/>
        </w:rPr>
        <w:t>/</w:t>
      </w:r>
      <w:r w:rsidRPr="004B76A8">
        <w:t>三</w:t>
      </w:r>
      <w:r w:rsidRPr="004B76A8">
        <w:rPr>
          <w:rFonts w:hint="eastAsia"/>
        </w:rPr>
        <w:t>年</w:t>
      </w:r>
      <w:r>
        <w:rPr>
          <w:rFonts w:hint="eastAsia"/>
        </w:rPr>
        <w:t>标准差、</w:t>
      </w:r>
      <w:r w:rsidRPr="004B76A8">
        <w:t>最大回撤</w:t>
      </w:r>
      <w:r>
        <w:rPr>
          <w:rFonts w:hint="eastAsia"/>
        </w:rPr>
        <w:t>、</w:t>
      </w:r>
      <w:r w:rsidRPr="004B76A8">
        <w:t>夏普比率</w:t>
      </w:r>
      <w:r>
        <w:rPr>
          <w:rFonts w:hint="eastAsia"/>
        </w:rPr>
        <w:t>、</w:t>
      </w:r>
      <w:r w:rsidRPr="004B76A8">
        <w:t>卡玛比率</w:t>
      </w:r>
      <w:r>
        <w:rPr>
          <w:rFonts w:hint="eastAsia"/>
        </w:rPr>
        <w:t>、</w:t>
      </w:r>
      <w:r w:rsidRPr="004B76A8">
        <w:t>索提诺比率</w:t>
      </w:r>
      <w:r>
        <w:rPr>
          <w:rFonts w:hint="eastAsia"/>
        </w:rPr>
        <w:t>、</w:t>
      </w:r>
      <w:r w:rsidRPr="004B76A8">
        <w:t>胜率</w:t>
      </w:r>
      <w:r>
        <w:rPr>
          <w:rFonts w:hint="eastAsia"/>
        </w:rPr>
        <w:t>。</w:t>
      </w:r>
      <w:r w:rsidR="00CB3322">
        <w:rPr>
          <w:rFonts w:hint="eastAsia"/>
        </w:rPr>
        <w:t>通过全市场基金收益率等大小排名可展示基金的风险水平，由于数据的局限性，此处仅计算两只基金上述指标作为展示。</w:t>
      </w:r>
    </w:p>
    <w:p w14:paraId="17497EF8" w14:textId="34EA0720" w:rsidR="00A408B7" w:rsidRPr="00B93CF0" w:rsidRDefault="004B76A8" w:rsidP="00A408B7">
      <w:pPr>
        <w:ind w:firstLine="456"/>
        <w:rPr>
          <w:b/>
          <w:bCs/>
        </w:rPr>
      </w:pPr>
      <w:r w:rsidRPr="00B93CF0">
        <w:rPr>
          <w:rFonts w:hint="eastAsia"/>
          <w:b/>
          <w:bCs/>
        </w:rPr>
        <w:t>2.</w:t>
      </w:r>
      <w:r w:rsidRPr="00B93CF0">
        <w:rPr>
          <w:rFonts w:hint="eastAsia"/>
          <w:b/>
          <w:bCs/>
        </w:rPr>
        <w:t>操作风格标签</w:t>
      </w:r>
    </w:p>
    <w:p w14:paraId="25449521" w14:textId="67DD15AC" w:rsidR="00CB3322" w:rsidRDefault="00CB3322" w:rsidP="00CB3322">
      <w:r>
        <w:rPr>
          <w:rFonts w:hint="eastAsia"/>
        </w:rPr>
        <w:t>该部分构建一个标签分析基金经理的操作习惯和交易特征：投资风格。该指标有三个取值范围：</w:t>
      </w:r>
      <w:r w:rsidRPr="00CB3322">
        <w:rPr>
          <w:rFonts w:hint="eastAsia"/>
        </w:rPr>
        <w:t>左侧布局</w:t>
      </w:r>
      <w:r w:rsidRPr="00CB3322">
        <w:rPr>
          <w:rFonts w:hint="eastAsia"/>
        </w:rPr>
        <w:t>/</w:t>
      </w:r>
      <w:r w:rsidRPr="00CB3322">
        <w:rPr>
          <w:rFonts w:hint="eastAsia"/>
        </w:rPr>
        <w:t>右侧跟随</w:t>
      </w:r>
      <w:r w:rsidRPr="00CB3322">
        <w:rPr>
          <w:rFonts w:hint="eastAsia"/>
        </w:rPr>
        <w:t>/</w:t>
      </w:r>
      <w:r w:rsidRPr="00CB3322">
        <w:rPr>
          <w:rFonts w:hint="eastAsia"/>
        </w:rPr>
        <w:t>均衡配置</w:t>
      </w:r>
      <w:r>
        <w:rPr>
          <w:rFonts w:hint="eastAsia"/>
        </w:rPr>
        <w:t>。</w:t>
      </w:r>
      <w:r w:rsidRPr="00CB3322">
        <w:rPr>
          <w:rFonts w:hint="eastAsia"/>
        </w:rPr>
        <w:t>投资风格标签采用多因子打分，通过两个维度综合判断基金经理的投资风格</w:t>
      </w:r>
      <w:r>
        <w:rPr>
          <w:rFonts w:hint="eastAsia"/>
        </w:rPr>
        <w:t>。</w:t>
      </w:r>
    </w:p>
    <w:p w14:paraId="5319E57C" w14:textId="0A789E4C" w:rsidR="00CB3322" w:rsidRDefault="00CB3322" w:rsidP="00CB3322">
      <w:r>
        <w:rPr>
          <w:rFonts w:hint="eastAsia"/>
        </w:rPr>
        <w:t>最终得分</w:t>
      </w:r>
      <w:r>
        <w:rPr>
          <w:rFonts w:hint="eastAsia"/>
        </w:rPr>
        <w:t xml:space="preserve"> = </w:t>
      </w:r>
      <w:r>
        <w:rPr>
          <w:rFonts w:hint="eastAsia"/>
        </w:rPr>
        <w:t>文本维度得分</w:t>
      </w:r>
      <w:r>
        <w:rPr>
          <w:rFonts w:hint="eastAsia"/>
        </w:rPr>
        <w:t xml:space="preserve"> </w:t>
      </w:r>
      <w:r>
        <w:rPr>
          <w:rFonts w:hint="eastAsia"/>
        </w:rPr>
        <w:t>×</w:t>
      </w:r>
      <w:r>
        <w:rPr>
          <w:rFonts w:hint="eastAsia"/>
        </w:rPr>
        <w:t xml:space="preserve"> 40% + </w:t>
      </w:r>
      <w:r>
        <w:rPr>
          <w:rFonts w:hint="eastAsia"/>
        </w:rPr>
        <w:t>持仓维度得分</w:t>
      </w:r>
      <w:r>
        <w:rPr>
          <w:rFonts w:hint="eastAsia"/>
        </w:rPr>
        <w:t xml:space="preserve"> </w:t>
      </w:r>
      <w:r>
        <w:rPr>
          <w:rFonts w:hint="eastAsia"/>
        </w:rPr>
        <w:t>×</w:t>
      </w:r>
      <w:r>
        <w:rPr>
          <w:rFonts w:hint="eastAsia"/>
        </w:rPr>
        <w:t xml:space="preserve"> 60%</w:t>
      </w:r>
    </w:p>
    <w:p w14:paraId="40FFB614" w14:textId="202C6A8A" w:rsidR="00B93CF0" w:rsidRDefault="003F4B29" w:rsidP="0078701F">
      <w:r>
        <w:rPr>
          <w:rFonts w:hint="eastAsia"/>
        </w:rPr>
        <w:t>文本维度使用</w:t>
      </w:r>
      <w:r>
        <w:rPr>
          <w:rFonts w:hint="eastAsia"/>
        </w:rPr>
        <w:t>LLM</w:t>
      </w:r>
      <w:r>
        <w:rPr>
          <w:rFonts w:hint="eastAsia"/>
        </w:rPr>
        <w:t>（本文使用</w:t>
      </w:r>
      <w:r w:rsidRPr="003F4B29">
        <w:t>DeepSeek</w:t>
      </w:r>
      <w:r>
        <w:rPr>
          <w:rFonts w:hint="eastAsia"/>
        </w:rPr>
        <w:t>模型）对“</w:t>
      </w:r>
      <w:r w:rsidRPr="003F4B29">
        <w:t>投资策略和运作分析</w:t>
      </w:r>
      <w:r>
        <w:rPr>
          <w:rFonts w:hint="eastAsia"/>
        </w:rPr>
        <w:t>模块”进行深度分析，</w:t>
      </w:r>
      <w:r w:rsidRPr="003F4B29">
        <w:rPr>
          <w:rFonts w:hint="eastAsia"/>
        </w:rPr>
        <w:t>分析基金经理的投资理念和操作风格</w:t>
      </w:r>
      <w:r>
        <w:rPr>
          <w:rFonts w:hint="eastAsia"/>
        </w:rPr>
        <w:t>，并进行评分，分数为</w:t>
      </w:r>
      <w:r>
        <w:rPr>
          <w:rFonts w:hint="eastAsia"/>
        </w:rPr>
        <w:t>-1</w:t>
      </w:r>
      <w:r>
        <w:rPr>
          <w:rFonts w:hint="eastAsia"/>
        </w:rPr>
        <w:t>至</w:t>
      </w:r>
      <w:r>
        <w:rPr>
          <w:rFonts w:hint="eastAsia"/>
        </w:rPr>
        <w:t>1</w:t>
      </w:r>
      <w:r>
        <w:rPr>
          <w:rFonts w:hint="eastAsia"/>
        </w:rPr>
        <w:t>，</w:t>
      </w:r>
      <w:r>
        <w:rPr>
          <w:rFonts w:hint="eastAsia"/>
        </w:rPr>
        <w:t>-1</w:t>
      </w:r>
      <w:r>
        <w:rPr>
          <w:rFonts w:hint="eastAsia"/>
        </w:rPr>
        <w:t>为绝对左侧，</w:t>
      </w:r>
      <w:r>
        <w:rPr>
          <w:rFonts w:hint="eastAsia"/>
        </w:rPr>
        <w:t>1</w:t>
      </w:r>
      <w:r>
        <w:rPr>
          <w:rFonts w:hint="eastAsia"/>
        </w:rPr>
        <w:t>为绝对右侧。</w:t>
      </w:r>
      <w:r w:rsidR="00605360">
        <w:rPr>
          <w:rFonts w:hint="eastAsia"/>
        </w:rPr>
        <w:t>对于二级债基而言，</w:t>
      </w:r>
      <w:r w:rsidR="00605360" w:rsidRPr="00605360">
        <w:t>模型重点捕捉逆向投资、低估值防御、严控回撤（左侧特征）与顺势而为、高弹性进攻、顶格配置（右侧特征）等传统权益视角的意图。对于转债基金</w:t>
      </w:r>
      <w:r w:rsidR="00605360">
        <w:rPr>
          <w:rFonts w:hint="eastAsia"/>
        </w:rPr>
        <w:t>而言，</w:t>
      </w:r>
      <w:r w:rsidR="00605360" w:rsidRPr="00605360">
        <w:t>模型强行切换至转债圈专业视角，重点捕捉双低策略、注重债底保护（左侧特征）与偏股型高弹性、条款博弈（如下修</w:t>
      </w:r>
      <w:r w:rsidR="00605360" w:rsidRPr="00605360">
        <w:t>/</w:t>
      </w:r>
      <w:r w:rsidR="00605360" w:rsidRPr="00605360">
        <w:t>强赎）（右侧特征）。</w:t>
      </w:r>
    </w:p>
    <w:p w14:paraId="11D19DFE" w14:textId="7BC1FDC5" w:rsidR="003F4B29" w:rsidRDefault="003F4B29" w:rsidP="0078701F">
      <w:r>
        <w:rPr>
          <w:rFonts w:hint="eastAsia"/>
        </w:rPr>
        <w:t>持仓维度得分通过</w:t>
      </w:r>
      <w:r w:rsidR="0078701F">
        <w:rPr>
          <w:rFonts w:hint="eastAsia"/>
        </w:rPr>
        <w:t>仓位变化与市场走势的关系判断投资风格。</w:t>
      </w:r>
      <w:r>
        <w:rPr>
          <w:rFonts w:hint="eastAsia"/>
        </w:rPr>
        <w:t>在基金报告中可以获取</w:t>
      </w:r>
      <w:r w:rsidR="0078701F">
        <w:rPr>
          <w:rFonts w:hint="eastAsia"/>
        </w:rPr>
        <w:t>各</w:t>
      </w:r>
      <w:r w:rsidRPr="003F4B29">
        <w:t>类资产配置比例</w:t>
      </w:r>
      <w:r>
        <w:rPr>
          <w:rFonts w:hint="eastAsia"/>
        </w:rPr>
        <w:t>，其中我们定义风险资产占比为权益投资占</w:t>
      </w:r>
      <w:r w:rsidR="0078701F">
        <w:rPr>
          <w:rFonts w:hint="eastAsia"/>
        </w:rPr>
        <w:t>基金净值比</w:t>
      </w:r>
      <w:r>
        <w:rPr>
          <w:rFonts w:hint="eastAsia"/>
        </w:rPr>
        <w:t>与可转债</w:t>
      </w:r>
      <w:r w:rsidR="0078701F">
        <w:rPr>
          <w:rFonts w:hint="eastAsia"/>
        </w:rPr>
        <w:t>占基金净值比之和。计算当期风险资产占比与上一期风险资产占比变化，同时计算市场指数季度涨跌幅</w:t>
      </w:r>
      <w:r w:rsidR="0078701F">
        <w:rPr>
          <w:rStyle w:val="af4"/>
        </w:rPr>
        <w:footnoteReference w:id="5"/>
      </w:r>
      <w:r w:rsidR="0078701F">
        <w:rPr>
          <w:rFonts w:hint="eastAsia"/>
        </w:rPr>
        <w:t>，通过两者涨跌进行打分。</w:t>
      </w:r>
      <w:r w:rsidR="007C419F">
        <w:rPr>
          <w:rFonts w:hint="eastAsia"/>
        </w:rPr>
        <w:t>打分标准如下表所示。设置大跌情况下，仓位微降和大涨情况下，仓位微涨为基准线，因为股票的公允价值会随着大盘涨跌而变化。</w:t>
      </w:r>
    </w:p>
    <w:p w14:paraId="4F705418" w14:textId="11A98642" w:rsidR="007C419F" w:rsidRDefault="007C419F" w:rsidP="007C419F">
      <w:pPr>
        <w:pStyle w:val="af0"/>
        <w:ind w:firstLine="456"/>
      </w:pPr>
      <w:r>
        <w:rPr>
          <w:rFonts w:hint="eastAsia"/>
        </w:rPr>
        <w:t>表：操作风格持仓维度打分表</w:t>
      </w:r>
    </w:p>
    <w:tbl>
      <w:tblPr>
        <w:tblStyle w:val="11"/>
        <w:tblW w:w="5000" w:type="pct"/>
        <w:jc w:val="center"/>
        <w:tblLook w:val="04A0" w:firstRow="1" w:lastRow="0" w:firstColumn="1" w:lastColumn="0" w:noHBand="0" w:noVBand="1"/>
      </w:tblPr>
      <w:tblGrid>
        <w:gridCol w:w="2703"/>
        <w:gridCol w:w="2369"/>
        <w:gridCol w:w="1385"/>
        <w:gridCol w:w="1849"/>
      </w:tblGrid>
      <w:tr w:rsidR="00DB6B33" w:rsidRPr="00DB6B33" w14:paraId="05D663C3" w14:textId="77777777" w:rsidTr="00DB6B33">
        <w:trPr>
          <w:cnfStyle w:val="100000000000" w:firstRow="1" w:lastRow="0" w:firstColumn="0" w:lastColumn="0" w:oddVBand="0" w:evenVBand="0" w:oddHBand="0" w:evenHBand="0" w:firstRowFirstColumn="0" w:firstRowLastColumn="0" w:lastRowFirstColumn="0" w:lastRowLastColumn="0"/>
          <w:jc w:val="center"/>
        </w:trPr>
        <w:tc>
          <w:tcPr>
            <w:tcW w:w="1627" w:type="pct"/>
            <w:hideMark/>
          </w:tcPr>
          <w:p w14:paraId="0E7D1244" w14:textId="6B91371D" w:rsidR="00DB6B33" w:rsidRPr="0078701F" w:rsidRDefault="00DB6B33" w:rsidP="00B93CF0">
            <w:pPr>
              <w:spacing w:line="240" w:lineRule="auto"/>
              <w:ind w:firstLineChars="0" w:firstLine="0"/>
              <w:jc w:val="center"/>
              <w:rPr>
                <w:bCs/>
                <w:szCs w:val="24"/>
              </w:rPr>
            </w:pPr>
            <w:r w:rsidRPr="0078701F">
              <w:rPr>
                <w:bCs/>
                <w:szCs w:val="24"/>
              </w:rPr>
              <w:t>市场环境</w:t>
            </w:r>
          </w:p>
        </w:tc>
        <w:tc>
          <w:tcPr>
            <w:tcW w:w="1426" w:type="pct"/>
            <w:hideMark/>
          </w:tcPr>
          <w:p w14:paraId="6F32760B" w14:textId="3CFC3458" w:rsidR="00DB6B33" w:rsidRPr="0078701F" w:rsidRDefault="00DB6B33" w:rsidP="00B93CF0">
            <w:pPr>
              <w:spacing w:line="240" w:lineRule="auto"/>
              <w:ind w:firstLineChars="0" w:firstLine="0"/>
              <w:jc w:val="center"/>
              <w:rPr>
                <w:bCs/>
                <w:szCs w:val="24"/>
              </w:rPr>
            </w:pPr>
            <w:r w:rsidRPr="0078701F">
              <w:rPr>
                <w:bCs/>
                <w:szCs w:val="24"/>
              </w:rPr>
              <w:t>仓位变化</w:t>
            </w:r>
          </w:p>
        </w:tc>
        <w:tc>
          <w:tcPr>
            <w:tcW w:w="834" w:type="pct"/>
            <w:hideMark/>
          </w:tcPr>
          <w:p w14:paraId="7DE77ECD" w14:textId="77777777" w:rsidR="00DB6B33" w:rsidRPr="0078701F" w:rsidRDefault="00DB6B33" w:rsidP="00B93CF0">
            <w:pPr>
              <w:spacing w:line="240" w:lineRule="auto"/>
              <w:ind w:firstLineChars="0" w:firstLine="0"/>
              <w:jc w:val="center"/>
              <w:rPr>
                <w:bCs/>
                <w:szCs w:val="24"/>
              </w:rPr>
            </w:pPr>
            <w:r w:rsidRPr="0078701F">
              <w:rPr>
                <w:bCs/>
                <w:szCs w:val="24"/>
              </w:rPr>
              <w:t>修正得分</w:t>
            </w:r>
          </w:p>
        </w:tc>
        <w:tc>
          <w:tcPr>
            <w:tcW w:w="1113" w:type="pct"/>
            <w:hideMark/>
          </w:tcPr>
          <w:p w14:paraId="34F87396" w14:textId="77777777" w:rsidR="00DB6B33" w:rsidRPr="0078701F" w:rsidRDefault="00DB6B33" w:rsidP="00B93CF0">
            <w:pPr>
              <w:spacing w:line="240" w:lineRule="auto"/>
              <w:ind w:firstLineChars="0" w:firstLine="0"/>
              <w:jc w:val="center"/>
              <w:rPr>
                <w:bCs/>
                <w:szCs w:val="24"/>
              </w:rPr>
            </w:pPr>
            <w:r w:rsidRPr="0078701F">
              <w:rPr>
                <w:bCs/>
                <w:szCs w:val="24"/>
              </w:rPr>
              <w:t>风格倾向</w:t>
            </w:r>
          </w:p>
        </w:tc>
      </w:tr>
      <w:tr w:rsidR="00DB6B33" w:rsidRPr="00DB6B33" w14:paraId="09FAA3F7" w14:textId="77777777" w:rsidTr="00DB6B33">
        <w:trPr>
          <w:jc w:val="center"/>
        </w:trPr>
        <w:tc>
          <w:tcPr>
            <w:tcW w:w="1627" w:type="pct"/>
            <w:hideMark/>
          </w:tcPr>
          <w:p w14:paraId="0CBDE8DD" w14:textId="77777777" w:rsidR="00DB6B33" w:rsidRPr="0078701F" w:rsidRDefault="00DB6B33" w:rsidP="00B93CF0">
            <w:pPr>
              <w:spacing w:line="240" w:lineRule="auto"/>
              <w:ind w:firstLineChars="0" w:firstLine="0"/>
              <w:jc w:val="center"/>
              <w:rPr>
                <w:szCs w:val="24"/>
              </w:rPr>
            </w:pPr>
            <w:r w:rsidRPr="0078701F">
              <w:rPr>
                <w:szCs w:val="24"/>
              </w:rPr>
              <w:t>大幅下跌（</w:t>
            </w:r>
            <w:r w:rsidRPr="0078701F">
              <w:rPr>
                <w:szCs w:val="24"/>
              </w:rPr>
              <w:t>&lt;-5%</w:t>
            </w:r>
            <w:r w:rsidRPr="0078701F">
              <w:rPr>
                <w:szCs w:val="24"/>
              </w:rPr>
              <w:t>）</w:t>
            </w:r>
          </w:p>
        </w:tc>
        <w:tc>
          <w:tcPr>
            <w:tcW w:w="1426" w:type="pct"/>
            <w:hideMark/>
          </w:tcPr>
          <w:p w14:paraId="6C9B2286" w14:textId="02932B16" w:rsidR="00DB6B33" w:rsidRPr="0078701F" w:rsidRDefault="00DB6B33" w:rsidP="00B93CF0">
            <w:pPr>
              <w:spacing w:line="240" w:lineRule="auto"/>
              <w:ind w:firstLineChars="0" w:firstLine="0"/>
              <w:jc w:val="center"/>
              <w:rPr>
                <w:szCs w:val="24"/>
              </w:rPr>
            </w:pPr>
            <w:r w:rsidRPr="0078701F">
              <w:rPr>
                <w:szCs w:val="24"/>
              </w:rPr>
              <w:t xml:space="preserve">&gt; 1% </w:t>
            </w:r>
            <w:r w:rsidR="00B93CF0">
              <w:rPr>
                <w:szCs w:val="24"/>
              </w:rPr>
              <w:t>（</w:t>
            </w:r>
            <w:r w:rsidRPr="0078701F">
              <w:rPr>
                <w:szCs w:val="24"/>
              </w:rPr>
              <w:t>加仓</w:t>
            </w:r>
            <w:r w:rsidR="00B93CF0">
              <w:rPr>
                <w:szCs w:val="24"/>
              </w:rPr>
              <w:t>）</w:t>
            </w:r>
          </w:p>
        </w:tc>
        <w:tc>
          <w:tcPr>
            <w:tcW w:w="834" w:type="pct"/>
            <w:hideMark/>
          </w:tcPr>
          <w:p w14:paraId="16887062" w14:textId="77777777" w:rsidR="00DB6B33" w:rsidRPr="0078701F" w:rsidRDefault="00DB6B33" w:rsidP="00B93CF0">
            <w:pPr>
              <w:spacing w:line="240" w:lineRule="auto"/>
              <w:ind w:firstLineChars="0" w:firstLine="0"/>
              <w:jc w:val="center"/>
              <w:rPr>
                <w:szCs w:val="24"/>
              </w:rPr>
            </w:pPr>
            <w:r w:rsidRPr="0078701F">
              <w:rPr>
                <w:szCs w:val="24"/>
              </w:rPr>
              <w:t>-0.6</w:t>
            </w:r>
          </w:p>
        </w:tc>
        <w:tc>
          <w:tcPr>
            <w:tcW w:w="1113" w:type="pct"/>
            <w:hideMark/>
          </w:tcPr>
          <w:p w14:paraId="0B4C2344" w14:textId="77777777" w:rsidR="00DB6B33" w:rsidRPr="0078701F" w:rsidRDefault="00DB6B33" w:rsidP="00B93CF0">
            <w:pPr>
              <w:spacing w:line="240" w:lineRule="auto"/>
              <w:ind w:firstLineChars="0" w:firstLine="0"/>
              <w:jc w:val="center"/>
              <w:rPr>
                <w:szCs w:val="24"/>
              </w:rPr>
            </w:pPr>
            <w:r w:rsidRPr="0078701F">
              <w:rPr>
                <w:szCs w:val="24"/>
              </w:rPr>
              <w:t>强左侧</w:t>
            </w:r>
          </w:p>
        </w:tc>
      </w:tr>
      <w:tr w:rsidR="00DB6B33" w:rsidRPr="00DB6B33" w14:paraId="7CBBB618" w14:textId="77777777" w:rsidTr="00DB6B33">
        <w:trPr>
          <w:jc w:val="center"/>
        </w:trPr>
        <w:tc>
          <w:tcPr>
            <w:tcW w:w="1627" w:type="pct"/>
            <w:hideMark/>
          </w:tcPr>
          <w:p w14:paraId="6F70E6CA" w14:textId="77777777" w:rsidR="00DB6B33" w:rsidRPr="0078701F" w:rsidRDefault="00DB6B33" w:rsidP="00B93CF0">
            <w:pPr>
              <w:spacing w:line="240" w:lineRule="auto"/>
              <w:ind w:firstLineChars="0" w:firstLine="0"/>
              <w:jc w:val="center"/>
              <w:rPr>
                <w:szCs w:val="24"/>
              </w:rPr>
            </w:pPr>
            <w:r w:rsidRPr="0078701F">
              <w:rPr>
                <w:szCs w:val="24"/>
              </w:rPr>
              <w:t>大幅下跌（</w:t>
            </w:r>
            <w:r w:rsidRPr="0078701F">
              <w:rPr>
                <w:szCs w:val="24"/>
              </w:rPr>
              <w:t>&lt;-5%</w:t>
            </w:r>
            <w:r w:rsidRPr="0078701F">
              <w:rPr>
                <w:szCs w:val="24"/>
              </w:rPr>
              <w:t>）</w:t>
            </w:r>
          </w:p>
        </w:tc>
        <w:tc>
          <w:tcPr>
            <w:tcW w:w="1426" w:type="pct"/>
            <w:hideMark/>
          </w:tcPr>
          <w:p w14:paraId="5952BCB9" w14:textId="136A185F" w:rsidR="00DB6B33" w:rsidRPr="0078701F" w:rsidRDefault="00DB6B33" w:rsidP="00B93CF0">
            <w:pPr>
              <w:spacing w:line="240" w:lineRule="auto"/>
              <w:ind w:firstLineChars="0" w:firstLine="0"/>
              <w:jc w:val="center"/>
              <w:rPr>
                <w:szCs w:val="24"/>
              </w:rPr>
            </w:pPr>
            <w:r w:rsidRPr="0078701F">
              <w:rPr>
                <w:szCs w:val="24"/>
              </w:rPr>
              <w:t xml:space="preserve">-1% ~ +1% </w:t>
            </w:r>
            <w:r w:rsidR="00B93CF0">
              <w:rPr>
                <w:szCs w:val="24"/>
              </w:rPr>
              <w:t>（</w:t>
            </w:r>
            <w:r w:rsidRPr="0078701F">
              <w:rPr>
                <w:szCs w:val="24"/>
              </w:rPr>
              <w:t>维持</w:t>
            </w:r>
            <w:r w:rsidR="00B93CF0">
              <w:rPr>
                <w:szCs w:val="24"/>
              </w:rPr>
              <w:t>）</w:t>
            </w:r>
          </w:p>
        </w:tc>
        <w:tc>
          <w:tcPr>
            <w:tcW w:w="834" w:type="pct"/>
            <w:hideMark/>
          </w:tcPr>
          <w:p w14:paraId="561EDEBF" w14:textId="77777777" w:rsidR="00DB6B33" w:rsidRPr="0078701F" w:rsidRDefault="00DB6B33" w:rsidP="00B93CF0">
            <w:pPr>
              <w:spacing w:line="240" w:lineRule="auto"/>
              <w:ind w:firstLineChars="0" w:firstLine="0"/>
              <w:jc w:val="center"/>
              <w:rPr>
                <w:szCs w:val="24"/>
              </w:rPr>
            </w:pPr>
            <w:r w:rsidRPr="0078701F">
              <w:rPr>
                <w:szCs w:val="24"/>
              </w:rPr>
              <w:t>-0.3</w:t>
            </w:r>
          </w:p>
        </w:tc>
        <w:tc>
          <w:tcPr>
            <w:tcW w:w="1113" w:type="pct"/>
            <w:hideMark/>
          </w:tcPr>
          <w:p w14:paraId="7954218C" w14:textId="77777777" w:rsidR="00DB6B33" w:rsidRPr="0078701F" w:rsidRDefault="00DB6B33" w:rsidP="00B93CF0">
            <w:pPr>
              <w:spacing w:line="240" w:lineRule="auto"/>
              <w:ind w:firstLineChars="0" w:firstLine="0"/>
              <w:jc w:val="center"/>
              <w:rPr>
                <w:szCs w:val="24"/>
              </w:rPr>
            </w:pPr>
            <w:r w:rsidRPr="0078701F">
              <w:rPr>
                <w:szCs w:val="24"/>
              </w:rPr>
              <w:t>偏左侧</w:t>
            </w:r>
          </w:p>
        </w:tc>
      </w:tr>
      <w:tr w:rsidR="00DB6B33" w:rsidRPr="00DB6B33" w14:paraId="05C9EBCB" w14:textId="77777777" w:rsidTr="00DB6B33">
        <w:trPr>
          <w:jc w:val="center"/>
        </w:trPr>
        <w:tc>
          <w:tcPr>
            <w:tcW w:w="1627" w:type="pct"/>
            <w:tcBorders>
              <w:bottom w:val="nil"/>
            </w:tcBorders>
            <w:hideMark/>
          </w:tcPr>
          <w:p w14:paraId="4845BDE4" w14:textId="77777777" w:rsidR="00DB6B33" w:rsidRPr="0078701F" w:rsidRDefault="00DB6B33" w:rsidP="00B93CF0">
            <w:pPr>
              <w:spacing w:line="240" w:lineRule="auto"/>
              <w:ind w:firstLineChars="0" w:firstLine="0"/>
              <w:jc w:val="center"/>
              <w:rPr>
                <w:szCs w:val="24"/>
              </w:rPr>
            </w:pPr>
            <w:r w:rsidRPr="0078701F">
              <w:rPr>
                <w:szCs w:val="24"/>
              </w:rPr>
              <w:t>大幅下跌（</w:t>
            </w:r>
            <w:r w:rsidRPr="0078701F">
              <w:rPr>
                <w:szCs w:val="24"/>
              </w:rPr>
              <w:t>&lt;-5%</w:t>
            </w:r>
            <w:r w:rsidRPr="0078701F">
              <w:rPr>
                <w:szCs w:val="24"/>
              </w:rPr>
              <w:t>）</w:t>
            </w:r>
          </w:p>
        </w:tc>
        <w:tc>
          <w:tcPr>
            <w:tcW w:w="1426" w:type="pct"/>
            <w:tcBorders>
              <w:bottom w:val="nil"/>
            </w:tcBorders>
            <w:hideMark/>
          </w:tcPr>
          <w:p w14:paraId="3692A161" w14:textId="6EE1B66A" w:rsidR="00DB6B33" w:rsidRPr="0078701F" w:rsidRDefault="00DB6B33" w:rsidP="00B93CF0">
            <w:pPr>
              <w:spacing w:line="240" w:lineRule="auto"/>
              <w:ind w:firstLineChars="0" w:firstLine="0"/>
              <w:jc w:val="center"/>
              <w:rPr>
                <w:szCs w:val="24"/>
              </w:rPr>
            </w:pPr>
            <w:r w:rsidRPr="0078701F">
              <w:rPr>
                <w:szCs w:val="24"/>
              </w:rPr>
              <w:t xml:space="preserve">-3% ~ -1% </w:t>
            </w:r>
            <w:r w:rsidR="00B93CF0">
              <w:rPr>
                <w:szCs w:val="24"/>
              </w:rPr>
              <w:t>（</w:t>
            </w:r>
            <w:r w:rsidRPr="0078701F">
              <w:rPr>
                <w:szCs w:val="24"/>
              </w:rPr>
              <w:t>微降</w:t>
            </w:r>
            <w:r w:rsidR="00B93CF0">
              <w:rPr>
                <w:szCs w:val="24"/>
              </w:rPr>
              <w:t>）</w:t>
            </w:r>
          </w:p>
        </w:tc>
        <w:tc>
          <w:tcPr>
            <w:tcW w:w="834" w:type="pct"/>
            <w:tcBorders>
              <w:bottom w:val="nil"/>
            </w:tcBorders>
            <w:hideMark/>
          </w:tcPr>
          <w:p w14:paraId="3245E001" w14:textId="77777777" w:rsidR="00DB6B33" w:rsidRPr="0078701F" w:rsidRDefault="00DB6B33" w:rsidP="00B93CF0">
            <w:pPr>
              <w:spacing w:line="240" w:lineRule="auto"/>
              <w:ind w:firstLineChars="0" w:firstLine="0"/>
              <w:jc w:val="center"/>
              <w:rPr>
                <w:szCs w:val="24"/>
              </w:rPr>
            </w:pPr>
            <w:r w:rsidRPr="0078701F">
              <w:rPr>
                <w:szCs w:val="24"/>
              </w:rPr>
              <w:t>0.0</w:t>
            </w:r>
          </w:p>
        </w:tc>
        <w:tc>
          <w:tcPr>
            <w:tcW w:w="1113" w:type="pct"/>
            <w:tcBorders>
              <w:bottom w:val="nil"/>
            </w:tcBorders>
            <w:hideMark/>
          </w:tcPr>
          <w:p w14:paraId="3DAF5111" w14:textId="77777777" w:rsidR="00DB6B33" w:rsidRPr="0078701F" w:rsidRDefault="00DB6B33" w:rsidP="00B93CF0">
            <w:pPr>
              <w:spacing w:line="240" w:lineRule="auto"/>
              <w:ind w:firstLineChars="0" w:firstLine="0"/>
              <w:jc w:val="center"/>
              <w:rPr>
                <w:szCs w:val="24"/>
              </w:rPr>
            </w:pPr>
            <w:r w:rsidRPr="0078701F">
              <w:rPr>
                <w:szCs w:val="24"/>
              </w:rPr>
              <w:t>均衡</w:t>
            </w:r>
          </w:p>
        </w:tc>
      </w:tr>
      <w:tr w:rsidR="00DB6B33" w:rsidRPr="00DB6B33" w14:paraId="3748D21E" w14:textId="77777777" w:rsidTr="00DB6B33">
        <w:trPr>
          <w:jc w:val="center"/>
        </w:trPr>
        <w:tc>
          <w:tcPr>
            <w:tcW w:w="1627" w:type="pct"/>
            <w:tcBorders>
              <w:top w:val="nil"/>
              <w:bottom w:val="single" w:sz="4" w:space="0" w:color="auto"/>
            </w:tcBorders>
            <w:hideMark/>
          </w:tcPr>
          <w:p w14:paraId="2E6773A9" w14:textId="77777777" w:rsidR="00DB6B33" w:rsidRPr="0078701F" w:rsidRDefault="00DB6B33" w:rsidP="00B93CF0">
            <w:pPr>
              <w:spacing w:line="240" w:lineRule="auto"/>
              <w:ind w:firstLineChars="0" w:firstLine="0"/>
              <w:jc w:val="center"/>
              <w:rPr>
                <w:szCs w:val="24"/>
              </w:rPr>
            </w:pPr>
            <w:r w:rsidRPr="0078701F">
              <w:rPr>
                <w:szCs w:val="24"/>
              </w:rPr>
              <w:t>大幅下跌（</w:t>
            </w:r>
            <w:r w:rsidRPr="0078701F">
              <w:rPr>
                <w:szCs w:val="24"/>
              </w:rPr>
              <w:t>&lt;-5%</w:t>
            </w:r>
            <w:r w:rsidRPr="0078701F">
              <w:rPr>
                <w:szCs w:val="24"/>
              </w:rPr>
              <w:t>）</w:t>
            </w:r>
          </w:p>
        </w:tc>
        <w:tc>
          <w:tcPr>
            <w:tcW w:w="1426" w:type="pct"/>
            <w:tcBorders>
              <w:top w:val="nil"/>
              <w:bottom w:val="single" w:sz="4" w:space="0" w:color="auto"/>
            </w:tcBorders>
            <w:hideMark/>
          </w:tcPr>
          <w:p w14:paraId="51CCD49D" w14:textId="3841550A" w:rsidR="00DB6B33" w:rsidRPr="0078701F" w:rsidRDefault="00DB6B33" w:rsidP="00B93CF0">
            <w:pPr>
              <w:spacing w:line="240" w:lineRule="auto"/>
              <w:ind w:firstLineChars="0" w:firstLine="0"/>
              <w:jc w:val="center"/>
              <w:rPr>
                <w:szCs w:val="24"/>
              </w:rPr>
            </w:pPr>
            <w:r w:rsidRPr="0078701F">
              <w:rPr>
                <w:szCs w:val="24"/>
              </w:rPr>
              <w:t xml:space="preserve">&lt; -3% </w:t>
            </w:r>
            <w:r w:rsidR="00B93CF0">
              <w:rPr>
                <w:szCs w:val="24"/>
              </w:rPr>
              <w:t>（</w:t>
            </w:r>
            <w:r w:rsidRPr="0078701F">
              <w:rPr>
                <w:szCs w:val="24"/>
              </w:rPr>
              <w:t>减仓</w:t>
            </w:r>
            <w:r w:rsidR="00B93CF0">
              <w:rPr>
                <w:szCs w:val="24"/>
              </w:rPr>
              <w:t>）</w:t>
            </w:r>
          </w:p>
        </w:tc>
        <w:tc>
          <w:tcPr>
            <w:tcW w:w="834" w:type="pct"/>
            <w:tcBorders>
              <w:top w:val="nil"/>
              <w:bottom w:val="single" w:sz="4" w:space="0" w:color="auto"/>
            </w:tcBorders>
            <w:hideMark/>
          </w:tcPr>
          <w:p w14:paraId="3A056A0B" w14:textId="77777777" w:rsidR="00DB6B33" w:rsidRPr="0078701F" w:rsidRDefault="00DB6B33" w:rsidP="00B93CF0">
            <w:pPr>
              <w:spacing w:line="240" w:lineRule="auto"/>
              <w:ind w:firstLineChars="0" w:firstLine="0"/>
              <w:jc w:val="center"/>
              <w:rPr>
                <w:szCs w:val="24"/>
              </w:rPr>
            </w:pPr>
            <w:r w:rsidRPr="0078701F">
              <w:rPr>
                <w:szCs w:val="24"/>
              </w:rPr>
              <w:t>+0.6</w:t>
            </w:r>
          </w:p>
        </w:tc>
        <w:tc>
          <w:tcPr>
            <w:tcW w:w="1113" w:type="pct"/>
            <w:tcBorders>
              <w:top w:val="nil"/>
              <w:bottom w:val="single" w:sz="4" w:space="0" w:color="auto"/>
            </w:tcBorders>
            <w:hideMark/>
          </w:tcPr>
          <w:p w14:paraId="7CC20E1F" w14:textId="77777777" w:rsidR="00DB6B33" w:rsidRPr="0078701F" w:rsidRDefault="00DB6B33" w:rsidP="00B93CF0">
            <w:pPr>
              <w:spacing w:line="240" w:lineRule="auto"/>
              <w:ind w:firstLineChars="0" w:firstLine="0"/>
              <w:jc w:val="center"/>
              <w:rPr>
                <w:szCs w:val="24"/>
              </w:rPr>
            </w:pPr>
            <w:r w:rsidRPr="0078701F">
              <w:rPr>
                <w:szCs w:val="24"/>
              </w:rPr>
              <w:t>强右侧</w:t>
            </w:r>
          </w:p>
        </w:tc>
      </w:tr>
      <w:tr w:rsidR="00DB6B33" w:rsidRPr="00DB6B33" w14:paraId="609A2841" w14:textId="77777777" w:rsidTr="00DB6B33">
        <w:trPr>
          <w:jc w:val="center"/>
        </w:trPr>
        <w:tc>
          <w:tcPr>
            <w:tcW w:w="1627" w:type="pct"/>
            <w:tcBorders>
              <w:top w:val="single" w:sz="4" w:space="0" w:color="auto"/>
            </w:tcBorders>
            <w:hideMark/>
          </w:tcPr>
          <w:p w14:paraId="7A317959" w14:textId="77777777" w:rsidR="00DB6B33" w:rsidRPr="0078701F" w:rsidRDefault="00DB6B33" w:rsidP="00B93CF0">
            <w:pPr>
              <w:spacing w:line="240" w:lineRule="auto"/>
              <w:ind w:firstLineChars="0" w:firstLine="0"/>
              <w:jc w:val="center"/>
              <w:rPr>
                <w:szCs w:val="24"/>
              </w:rPr>
            </w:pPr>
            <w:r w:rsidRPr="0078701F">
              <w:rPr>
                <w:szCs w:val="24"/>
              </w:rPr>
              <w:t>大幅上涨（</w:t>
            </w:r>
            <w:r w:rsidRPr="0078701F">
              <w:rPr>
                <w:szCs w:val="24"/>
              </w:rPr>
              <w:t>&gt;5%</w:t>
            </w:r>
            <w:r w:rsidRPr="0078701F">
              <w:rPr>
                <w:szCs w:val="24"/>
              </w:rPr>
              <w:t>）</w:t>
            </w:r>
          </w:p>
        </w:tc>
        <w:tc>
          <w:tcPr>
            <w:tcW w:w="1426" w:type="pct"/>
            <w:tcBorders>
              <w:top w:val="single" w:sz="4" w:space="0" w:color="auto"/>
            </w:tcBorders>
            <w:hideMark/>
          </w:tcPr>
          <w:p w14:paraId="5709411E" w14:textId="5FD7C550" w:rsidR="00DB6B33" w:rsidRPr="0078701F" w:rsidRDefault="00DB6B33" w:rsidP="00B93CF0">
            <w:pPr>
              <w:spacing w:line="240" w:lineRule="auto"/>
              <w:ind w:firstLineChars="0" w:firstLine="0"/>
              <w:jc w:val="center"/>
              <w:rPr>
                <w:szCs w:val="24"/>
              </w:rPr>
            </w:pPr>
            <w:r w:rsidRPr="0078701F">
              <w:rPr>
                <w:szCs w:val="24"/>
              </w:rPr>
              <w:t xml:space="preserve">&gt; 3% </w:t>
            </w:r>
            <w:r w:rsidR="00B93CF0">
              <w:rPr>
                <w:szCs w:val="24"/>
              </w:rPr>
              <w:t>（</w:t>
            </w:r>
            <w:r w:rsidRPr="0078701F">
              <w:rPr>
                <w:szCs w:val="24"/>
              </w:rPr>
              <w:t>加仓</w:t>
            </w:r>
            <w:r w:rsidR="00B93CF0">
              <w:rPr>
                <w:szCs w:val="24"/>
              </w:rPr>
              <w:t>）</w:t>
            </w:r>
          </w:p>
        </w:tc>
        <w:tc>
          <w:tcPr>
            <w:tcW w:w="834" w:type="pct"/>
            <w:tcBorders>
              <w:top w:val="single" w:sz="4" w:space="0" w:color="auto"/>
            </w:tcBorders>
            <w:hideMark/>
          </w:tcPr>
          <w:p w14:paraId="19140A6C" w14:textId="77777777" w:rsidR="00DB6B33" w:rsidRPr="0078701F" w:rsidRDefault="00DB6B33" w:rsidP="00B93CF0">
            <w:pPr>
              <w:spacing w:line="240" w:lineRule="auto"/>
              <w:ind w:firstLineChars="0" w:firstLine="0"/>
              <w:jc w:val="center"/>
              <w:rPr>
                <w:szCs w:val="24"/>
              </w:rPr>
            </w:pPr>
            <w:r w:rsidRPr="0078701F">
              <w:rPr>
                <w:szCs w:val="24"/>
              </w:rPr>
              <w:t>+0.6</w:t>
            </w:r>
          </w:p>
        </w:tc>
        <w:tc>
          <w:tcPr>
            <w:tcW w:w="1113" w:type="pct"/>
            <w:tcBorders>
              <w:top w:val="single" w:sz="4" w:space="0" w:color="auto"/>
            </w:tcBorders>
            <w:hideMark/>
          </w:tcPr>
          <w:p w14:paraId="30E081A4" w14:textId="77777777" w:rsidR="00DB6B33" w:rsidRPr="0078701F" w:rsidRDefault="00DB6B33" w:rsidP="00B93CF0">
            <w:pPr>
              <w:spacing w:line="240" w:lineRule="auto"/>
              <w:ind w:firstLineChars="0" w:firstLine="0"/>
              <w:jc w:val="center"/>
              <w:rPr>
                <w:szCs w:val="24"/>
              </w:rPr>
            </w:pPr>
            <w:r w:rsidRPr="0078701F">
              <w:rPr>
                <w:szCs w:val="24"/>
              </w:rPr>
              <w:t>强右侧</w:t>
            </w:r>
          </w:p>
        </w:tc>
      </w:tr>
      <w:tr w:rsidR="00DB6B33" w:rsidRPr="00DB6B33" w14:paraId="619CFD2C" w14:textId="77777777" w:rsidTr="00DB6B33">
        <w:trPr>
          <w:jc w:val="center"/>
        </w:trPr>
        <w:tc>
          <w:tcPr>
            <w:tcW w:w="1627" w:type="pct"/>
            <w:tcBorders>
              <w:bottom w:val="nil"/>
            </w:tcBorders>
            <w:hideMark/>
          </w:tcPr>
          <w:p w14:paraId="15072AD8" w14:textId="77777777" w:rsidR="00DB6B33" w:rsidRPr="0078701F" w:rsidRDefault="00DB6B33" w:rsidP="00B93CF0">
            <w:pPr>
              <w:spacing w:line="240" w:lineRule="auto"/>
              <w:ind w:firstLineChars="0" w:firstLine="0"/>
              <w:jc w:val="center"/>
              <w:rPr>
                <w:szCs w:val="24"/>
              </w:rPr>
            </w:pPr>
            <w:r w:rsidRPr="0078701F">
              <w:rPr>
                <w:szCs w:val="24"/>
              </w:rPr>
              <w:t>大幅上涨（</w:t>
            </w:r>
            <w:r w:rsidRPr="0078701F">
              <w:rPr>
                <w:szCs w:val="24"/>
              </w:rPr>
              <w:t>&gt;5%</w:t>
            </w:r>
            <w:r w:rsidRPr="0078701F">
              <w:rPr>
                <w:szCs w:val="24"/>
              </w:rPr>
              <w:t>）</w:t>
            </w:r>
          </w:p>
        </w:tc>
        <w:tc>
          <w:tcPr>
            <w:tcW w:w="1426" w:type="pct"/>
            <w:tcBorders>
              <w:bottom w:val="nil"/>
            </w:tcBorders>
            <w:hideMark/>
          </w:tcPr>
          <w:p w14:paraId="4F036328" w14:textId="2C97264A" w:rsidR="00DB6B33" w:rsidRPr="0078701F" w:rsidRDefault="00DB6B33" w:rsidP="00B93CF0">
            <w:pPr>
              <w:spacing w:line="240" w:lineRule="auto"/>
              <w:ind w:firstLineChars="0" w:firstLine="0"/>
              <w:jc w:val="center"/>
              <w:rPr>
                <w:szCs w:val="24"/>
              </w:rPr>
            </w:pPr>
            <w:r w:rsidRPr="0078701F">
              <w:rPr>
                <w:szCs w:val="24"/>
              </w:rPr>
              <w:t xml:space="preserve">+1% ~ +3% </w:t>
            </w:r>
            <w:r w:rsidR="00B93CF0">
              <w:rPr>
                <w:szCs w:val="24"/>
              </w:rPr>
              <w:t>（</w:t>
            </w:r>
            <w:r w:rsidRPr="0078701F">
              <w:rPr>
                <w:szCs w:val="24"/>
              </w:rPr>
              <w:t>微升</w:t>
            </w:r>
            <w:r w:rsidR="00B93CF0">
              <w:rPr>
                <w:szCs w:val="24"/>
              </w:rPr>
              <w:t>）</w:t>
            </w:r>
          </w:p>
        </w:tc>
        <w:tc>
          <w:tcPr>
            <w:tcW w:w="834" w:type="pct"/>
            <w:tcBorders>
              <w:bottom w:val="nil"/>
            </w:tcBorders>
            <w:hideMark/>
          </w:tcPr>
          <w:p w14:paraId="4FFFC255" w14:textId="77777777" w:rsidR="00DB6B33" w:rsidRPr="0078701F" w:rsidRDefault="00DB6B33" w:rsidP="00B93CF0">
            <w:pPr>
              <w:spacing w:line="240" w:lineRule="auto"/>
              <w:ind w:firstLineChars="0" w:firstLine="0"/>
              <w:jc w:val="center"/>
              <w:rPr>
                <w:szCs w:val="24"/>
              </w:rPr>
            </w:pPr>
            <w:r w:rsidRPr="0078701F">
              <w:rPr>
                <w:szCs w:val="24"/>
              </w:rPr>
              <w:t>0.0</w:t>
            </w:r>
          </w:p>
        </w:tc>
        <w:tc>
          <w:tcPr>
            <w:tcW w:w="1113" w:type="pct"/>
            <w:tcBorders>
              <w:bottom w:val="nil"/>
            </w:tcBorders>
            <w:hideMark/>
          </w:tcPr>
          <w:p w14:paraId="21CF17B0" w14:textId="77777777" w:rsidR="00DB6B33" w:rsidRPr="0078701F" w:rsidRDefault="00DB6B33" w:rsidP="00B93CF0">
            <w:pPr>
              <w:spacing w:line="240" w:lineRule="auto"/>
              <w:ind w:firstLineChars="0" w:firstLine="0"/>
              <w:jc w:val="center"/>
              <w:rPr>
                <w:szCs w:val="24"/>
              </w:rPr>
            </w:pPr>
            <w:r w:rsidRPr="0078701F">
              <w:rPr>
                <w:szCs w:val="24"/>
              </w:rPr>
              <w:t>均衡</w:t>
            </w:r>
          </w:p>
        </w:tc>
      </w:tr>
      <w:tr w:rsidR="00DB6B33" w:rsidRPr="00DB6B33" w14:paraId="59170357" w14:textId="77777777" w:rsidTr="00DB6B33">
        <w:trPr>
          <w:jc w:val="center"/>
        </w:trPr>
        <w:tc>
          <w:tcPr>
            <w:tcW w:w="1627" w:type="pct"/>
            <w:tcBorders>
              <w:top w:val="nil"/>
              <w:bottom w:val="nil"/>
            </w:tcBorders>
            <w:hideMark/>
          </w:tcPr>
          <w:p w14:paraId="5EA9720D" w14:textId="77777777" w:rsidR="00DB6B33" w:rsidRPr="0078701F" w:rsidRDefault="00DB6B33" w:rsidP="00B93CF0">
            <w:pPr>
              <w:spacing w:line="240" w:lineRule="auto"/>
              <w:ind w:firstLineChars="0" w:firstLine="0"/>
              <w:jc w:val="center"/>
              <w:rPr>
                <w:szCs w:val="24"/>
              </w:rPr>
            </w:pPr>
            <w:r w:rsidRPr="0078701F">
              <w:rPr>
                <w:szCs w:val="24"/>
              </w:rPr>
              <w:t>大幅上涨（</w:t>
            </w:r>
            <w:r w:rsidRPr="0078701F">
              <w:rPr>
                <w:szCs w:val="24"/>
              </w:rPr>
              <w:t>&gt;5%</w:t>
            </w:r>
            <w:r w:rsidRPr="0078701F">
              <w:rPr>
                <w:szCs w:val="24"/>
              </w:rPr>
              <w:t>）</w:t>
            </w:r>
          </w:p>
        </w:tc>
        <w:tc>
          <w:tcPr>
            <w:tcW w:w="1426" w:type="pct"/>
            <w:tcBorders>
              <w:top w:val="nil"/>
              <w:bottom w:val="nil"/>
            </w:tcBorders>
            <w:hideMark/>
          </w:tcPr>
          <w:p w14:paraId="25893A3C" w14:textId="6F2DCAD0" w:rsidR="00DB6B33" w:rsidRPr="0078701F" w:rsidRDefault="00DB6B33" w:rsidP="00B93CF0">
            <w:pPr>
              <w:spacing w:line="240" w:lineRule="auto"/>
              <w:ind w:firstLineChars="0" w:firstLine="0"/>
              <w:jc w:val="center"/>
              <w:rPr>
                <w:szCs w:val="24"/>
              </w:rPr>
            </w:pPr>
            <w:r w:rsidRPr="0078701F">
              <w:rPr>
                <w:szCs w:val="24"/>
              </w:rPr>
              <w:t xml:space="preserve">-1% ~ +1% </w:t>
            </w:r>
            <w:r w:rsidR="00B93CF0">
              <w:rPr>
                <w:szCs w:val="24"/>
              </w:rPr>
              <w:t>（</w:t>
            </w:r>
            <w:r w:rsidRPr="0078701F">
              <w:rPr>
                <w:szCs w:val="24"/>
              </w:rPr>
              <w:t>维持</w:t>
            </w:r>
            <w:r w:rsidR="00B93CF0">
              <w:rPr>
                <w:szCs w:val="24"/>
              </w:rPr>
              <w:t>）</w:t>
            </w:r>
          </w:p>
        </w:tc>
        <w:tc>
          <w:tcPr>
            <w:tcW w:w="834" w:type="pct"/>
            <w:tcBorders>
              <w:top w:val="nil"/>
              <w:bottom w:val="nil"/>
            </w:tcBorders>
            <w:hideMark/>
          </w:tcPr>
          <w:p w14:paraId="1C8BDDA6" w14:textId="77777777" w:rsidR="00DB6B33" w:rsidRPr="0078701F" w:rsidRDefault="00DB6B33" w:rsidP="00B93CF0">
            <w:pPr>
              <w:spacing w:line="240" w:lineRule="auto"/>
              <w:ind w:firstLineChars="0" w:firstLine="0"/>
              <w:jc w:val="center"/>
              <w:rPr>
                <w:szCs w:val="24"/>
              </w:rPr>
            </w:pPr>
            <w:r w:rsidRPr="0078701F">
              <w:rPr>
                <w:szCs w:val="24"/>
              </w:rPr>
              <w:t>-0.3</w:t>
            </w:r>
          </w:p>
        </w:tc>
        <w:tc>
          <w:tcPr>
            <w:tcW w:w="1113" w:type="pct"/>
            <w:tcBorders>
              <w:top w:val="nil"/>
              <w:bottom w:val="nil"/>
            </w:tcBorders>
            <w:hideMark/>
          </w:tcPr>
          <w:p w14:paraId="3CC2F894" w14:textId="77777777" w:rsidR="00DB6B33" w:rsidRPr="0078701F" w:rsidRDefault="00DB6B33" w:rsidP="00B93CF0">
            <w:pPr>
              <w:spacing w:line="240" w:lineRule="auto"/>
              <w:ind w:firstLineChars="0" w:firstLine="0"/>
              <w:jc w:val="center"/>
              <w:rPr>
                <w:szCs w:val="24"/>
              </w:rPr>
            </w:pPr>
            <w:r w:rsidRPr="0078701F">
              <w:rPr>
                <w:szCs w:val="24"/>
              </w:rPr>
              <w:t>偏左侧</w:t>
            </w:r>
          </w:p>
        </w:tc>
      </w:tr>
      <w:tr w:rsidR="00DB6B33" w:rsidRPr="00DB6B33" w14:paraId="4552AEF6" w14:textId="77777777" w:rsidTr="00DB6B33">
        <w:trPr>
          <w:jc w:val="center"/>
        </w:trPr>
        <w:tc>
          <w:tcPr>
            <w:tcW w:w="1627" w:type="pct"/>
            <w:tcBorders>
              <w:top w:val="nil"/>
              <w:bottom w:val="single" w:sz="4" w:space="0" w:color="auto"/>
            </w:tcBorders>
            <w:hideMark/>
          </w:tcPr>
          <w:p w14:paraId="62E806BB" w14:textId="77777777" w:rsidR="00DB6B33" w:rsidRPr="0078701F" w:rsidRDefault="00DB6B33" w:rsidP="00B93CF0">
            <w:pPr>
              <w:spacing w:line="240" w:lineRule="auto"/>
              <w:ind w:firstLineChars="0" w:firstLine="0"/>
              <w:jc w:val="center"/>
              <w:rPr>
                <w:szCs w:val="24"/>
              </w:rPr>
            </w:pPr>
            <w:r w:rsidRPr="0078701F">
              <w:rPr>
                <w:szCs w:val="24"/>
              </w:rPr>
              <w:t>大幅上涨（</w:t>
            </w:r>
            <w:r w:rsidRPr="0078701F">
              <w:rPr>
                <w:szCs w:val="24"/>
              </w:rPr>
              <w:t>&gt;5%</w:t>
            </w:r>
            <w:r w:rsidRPr="0078701F">
              <w:rPr>
                <w:szCs w:val="24"/>
              </w:rPr>
              <w:t>）</w:t>
            </w:r>
          </w:p>
        </w:tc>
        <w:tc>
          <w:tcPr>
            <w:tcW w:w="1426" w:type="pct"/>
            <w:tcBorders>
              <w:top w:val="nil"/>
              <w:bottom w:val="single" w:sz="4" w:space="0" w:color="auto"/>
            </w:tcBorders>
            <w:hideMark/>
          </w:tcPr>
          <w:p w14:paraId="7A5723E0" w14:textId="58542273" w:rsidR="00DB6B33" w:rsidRPr="0078701F" w:rsidRDefault="00DB6B33" w:rsidP="00B93CF0">
            <w:pPr>
              <w:spacing w:line="240" w:lineRule="auto"/>
              <w:ind w:firstLineChars="0" w:firstLine="0"/>
              <w:jc w:val="center"/>
              <w:rPr>
                <w:szCs w:val="24"/>
              </w:rPr>
            </w:pPr>
            <w:r w:rsidRPr="0078701F">
              <w:rPr>
                <w:szCs w:val="24"/>
              </w:rPr>
              <w:t xml:space="preserve">&lt; -1% </w:t>
            </w:r>
            <w:r w:rsidR="00B93CF0">
              <w:rPr>
                <w:szCs w:val="24"/>
              </w:rPr>
              <w:t>（</w:t>
            </w:r>
            <w:r w:rsidRPr="0078701F">
              <w:rPr>
                <w:szCs w:val="24"/>
              </w:rPr>
              <w:t>减仓</w:t>
            </w:r>
            <w:r w:rsidR="00B93CF0">
              <w:rPr>
                <w:szCs w:val="24"/>
              </w:rPr>
              <w:t>）</w:t>
            </w:r>
          </w:p>
        </w:tc>
        <w:tc>
          <w:tcPr>
            <w:tcW w:w="834" w:type="pct"/>
            <w:tcBorders>
              <w:top w:val="nil"/>
              <w:bottom w:val="single" w:sz="4" w:space="0" w:color="auto"/>
            </w:tcBorders>
            <w:hideMark/>
          </w:tcPr>
          <w:p w14:paraId="7C083072" w14:textId="77777777" w:rsidR="00DB6B33" w:rsidRPr="0078701F" w:rsidRDefault="00DB6B33" w:rsidP="00B93CF0">
            <w:pPr>
              <w:spacing w:line="240" w:lineRule="auto"/>
              <w:ind w:firstLineChars="0" w:firstLine="0"/>
              <w:jc w:val="center"/>
              <w:rPr>
                <w:szCs w:val="24"/>
              </w:rPr>
            </w:pPr>
            <w:r w:rsidRPr="0078701F">
              <w:rPr>
                <w:szCs w:val="24"/>
              </w:rPr>
              <w:t>-0.6</w:t>
            </w:r>
          </w:p>
        </w:tc>
        <w:tc>
          <w:tcPr>
            <w:tcW w:w="1113" w:type="pct"/>
            <w:tcBorders>
              <w:top w:val="nil"/>
              <w:bottom w:val="single" w:sz="4" w:space="0" w:color="auto"/>
            </w:tcBorders>
            <w:hideMark/>
          </w:tcPr>
          <w:p w14:paraId="61379127" w14:textId="77777777" w:rsidR="00DB6B33" w:rsidRPr="0078701F" w:rsidRDefault="00DB6B33" w:rsidP="00B93CF0">
            <w:pPr>
              <w:spacing w:line="240" w:lineRule="auto"/>
              <w:ind w:firstLineChars="0" w:firstLine="0"/>
              <w:jc w:val="center"/>
              <w:rPr>
                <w:szCs w:val="24"/>
              </w:rPr>
            </w:pPr>
            <w:r w:rsidRPr="0078701F">
              <w:rPr>
                <w:szCs w:val="24"/>
              </w:rPr>
              <w:t>强左侧</w:t>
            </w:r>
          </w:p>
        </w:tc>
      </w:tr>
      <w:tr w:rsidR="00DB6B33" w:rsidRPr="00DB6B33" w14:paraId="7D266921" w14:textId="77777777" w:rsidTr="00DB6B33">
        <w:trPr>
          <w:jc w:val="center"/>
        </w:trPr>
        <w:tc>
          <w:tcPr>
            <w:tcW w:w="1627" w:type="pct"/>
            <w:tcBorders>
              <w:top w:val="single" w:sz="4" w:space="0" w:color="auto"/>
            </w:tcBorders>
            <w:hideMark/>
          </w:tcPr>
          <w:p w14:paraId="6A7329B4" w14:textId="77777777" w:rsidR="00DB6B33" w:rsidRPr="0078701F" w:rsidRDefault="00DB6B33" w:rsidP="00B93CF0">
            <w:pPr>
              <w:spacing w:line="240" w:lineRule="auto"/>
              <w:ind w:firstLineChars="0" w:firstLine="0"/>
              <w:jc w:val="center"/>
              <w:rPr>
                <w:szCs w:val="24"/>
              </w:rPr>
            </w:pPr>
            <w:r w:rsidRPr="0078701F">
              <w:rPr>
                <w:szCs w:val="24"/>
              </w:rPr>
              <w:lastRenderedPageBreak/>
              <w:t>震荡市（</w:t>
            </w:r>
            <w:r w:rsidRPr="0078701F">
              <w:rPr>
                <w:szCs w:val="24"/>
              </w:rPr>
              <w:t>-5% ~ 5%</w:t>
            </w:r>
            <w:r w:rsidRPr="0078701F">
              <w:rPr>
                <w:szCs w:val="24"/>
              </w:rPr>
              <w:t>）</w:t>
            </w:r>
          </w:p>
        </w:tc>
        <w:tc>
          <w:tcPr>
            <w:tcW w:w="1426" w:type="pct"/>
            <w:tcBorders>
              <w:top w:val="single" w:sz="4" w:space="0" w:color="auto"/>
            </w:tcBorders>
            <w:hideMark/>
          </w:tcPr>
          <w:p w14:paraId="5F13D41A" w14:textId="77777777" w:rsidR="00DB6B33" w:rsidRPr="0078701F" w:rsidRDefault="00DB6B33" w:rsidP="00B93CF0">
            <w:pPr>
              <w:spacing w:line="240" w:lineRule="auto"/>
              <w:ind w:firstLineChars="0" w:firstLine="0"/>
              <w:jc w:val="center"/>
              <w:rPr>
                <w:szCs w:val="24"/>
              </w:rPr>
            </w:pPr>
            <w:r w:rsidRPr="0078701F">
              <w:rPr>
                <w:szCs w:val="24"/>
              </w:rPr>
              <w:t>任何变化</w:t>
            </w:r>
          </w:p>
        </w:tc>
        <w:tc>
          <w:tcPr>
            <w:tcW w:w="834" w:type="pct"/>
            <w:tcBorders>
              <w:top w:val="single" w:sz="4" w:space="0" w:color="auto"/>
            </w:tcBorders>
            <w:hideMark/>
          </w:tcPr>
          <w:p w14:paraId="16BCD100" w14:textId="77777777" w:rsidR="00DB6B33" w:rsidRPr="0078701F" w:rsidRDefault="00DB6B33" w:rsidP="00B93CF0">
            <w:pPr>
              <w:spacing w:line="240" w:lineRule="auto"/>
              <w:ind w:firstLineChars="0" w:firstLine="0"/>
              <w:jc w:val="center"/>
              <w:rPr>
                <w:szCs w:val="24"/>
              </w:rPr>
            </w:pPr>
            <w:r w:rsidRPr="0078701F">
              <w:rPr>
                <w:szCs w:val="24"/>
              </w:rPr>
              <w:t>0.0</w:t>
            </w:r>
          </w:p>
        </w:tc>
        <w:tc>
          <w:tcPr>
            <w:tcW w:w="1113" w:type="pct"/>
            <w:tcBorders>
              <w:top w:val="single" w:sz="4" w:space="0" w:color="auto"/>
            </w:tcBorders>
            <w:hideMark/>
          </w:tcPr>
          <w:p w14:paraId="64AAA186" w14:textId="77777777" w:rsidR="00DB6B33" w:rsidRPr="0078701F" w:rsidRDefault="00DB6B33" w:rsidP="00B93CF0">
            <w:pPr>
              <w:spacing w:line="240" w:lineRule="auto"/>
              <w:ind w:firstLineChars="0" w:firstLine="0"/>
              <w:jc w:val="center"/>
              <w:rPr>
                <w:szCs w:val="24"/>
              </w:rPr>
            </w:pPr>
            <w:r w:rsidRPr="0078701F">
              <w:rPr>
                <w:szCs w:val="24"/>
              </w:rPr>
              <w:t>均衡</w:t>
            </w:r>
          </w:p>
        </w:tc>
      </w:tr>
    </w:tbl>
    <w:p w14:paraId="3EDB6EBC" w14:textId="3675EDAE" w:rsidR="007C419F" w:rsidRDefault="007C419F" w:rsidP="007C419F">
      <w:r>
        <w:rPr>
          <w:rFonts w:hint="eastAsia"/>
        </w:rPr>
        <w:t>最后根据最终得分得到基金经理操作风格特征，一共分为以下五档。</w:t>
      </w:r>
    </w:p>
    <w:p w14:paraId="291648EA" w14:textId="07A7639A" w:rsidR="007C419F" w:rsidRDefault="007C419F" w:rsidP="00A2731D">
      <w:pPr>
        <w:keepNext/>
        <w:ind w:firstLineChars="0" w:firstLine="0"/>
        <w:jc w:val="center"/>
        <w:rPr>
          <w:b/>
          <w:bCs/>
        </w:rPr>
      </w:pPr>
      <w:r>
        <w:rPr>
          <w:rFonts w:hint="eastAsia"/>
          <w:b/>
          <w:bCs/>
        </w:rPr>
        <w:t>表：操作风格得分表</w:t>
      </w:r>
    </w:p>
    <w:tbl>
      <w:tblPr>
        <w:tblStyle w:val="11"/>
        <w:tblW w:w="5000" w:type="pct"/>
        <w:tblLook w:val="04A0" w:firstRow="1" w:lastRow="0" w:firstColumn="1" w:lastColumn="0" w:noHBand="0" w:noVBand="1"/>
      </w:tblPr>
      <w:tblGrid>
        <w:gridCol w:w="2127"/>
        <w:gridCol w:w="2410"/>
        <w:gridCol w:w="3769"/>
      </w:tblGrid>
      <w:tr w:rsidR="007C419F" w:rsidRPr="007C419F" w14:paraId="5261D047" w14:textId="2765B799" w:rsidTr="00F24397">
        <w:trPr>
          <w:cnfStyle w:val="100000000000" w:firstRow="1" w:lastRow="0" w:firstColumn="0" w:lastColumn="0" w:oddVBand="0" w:evenVBand="0" w:oddHBand="0" w:evenHBand="0" w:firstRowFirstColumn="0" w:firstRowLastColumn="0" w:lastRowFirstColumn="0" w:lastRowLastColumn="0"/>
          <w:tblHeader/>
        </w:trPr>
        <w:tc>
          <w:tcPr>
            <w:tcW w:w="1280" w:type="pct"/>
            <w:hideMark/>
          </w:tcPr>
          <w:p w14:paraId="7F7B8EE8" w14:textId="77777777" w:rsidR="007C419F" w:rsidRPr="007C419F" w:rsidRDefault="007C419F" w:rsidP="00F24397">
            <w:pPr>
              <w:spacing w:line="240" w:lineRule="auto"/>
              <w:ind w:firstLine="456"/>
              <w:rPr>
                <w:bCs/>
              </w:rPr>
            </w:pPr>
            <w:r w:rsidRPr="007C419F">
              <w:rPr>
                <w:bCs/>
              </w:rPr>
              <w:t>风格特征</w:t>
            </w:r>
          </w:p>
        </w:tc>
        <w:tc>
          <w:tcPr>
            <w:tcW w:w="1451" w:type="pct"/>
            <w:hideMark/>
          </w:tcPr>
          <w:p w14:paraId="42264CEC" w14:textId="77777777" w:rsidR="007C419F" w:rsidRPr="007C419F" w:rsidRDefault="007C419F" w:rsidP="00F24397">
            <w:pPr>
              <w:spacing w:line="240" w:lineRule="auto"/>
              <w:ind w:firstLine="456"/>
              <w:rPr>
                <w:bCs/>
              </w:rPr>
            </w:pPr>
            <w:r w:rsidRPr="007C419F">
              <w:rPr>
                <w:bCs/>
              </w:rPr>
              <w:t>得分区间</w:t>
            </w:r>
          </w:p>
        </w:tc>
        <w:tc>
          <w:tcPr>
            <w:tcW w:w="2269" w:type="pct"/>
          </w:tcPr>
          <w:p w14:paraId="0441249B" w14:textId="52FF9792" w:rsidR="007C419F" w:rsidRPr="007C419F" w:rsidRDefault="007C419F" w:rsidP="00F24397">
            <w:pPr>
              <w:spacing w:line="240" w:lineRule="auto"/>
              <w:ind w:firstLineChars="0" w:firstLine="0"/>
              <w:rPr>
                <w:bCs/>
              </w:rPr>
            </w:pPr>
            <w:r w:rsidRPr="007C419F">
              <w:rPr>
                <w:rFonts w:hint="eastAsia"/>
                <w:bCs/>
              </w:rPr>
              <w:t>说明</w:t>
            </w:r>
          </w:p>
        </w:tc>
      </w:tr>
      <w:tr w:rsidR="007C419F" w:rsidRPr="007C419F" w14:paraId="146C6C8D" w14:textId="5225EE61" w:rsidTr="00F24397">
        <w:tc>
          <w:tcPr>
            <w:tcW w:w="1280" w:type="pct"/>
            <w:hideMark/>
          </w:tcPr>
          <w:p w14:paraId="0D8005C5" w14:textId="77777777" w:rsidR="007C419F" w:rsidRPr="007C419F" w:rsidRDefault="007C419F" w:rsidP="00F24397">
            <w:pPr>
              <w:spacing w:line="240" w:lineRule="auto"/>
            </w:pPr>
            <w:r w:rsidRPr="007C419F">
              <w:t>强左侧特征</w:t>
            </w:r>
          </w:p>
        </w:tc>
        <w:tc>
          <w:tcPr>
            <w:tcW w:w="1451" w:type="pct"/>
            <w:hideMark/>
          </w:tcPr>
          <w:p w14:paraId="0369FF1B" w14:textId="77777777" w:rsidR="007C419F" w:rsidRPr="007C419F" w:rsidRDefault="007C419F" w:rsidP="00F24397">
            <w:pPr>
              <w:spacing w:line="240" w:lineRule="auto"/>
            </w:pPr>
            <w:r w:rsidRPr="007C419F">
              <w:t xml:space="preserve">-1.0 </w:t>
            </w:r>
            <w:r w:rsidRPr="007C419F">
              <w:t>到</w:t>
            </w:r>
            <w:r w:rsidRPr="007C419F">
              <w:t xml:space="preserve"> -0.6</w:t>
            </w:r>
          </w:p>
        </w:tc>
        <w:tc>
          <w:tcPr>
            <w:tcW w:w="2269" w:type="pct"/>
          </w:tcPr>
          <w:p w14:paraId="1436CF31" w14:textId="3F5CF3B3" w:rsidR="007C419F" w:rsidRPr="007C419F" w:rsidRDefault="00F24397" w:rsidP="00F24397">
            <w:pPr>
              <w:spacing w:line="240" w:lineRule="auto"/>
              <w:ind w:firstLineChars="0" w:firstLine="0"/>
            </w:pPr>
            <w:r w:rsidRPr="00F24397">
              <w:rPr>
                <w:rFonts w:hint="eastAsia"/>
              </w:rPr>
              <w:t>明确的逆向投资特征，如</w:t>
            </w:r>
            <w:r>
              <w:rPr>
                <w:rFonts w:hint="eastAsia"/>
              </w:rPr>
              <w:t>“</w:t>
            </w:r>
            <w:r w:rsidRPr="00F24397">
              <w:rPr>
                <w:rFonts w:hint="eastAsia"/>
              </w:rPr>
              <w:t>越跌越买</w:t>
            </w:r>
            <w:r>
              <w:rPr>
                <w:rFonts w:hint="eastAsia"/>
              </w:rPr>
              <w:t>”</w:t>
            </w:r>
            <w:r w:rsidRPr="00F24397">
              <w:rPr>
                <w:rFonts w:hint="eastAsia"/>
              </w:rPr>
              <w:t>、</w:t>
            </w:r>
            <w:r>
              <w:rPr>
                <w:rFonts w:hint="eastAsia"/>
              </w:rPr>
              <w:t>“</w:t>
            </w:r>
            <w:r w:rsidRPr="00F24397">
              <w:rPr>
                <w:rFonts w:hint="eastAsia"/>
              </w:rPr>
              <w:t>左侧布局</w:t>
            </w:r>
            <w:r>
              <w:rPr>
                <w:rFonts w:hint="eastAsia"/>
              </w:rPr>
              <w:t>”</w:t>
            </w:r>
          </w:p>
        </w:tc>
      </w:tr>
      <w:tr w:rsidR="007C419F" w:rsidRPr="007C419F" w14:paraId="1B161ACF" w14:textId="15B73703" w:rsidTr="00F24397">
        <w:tc>
          <w:tcPr>
            <w:tcW w:w="1280" w:type="pct"/>
            <w:hideMark/>
          </w:tcPr>
          <w:p w14:paraId="1E8D2A7A" w14:textId="77777777" w:rsidR="007C419F" w:rsidRPr="007C419F" w:rsidRDefault="007C419F" w:rsidP="00F24397">
            <w:pPr>
              <w:spacing w:line="240" w:lineRule="auto"/>
            </w:pPr>
            <w:r w:rsidRPr="007C419F">
              <w:t>中等左侧特征</w:t>
            </w:r>
          </w:p>
        </w:tc>
        <w:tc>
          <w:tcPr>
            <w:tcW w:w="1451" w:type="pct"/>
            <w:hideMark/>
          </w:tcPr>
          <w:p w14:paraId="28A34836" w14:textId="77777777" w:rsidR="007C419F" w:rsidRPr="007C419F" w:rsidRDefault="007C419F" w:rsidP="00F24397">
            <w:pPr>
              <w:spacing w:line="240" w:lineRule="auto"/>
            </w:pPr>
            <w:r w:rsidRPr="007C419F">
              <w:t xml:space="preserve">-0.6 </w:t>
            </w:r>
            <w:r w:rsidRPr="007C419F">
              <w:t>到</w:t>
            </w:r>
            <w:r w:rsidRPr="007C419F">
              <w:t xml:space="preserve"> -0.3</w:t>
            </w:r>
          </w:p>
        </w:tc>
        <w:tc>
          <w:tcPr>
            <w:tcW w:w="2269" w:type="pct"/>
          </w:tcPr>
          <w:p w14:paraId="30C62803" w14:textId="5B9B708F" w:rsidR="007C419F" w:rsidRPr="007C419F" w:rsidRDefault="00F24397" w:rsidP="00F24397">
            <w:pPr>
              <w:spacing w:line="240" w:lineRule="auto"/>
              <w:ind w:firstLineChars="0" w:firstLine="0"/>
            </w:pPr>
            <w:r w:rsidRPr="00F24397">
              <w:rPr>
                <w:rFonts w:hint="eastAsia"/>
              </w:rPr>
              <w:t>有左侧倾向，但不够强烈</w:t>
            </w:r>
          </w:p>
        </w:tc>
      </w:tr>
      <w:tr w:rsidR="007C419F" w:rsidRPr="007C419F" w14:paraId="544BC689" w14:textId="3CF9BE3A" w:rsidTr="00F24397">
        <w:tc>
          <w:tcPr>
            <w:tcW w:w="1280" w:type="pct"/>
            <w:hideMark/>
          </w:tcPr>
          <w:p w14:paraId="3A0F2CD9" w14:textId="77777777" w:rsidR="007C419F" w:rsidRPr="007C419F" w:rsidRDefault="007C419F" w:rsidP="00F24397">
            <w:pPr>
              <w:spacing w:line="240" w:lineRule="auto"/>
            </w:pPr>
            <w:r w:rsidRPr="007C419F">
              <w:t>均衡特征</w:t>
            </w:r>
          </w:p>
        </w:tc>
        <w:tc>
          <w:tcPr>
            <w:tcW w:w="1451" w:type="pct"/>
            <w:hideMark/>
          </w:tcPr>
          <w:p w14:paraId="73385CC4" w14:textId="77777777" w:rsidR="007C419F" w:rsidRPr="007C419F" w:rsidRDefault="007C419F" w:rsidP="00F24397">
            <w:pPr>
              <w:spacing w:line="240" w:lineRule="auto"/>
            </w:pPr>
            <w:r w:rsidRPr="007C419F">
              <w:t xml:space="preserve">-0.3 </w:t>
            </w:r>
            <w:r w:rsidRPr="007C419F">
              <w:t>到</w:t>
            </w:r>
            <w:r w:rsidRPr="007C419F">
              <w:t xml:space="preserve"> 0.3</w:t>
            </w:r>
          </w:p>
        </w:tc>
        <w:tc>
          <w:tcPr>
            <w:tcW w:w="2269" w:type="pct"/>
          </w:tcPr>
          <w:p w14:paraId="54038751" w14:textId="3F473BC1" w:rsidR="007C419F" w:rsidRPr="007C419F" w:rsidRDefault="00F24397" w:rsidP="00F24397">
            <w:pPr>
              <w:spacing w:line="240" w:lineRule="auto"/>
              <w:ind w:firstLineChars="0" w:firstLine="0"/>
            </w:pPr>
            <w:r w:rsidRPr="00F24397">
              <w:rPr>
                <w:rFonts w:hint="eastAsia"/>
              </w:rPr>
              <w:t>无明显左右侧倾向，保持均衡配置</w:t>
            </w:r>
          </w:p>
        </w:tc>
      </w:tr>
      <w:tr w:rsidR="007C419F" w:rsidRPr="007C419F" w14:paraId="3F75EB62" w14:textId="266B1CDF" w:rsidTr="00F24397">
        <w:tc>
          <w:tcPr>
            <w:tcW w:w="1280" w:type="pct"/>
            <w:hideMark/>
          </w:tcPr>
          <w:p w14:paraId="7A0C4F02" w14:textId="77777777" w:rsidR="007C419F" w:rsidRPr="007C419F" w:rsidRDefault="007C419F" w:rsidP="00F24397">
            <w:pPr>
              <w:spacing w:line="240" w:lineRule="auto"/>
            </w:pPr>
            <w:r w:rsidRPr="007C419F">
              <w:t>中等右侧特征</w:t>
            </w:r>
          </w:p>
        </w:tc>
        <w:tc>
          <w:tcPr>
            <w:tcW w:w="1451" w:type="pct"/>
            <w:hideMark/>
          </w:tcPr>
          <w:p w14:paraId="453FE661" w14:textId="77777777" w:rsidR="007C419F" w:rsidRPr="007C419F" w:rsidRDefault="007C419F" w:rsidP="00F24397">
            <w:pPr>
              <w:spacing w:line="240" w:lineRule="auto"/>
            </w:pPr>
            <w:r w:rsidRPr="007C419F">
              <w:t xml:space="preserve">0.3 </w:t>
            </w:r>
            <w:r w:rsidRPr="007C419F">
              <w:t>到</w:t>
            </w:r>
            <w:r w:rsidRPr="007C419F">
              <w:t xml:space="preserve"> 0.6</w:t>
            </w:r>
          </w:p>
        </w:tc>
        <w:tc>
          <w:tcPr>
            <w:tcW w:w="2269" w:type="pct"/>
          </w:tcPr>
          <w:p w14:paraId="763F66CF" w14:textId="77B7BA18" w:rsidR="007C419F" w:rsidRPr="007C419F" w:rsidRDefault="00F24397" w:rsidP="00F24397">
            <w:pPr>
              <w:spacing w:line="240" w:lineRule="auto"/>
              <w:ind w:firstLineChars="0" w:firstLine="0"/>
            </w:pPr>
            <w:r w:rsidRPr="00F24397">
              <w:rPr>
                <w:rFonts w:hint="eastAsia"/>
              </w:rPr>
              <w:t>有右侧倾向，但不够强烈</w:t>
            </w:r>
          </w:p>
        </w:tc>
      </w:tr>
      <w:tr w:rsidR="007C419F" w:rsidRPr="007C419F" w14:paraId="60A6C194" w14:textId="7957FE32" w:rsidTr="00F24397">
        <w:tc>
          <w:tcPr>
            <w:tcW w:w="1280" w:type="pct"/>
            <w:hideMark/>
          </w:tcPr>
          <w:p w14:paraId="29D3E7C5" w14:textId="77777777" w:rsidR="007C419F" w:rsidRPr="007C419F" w:rsidRDefault="007C419F" w:rsidP="00F24397">
            <w:pPr>
              <w:spacing w:line="240" w:lineRule="auto"/>
            </w:pPr>
            <w:r w:rsidRPr="007C419F">
              <w:t>强右侧特征</w:t>
            </w:r>
          </w:p>
        </w:tc>
        <w:tc>
          <w:tcPr>
            <w:tcW w:w="1451" w:type="pct"/>
            <w:hideMark/>
          </w:tcPr>
          <w:p w14:paraId="416F29E3" w14:textId="77777777" w:rsidR="007C419F" w:rsidRPr="007C419F" w:rsidRDefault="007C419F" w:rsidP="00F24397">
            <w:pPr>
              <w:spacing w:line="240" w:lineRule="auto"/>
            </w:pPr>
            <w:r w:rsidRPr="007C419F">
              <w:t xml:space="preserve">0.6 </w:t>
            </w:r>
            <w:r w:rsidRPr="007C419F">
              <w:t>到</w:t>
            </w:r>
            <w:r w:rsidRPr="007C419F">
              <w:t xml:space="preserve"> 1.0</w:t>
            </w:r>
          </w:p>
        </w:tc>
        <w:tc>
          <w:tcPr>
            <w:tcW w:w="2269" w:type="pct"/>
          </w:tcPr>
          <w:p w14:paraId="3FBFACB0" w14:textId="1D2E251F" w:rsidR="007C419F" w:rsidRPr="00F24397" w:rsidRDefault="00F24397" w:rsidP="00F24397">
            <w:pPr>
              <w:spacing w:line="240" w:lineRule="auto"/>
              <w:ind w:firstLineChars="0" w:firstLine="0"/>
            </w:pPr>
            <w:r w:rsidRPr="00F24397">
              <w:rPr>
                <w:rFonts w:hint="eastAsia"/>
              </w:rPr>
              <w:t>明确的趋势投资特征，如</w:t>
            </w:r>
            <w:r>
              <w:rPr>
                <w:rFonts w:hint="eastAsia"/>
              </w:rPr>
              <w:t>“</w:t>
            </w:r>
            <w:r w:rsidRPr="00F24397">
              <w:rPr>
                <w:rFonts w:hint="eastAsia"/>
              </w:rPr>
              <w:t>顺势而为</w:t>
            </w:r>
            <w:r>
              <w:rPr>
                <w:rFonts w:hint="eastAsia"/>
              </w:rPr>
              <w:t>”</w:t>
            </w:r>
            <w:r w:rsidRPr="00F24397">
              <w:rPr>
                <w:rFonts w:hint="eastAsia"/>
              </w:rPr>
              <w:t>、</w:t>
            </w:r>
            <w:r>
              <w:rPr>
                <w:rFonts w:hint="eastAsia"/>
              </w:rPr>
              <w:t>“</w:t>
            </w:r>
            <w:r w:rsidRPr="00F24397">
              <w:rPr>
                <w:rFonts w:hint="eastAsia"/>
              </w:rPr>
              <w:t>右侧跟随</w:t>
            </w:r>
            <w:r>
              <w:t>”</w:t>
            </w:r>
          </w:p>
        </w:tc>
      </w:tr>
    </w:tbl>
    <w:p w14:paraId="10CB26D1" w14:textId="598DDBA7" w:rsidR="00605360" w:rsidRPr="00605360" w:rsidRDefault="00605360" w:rsidP="00605360">
      <w:pPr>
        <w:rPr>
          <w:rFonts w:hint="eastAsia"/>
        </w:rPr>
      </w:pPr>
      <w:r>
        <w:rPr>
          <w:rFonts w:hint="eastAsia"/>
        </w:rPr>
        <w:t>由于二级债基和转债基金均有权益仓位限制，因此对于</w:t>
      </w:r>
      <w:r w:rsidRPr="00605360">
        <w:t>二级债基</w:t>
      </w:r>
      <w:r>
        <w:rPr>
          <w:rFonts w:hint="eastAsia"/>
        </w:rPr>
        <w:t>而言，</w:t>
      </w:r>
      <w:r w:rsidRPr="00605360">
        <w:t>风险资产占比</w:t>
      </w:r>
      <w:r>
        <w:rPr>
          <w:rFonts w:hint="eastAsia"/>
        </w:rPr>
        <w:t>大于</w:t>
      </w:r>
      <w:r>
        <w:rPr>
          <w:rFonts w:hint="eastAsia"/>
        </w:rPr>
        <w:t>18%</w:t>
      </w:r>
      <w:r>
        <w:rPr>
          <w:rFonts w:hint="eastAsia"/>
        </w:rPr>
        <w:t>，对于转债基金而言，风险资产比例大于</w:t>
      </w:r>
      <w:r>
        <w:rPr>
          <w:rFonts w:hint="eastAsia"/>
        </w:rPr>
        <w:t>85%</w:t>
      </w:r>
      <w:r>
        <w:rPr>
          <w:rFonts w:hint="eastAsia"/>
        </w:rPr>
        <w:t>，</w:t>
      </w:r>
      <w:r w:rsidRPr="00605360">
        <w:t>系统判定其处于</w:t>
      </w:r>
      <w:r w:rsidRPr="00605360">
        <w:t>“</w:t>
      </w:r>
      <w:r w:rsidRPr="00605360">
        <w:t>高弹性进攻</w:t>
      </w:r>
      <w:r w:rsidRPr="00605360">
        <w:t>/</w:t>
      </w:r>
      <w:r w:rsidRPr="00605360">
        <w:t>满仓状态</w:t>
      </w:r>
      <w:r w:rsidRPr="00605360">
        <w:t>”</w:t>
      </w:r>
      <w:r w:rsidRPr="00605360">
        <w:t>。此时，在上涨或震荡市中维持仓位不变，</w:t>
      </w:r>
      <w:r>
        <w:rPr>
          <w:rFonts w:hint="eastAsia"/>
        </w:rPr>
        <w:t>将被</w:t>
      </w:r>
      <w:r w:rsidRPr="00605360">
        <w:t>判定为强烈的右侧持筹待涨</w:t>
      </w:r>
      <w:r>
        <w:rPr>
          <w:rFonts w:hint="eastAsia"/>
        </w:rPr>
        <w:t>。</w:t>
      </w:r>
    </w:p>
    <w:p w14:paraId="16C5A6E3" w14:textId="62FFF79D" w:rsidR="004B76A8" w:rsidRDefault="004B76A8" w:rsidP="00A408B7">
      <w:pPr>
        <w:ind w:firstLine="456"/>
        <w:rPr>
          <w:b/>
          <w:bCs/>
        </w:rPr>
      </w:pPr>
      <w:r w:rsidRPr="00B93CF0">
        <w:rPr>
          <w:rFonts w:hint="eastAsia"/>
          <w:b/>
          <w:bCs/>
        </w:rPr>
        <w:t>3.</w:t>
      </w:r>
      <w:r w:rsidRPr="00B93CF0">
        <w:rPr>
          <w:rFonts w:hint="eastAsia"/>
          <w:b/>
          <w:bCs/>
        </w:rPr>
        <w:t>个性特征标签</w:t>
      </w:r>
    </w:p>
    <w:p w14:paraId="7C495427" w14:textId="77777777" w:rsidR="00D87697" w:rsidRPr="00D87697" w:rsidRDefault="00D87697" w:rsidP="00D87697">
      <w:r w:rsidRPr="00D87697">
        <w:t>该部分旨在通过构建标签体系，深度解析基金经理的投资理念、风险偏好与微观操作特征。本研究共选取了四个核心维度：</w:t>
      </w:r>
      <w:r w:rsidRPr="00D87697">
        <w:rPr>
          <w:b/>
          <w:bCs/>
        </w:rPr>
        <w:t>信用下沉、权益风格、回撤控制、利率波段</w:t>
      </w:r>
      <w:r w:rsidRPr="00D87697">
        <w:t>。</w:t>
      </w:r>
    </w:p>
    <w:p w14:paraId="2DA8E317" w14:textId="77777777" w:rsidR="00D87697" w:rsidRDefault="00D87697" w:rsidP="00D87697">
      <w:r w:rsidRPr="00D87697">
        <w:t>在技术实现上，所有标签均采用</w:t>
      </w:r>
      <w:r w:rsidRPr="00D87697">
        <w:t>“</w:t>
      </w:r>
      <w:r w:rsidRPr="00D87697">
        <w:t>主观与客观相印证</w:t>
      </w:r>
      <w:r w:rsidRPr="00D87697">
        <w:t>”</w:t>
      </w:r>
      <w:r w:rsidRPr="00D87697">
        <w:t>的</w:t>
      </w:r>
      <w:r w:rsidRPr="00D87697">
        <w:t xml:space="preserve"> LLM </w:t>
      </w:r>
      <w:r w:rsidRPr="00D87697">
        <w:t>综合分析方法。系统将大语言模型强大的语义理解能力与硬核的底层持仓、净值数据相结合，进行交叉验证。由于二级债基和转债基金在资产配置约束、收益风险特征上存在本质差异，本系统在提示词（</w:t>
      </w:r>
      <w:r w:rsidRPr="00D87697">
        <w:t>Prompt</w:t>
      </w:r>
      <w:r w:rsidRPr="00D87697">
        <w:t>）工程中</w:t>
      </w:r>
      <w:r>
        <w:rPr>
          <w:rFonts w:hint="eastAsia"/>
        </w:rPr>
        <w:t>分开研究</w:t>
      </w:r>
      <w:r w:rsidRPr="00D87697">
        <w:t>。</w:t>
      </w:r>
    </w:p>
    <w:p w14:paraId="1D2320C6" w14:textId="77777777" w:rsidR="00D87697" w:rsidRDefault="00D87697" w:rsidP="00D87697">
      <w:pPr>
        <w:ind w:firstLine="456"/>
      </w:pPr>
      <w:r w:rsidRPr="00D87697">
        <w:rPr>
          <w:b/>
          <w:bCs/>
        </w:rPr>
        <w:t>二级债基</w:t>
      </w:r>
      <w:r w:rsidRPr="00D87697">
        <w:t>：股票仓位</w:t>
      </w:r>
      <w:r w:rsidRPr="00D87697">
        <w:t>≤20%</w:t>
      </w:r>
      <w:r w:rsidRPr="00D87697">
        <w:t>，主要收益来源为债券票息</w:t>
      </w:r>
      <w:r w:rsidRPr="00D87697">
        <w:t>+</w:t>
      </w:r>
      <w:r w:rsidRPr="00D87697">
        <w:t>权益增强；风险特征：中低波动，目标回撤</w:t>
      </w:r>
      <w:r w:rsidRPr="00D87697">
        <w:t>2%-5%”</w:t>
      </w:r>
      <w:r w:rsidRPr="00D87697">
        <w:t>等先验知识。</w:t>
      </w:r>
    </w:p>
    <w:p w14:paraId="3575DF96" w14:textId="083F99E8" w:rsidR="00BE037B" w:rsidRPr="00D87697" w:rsidRDefault="00D87697" w:rsidP="00D87697">
      <w:pPr>
        <w:ind w:firstLine="456"/>
        <w:rPr>
          <w:rFonts w:hint="eastAsia"/>
        </w:rPr>
      </w:pPr>
      <w:r w:rsidRPr="00D87697">
        <w:rPr>
          <w:b/>
          <w:bCs/>
        </w:rPr>
        <w:t>转债基金</w:t>
      </w:r>
      <w:r w:rsidRPr="00D87697">
        <w:t>：双低策略与高弹性博弈；风险特征：中高波动，期权属性带来的高回撤容忍度</w:t>
      </w:r>
      <w:r w:rsidRPr="00D87697">
        <w:t>”</w:t>
      </w:r>
      <w:r w:rsidRPr="00D87697">
        <w:t>等视角。</w:t>
      </w:r>
    </w:p>
    <w:p w14:paraId="2872876C" w14:textId="60391D24" w:rsidR="00164497" w:rsidRDefault="00164497" w:rsidP="00164497">
      <w:pPr>
        <w:pStyle w:val="af0"/>
        <w:ind w:firstLine="456"/>
      </w:pPr>
      <w:r>
        <w:rPr>
          <w:rFonts w:hint="eastAsia"/>
        </w:rPr>
        <w:t>表：个性特征标签分析方法</w:t>
      </w:r>
    </w:p>
    <w:tbl>
      <w:tblPr>
        <w:tblStyle w:val="11"/>
        <w:tblW w:w="0" w:type="auto"/>
        <w:tblBorders>
          <w:insideH w:val="single" w:sz="4" w:space="0" w:color="auto"/>
        </w:tblBorders>
        <w:tblLook w:val="04A0" w:firstRow="1" w:lastRow="0" w:firstColumn="1" w:lastColumn="0" w:noHBand="0" w:noVBand="1"/>
      </w:tblPr>
      <w:tblGrid>
        <w:gridCol w:w="709"/>
        <w:gridCol w:w="1418"/>
        <w:gridCol w:w="2693"/>
        <w:gridCol w:w="3486"/>
      </w:tblGrid>
      <w:tr w:rsidR="004E7A46" w:rsidRPr="00164497" w14:paraId="722CCDA6" w14:textId="77777777" w:rsidTr="00D87697">
        <w:trPr>
          <w:cnfStyle w:val="100000000000" w:firstRow="1" w:lastRow="0" w:firstColumn="0" w:lastColumn="0" w:oddVBand="0" w:evenVBand="0" w:oddHBand="0" w:evenHBand="0" w:firstRowFirstColumn="0" w:firstRowLastColumn="0" w:lastRowFirstColumn="0" w:lastRowLastColumn="0"/>
          <w:tblHeader/>
        </w:trPr>
        <w:tc>
          <w:tcPr>
            <w:tcW w:w="709"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hideMark/>
          </w:tcPr>
          <w:p w14:paraId="47858557" w14:textId="368A9408" w:rsidR="004E7A46" w:rsidRPr="00D87697" w:rsidRDefault="004E7A46" w:rsidP="004E7A46">
            <w:pPr>
              <w:ind w:firstLineChars="0" w:firstLine="0"/>
              <w:rPr>
                <w:rFonts w:ascii="仿宋" w:hAnsi="仿宋"/>
                <w:b w:val="0"/>
                <w:bCs/>
                <w:sz w:val="22"/>
                <w:szCs w:val="21"/>
              </w:rPr>
            </w:pPr>
            <w:r w:rsidRPr="00D87697">
              <w:rPr>
                <w:rStyle w:val="afa"/>
                <w:rFonts w:ascii="仿宋" w:hAnsi="仿宋" w:cs="Arial"/>
                <w:b/>
                <w:bCs w:val="0"/>
                <w:color w:val="1F1F1F"/>
                <w:sz w:val="22"/>
                <w:szCs w:val="21"/>
                <w:bdr w:val="none" w:sz="0" w:space="0" w:color="auto" w:frame="1"/>
              </w:rPr>
              <w:t>标签名称</w:t>
            </w:r>
          </w:p>
        </w:tc>
        <w:tc>
          <w:tcPr>
            <w:tcW w:w="1418"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hideMark/>
          </w:tcPr>
          <w:p w14:paraId="685940CE" w14:textId="10D95B30" w:rsidR="004E7A46" w:rsidRPr="00D87697" w:rsidRDefault="004E7A46" w:rsidP="004E7A46">
            <w:pPr>
              <w:ind w:firstLineChars="0" w:firstLine="0"/>
              <w:rPr>
                <w:rFonts w:ascii="仿宋" w:hAnsi="仿宋"/>
                <w:b w:val="0"/>
                <w:bCs/>
                <w:sz w:val="22"/>
                <w:szCs w:val="21"/>
              </w:rPr>
            </w:pPr>
            <w:r w:rsidRPr="00D87697">
              <w:rPr>
                <w:rStyle w:val="afa"/>
                <w:rFonts w:ascii="仿宋" w:hAnsi="仿宋" w:cs="Arial"/>
                <w:b/>
                <w:bCs w:val="0"/>
                <w:color w:val="1F1F1F"/>
                <w:sz w:val="22"/>
                <w:szCs w:val="21"/>
                <w:bdr w:val="none" w:sz="0" w:space="0" w:color="auto" w:frame="1"/>
              </w:rPr>
              <w:t>数据来源</w:t>
            </w:r>
          </w:p>
        </w:tc>
        <w:tc>
          <w:tcPr>
            <w:tcW w:w="269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hideMark/>
          </w:tcPr>
          <w:p w14:paraId="431815BF" w14:textId="7B4D3E5E" w:rsidR="004E7A46" w:rsidRPr="00D87697" w:rsidRDefault="004E7A46" w:rsidP="004E7A46">
            <w:pPr>
              <w:ind w:firstLineChars="0" w:firstLine="0"/>
              <w:rPr>
                <w:rFonts w:ascii="仿宋" w:hAnsi="仿宋"/>
                <w:b w:val="0"/>
                <w:bCs/>
                <w:sz w:val="22"/>
                <w:szCs w:val="21"/>
              </w:rPr>
            </w:pPr>
            <w:r w:rsidRPr="00D87697">
              <w:rPr>
                <w:rStyle w:val="afa"/>
                <w:rFonts w:ascii="仿宋" w:hAnsi="仿宋" w:cs="Arial"/>
                <w:b/>
                <w:bCs w:val="0"/>
                <w:color w:val="1F1F1F"/>
                <w:sz w:val="22"/>
                <w:szCs w:val="21"/>
                <w:bdr w:val="none" w:sz="0" w:space="0" w:color="auto" w:frame="1"/>
              </w:rPr>
              <w:t>评价维度与计算逻辑</w:t>
            </w:r>
          </w:p>
        </w:tc>
        <w:tc>
          <w:tcPr>
            <w:tcW w:w="3486"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hideMark/>
          </w:tcPr>
          <w:p w14:paraId="0E072458" w14:textId="12A96E8C" w:rsidR="004E7A46" w:rsidRPr="00D87697" w:rsidRDefault="004E7A46" w:rsidP="004E7A46">
            <w:pPr>
              <w:ind w:firstLineChars="0" w:firstLine="0"/>
              <w:rPr>
                <w:rFonts w:ascii="仿宋" w:hAnsi="仿宋"/>
                <w:b w:val="0"/>
                <w:bCs/>
                <w:sz w:val="22"/>
                <w:szCs w:val="21"/>
              </w:rPr>
            </w:pPr>
            <w:r w:rsidRPr="00D87697">
              <w:rPr>
                <w:rStyle w:val="afa"/>
                <w:rFonts w:ascii="仿宋" w:hAnsi="仿宋" w:cs="Arial"/>
                <w:b/>
                <w:bCs w:val="0"/>
                <w:color w:val="1F1F1F"/>
                <w:sz w:val="22"/>
                <w:szCs w:val="21"/>
                <w:bdr w:val="none" w:sz="0" w:space="0" w:color="auto" w:frame="1"/>
              </w:rPr>
              <w:t>最终输出取值范围</w:t>
            </w:r>
          </w:p>
        </w:tc>
      </w:tr>
      <w:tr w:rsidR="004E7A46" w:rsidRPr="00164497" w14:paraId="426B38FA" w14:textId="77777777" w:rsidTr="00D87697">
        <w:tc>
          <w:tcPr>
            <w:tcW w:w="709" w:type="dxa"/>
            <w:vAlign w:val="center"/>
            <w:hideMark/>
          </w:tcPr>
          <w:p w14:paraId="3BDA5A1B" w14:textId="470DD5E7" w:rsidR="004E7A46" w:rsidRPr="00D87697" w:rsidRDefault="004E7A46" w:rsidP="00D87697">
            <w:pPr>
              <w:spacing w:line="240" w:lineRule="auto"/>
              <w:ind w:firstLineChars="0" w:firstLine="0"/>
              <w:rPr>
                <w:rFonts w:ascii="仿宋" w:hAnsi="仿宋"/>
                <w:sz w:val="22"/>
                <w:szCs w:val="21"/>
              </w:rPr>
            </w:pPr>
            <w:r w:rsidRPr="00D87697">
              <w:rPr>
                <w:rFonts w:ascii="仿宋" w:hAnsi="仿宋" w:cs="Arial"/>
                <w:color w:val="1F1F1F"/>
                <w:sz w:val="22"/>
                <w:szCs w:val="21"/>
                <w:bdr w:val="none" w:sz="0" w:space="0" w:color="auto" w:frame="1"/>
              </w:rPr>
              <w:t>信用下沉</w:t>
            </w:r>
          </w:p>
        </w:tc>
        <w:tc>
          <w:tcPr>
            <w:tcW w:w="1418" w:type="dxa"/>
            <w:vAlign w:val="center"/>
            <w:hideMark/>
          </w:tcPr>
          <w:p w14:paraId="42BFA0F0" w14:textId="3547E5EC" w:rsidR="004E7A46" w:rsidRPr="00D87697" w:rsidRDefault="004E7A46" w:rsidP="00D87697">
            <w:pPr>
              <w:spacing w:line="240" w:lineRule="auto"/>
              <w:ind w:firstLineChars="0" w:firstLine="0"/>
              <w:rPr>
                <w:rFonts w:ascii="仿宋" w:hAnsi="仿宋"/>
                <w:sz w:val="22"/>
                <w:szCs w:val="21"/>
              </w:rPr>
            </w:pPr>
            <w:r w:rsidRPr="00D87697">
              <w:rPr>
                <w:rFonts w:ascii="仿宋" w:hAnsi="仿宋" w:cs="Arial"/>
                <w:color w:val="1F1F1F"/>
                <w:sz w:val="22"/>
                <w:szCs w:val="21"/>
                <w:bdr w:val="none" w:sz="0" w:space="0" w:color="auto" w:frame="1"/>
              </w:rPr>
              <w:t>宏观观点+债券持仓明细</w:t>
            </w:r>
          </w:p>
        </w:tc>
        <w:tc>
          <w:tcPr>
            <w:tcW w:w="2693" w:type="dxa"/>
            <w:vAlign w:val="center"/>
            <w:hideMark/>
          </w:tcPr>
          <w:p w14:paraId="4C8DFCF1" w14:textId="40AC8BD1" w:rsidR="004E7A46" w:rsidRPr="00D87697" w:rsidRDefault="004E7A46" w:rsidP="00D87697">
            <w:pPr>
              <w:spacing w:line="240" w:lineRule="auto"/>
              <w:ind w:firstLineChars="0" w:firstLine="0"/>
              <w:rPr>
                <w:rFonts w:ascii="仿宋" w:hAnsi="仿宋"/>
                <w:sz w:val="22"/>
                <w:szCs w:val="21"/>
              </w:rPr>
            </w:pPr>
            <w:r w:rsidRPr="00D87697">
              <w:rPr>
                <w:rFonts w:ascii="仿宋" w:hAnsi="仿宋" w:cs="Arial"/>
                <w:color w:val="1F1F1F"/>
                <w:sz w:val="22"/>
                <w:szCs w:val="21"/>
                <w:bdr w:val="none" w:sz="0" w:space="0" w:color="auto" w:frame="1"/>
              </w:rPr>
              <w:t>LLM综合分析：比对策略文本中的票息博弈意图，与前五大重仓债中是否实质性持有永续债、城投债、次级债等低评级资产。</w:t>
            </w:r>
          </w:p>
        </w:tc>
        <w:tc>
          <w:tcPr>
            <w:tcW w:w="3486" w:type="dxa"/>
            <w:vAlign w:val="center"/>
            <w:hideMark/>
          </w:tcPr>
          <w:p w14:paraId="7E2D76A6" w14:textId="745DDA57" w:rsidR="004E7A46" w:rsidRPr="00D87697" w:rsidRDefault="004E7A46" w:rsidP="00D87697">
            <w:pPr>
              <w:spacing w:line="240" w:lineRule="auto"/>
              <w:ind w:firstLineChars="0" w:firstLine="0"/>
              <w:rPr>
                <w:rFonts w:ascii="仿宋" w:hAnsi="仿宋"/>
                <w:sz w:val="22"/>
                <w:szCs w:val="21"/>
              </w:rPr>
            </w:pPr>
            <w:r w:rsidRPr="00D87697">
              <w:rPr>
                <w:rFonts w:ascii="仿宋" w:hAnsi="仿宋" w:cs="Arial"/>
                <w:color w:val="1F1F1F"/>
                <w:sz w:val="22"/>
                <w:szCs w:val="21"/>
                <w:bdr w:val="none" w:sz="0" w:space="0" w:color="auto" w:frame="1"/>
              </w:rPr>
              <w:t>积极信用下沉/适度信用下沉/高等级为主（信用中性）</w:t>
            </w:r>
          </w:p>
        </w:tc>
      </w:tr>
      <w:tr w:rsidR="004E7A46" w:rsidRPr="00164497" w14:paraId="4B9A2CAF" w14:textId="77777777" w:rsidTr="00D87697">
        <w:tc>
          <w:tcPr>
            <w:tcW w:w="709" w:type="dxa"/>
            <w:vAlign w:val="center"/>
            <w:hideMark/>
          </w:tcPr>
          <w:p w14:paraId="2675AA16" w14:textId="7EE53DF6" w:rsidR="004E7A46" w:rsidRPr="00D87697" w:rsidRDefault="004E7A46" w:rsidP="00D87697">
            <w:pPr>
              <w:spacing w:line="240" w:lineRule="auto"/>
              <w:ind w:firstLineChars="0" w:firstLine="0"/>
              <w:rPr>
                <w:rFonts w:ascii="仿宋" w:hAnsi="仿宋"/>
                <w:sz w:val="22"/>
                <w:szCs w:val="21"/>
              </w:rPr>
            </w:pPr>
            <w:r w:rsidRPr="00D87697">
              <w:rPr>
                <w:rFonts w:ascii="仿宋" w:hAnsi="仿宋" w:cs="Arial"/>
                <w:color w:val="1F1F1F"/>
                <w:sz w:val="22"/>
                <w:szCs w:val="21"/>
                <w:bdr w:val="none" w:sz="0" w:space="0" w:color="auto" w:frame="1"/>
              </w:rPr>
              <w:t>权益</w:t>
            </w:r>
            <w:r w:rsidR="00D87697">
              <w:rPr>
                <w:rStyle w:val="af4"/>
                <w:rFonts w:ascii="仿宋" w:hAnsi="仿宋" w:cs="Arial" w:hint="eastAsia"/>
                <w:color w:val="1F1F1F"/>
                <w:sz w:val="22"/>
                <w:szCs w:val="21"/>
                <w:bdr w:val="none" w:sz="0" w:space="0" w:color="auto" w:frame="1"/>
              </w:rPr>
              <w:footnoteReference w:id="6"/>
            </w:r>
            <w:r w:rsidRPr="00D87697">
              <w:rPr>
                <w:rFonts w:ascii="仿宋" w:hAnsi="仿宋" w:cs="Arial"/>
                <w:color w:val="1F1F1F"/>
                <w:sz w:val="22"/>
                <w:szCs w:val="21"/>
                <w:bdr w:val="none" w:sz="0" w:space="0" w:color="auto" w:frame="1"/>
              </w:rPr>
              <w:lastRenderedPageBreak/>
              <w:t>风格</w:t>
            </w:r>
          </w:p>
        </w:tc>
        <w:tc>
          <w:tcPr>
            <w:tcW w:w="1418" w:type="dxa"/>
            <w:vAlign w:val="center"/>
            <w:hideMark/>
          </w:tcPr>
          <w:p w14:paraId="0B0ACA9D" w14:textId="1B96E89C" w:rsidR="004E7A46" w:rsidRPr="00D87697" w:rsidRDefault="004E7A46" w:rsidP="00D87697">
            <w:pPr>
              <w:spacing w:line="240" w:lineRule="auto"/>
              <w:ind w:firstLineChars="0" w:firstLine="0"/>
              <w:rPr>
                <w:rFonts w:ascii="仿宋" w:hAnsi="仿宋"/>
                <w:sz w:val="22"/>
                <w:szCs w:val="21"/>
              </w:rPr>
            </w:pPr>
            <w:r w:rsidRPr="00D87697">
              <w:rPr>
                <w:rFonts w:ascii="仿宋" w:hAnsi="仿宋" w:cs="Arial"/>
                <w:color w:val="1F1F1F"/>
                <w:sz w:val="22"/>
                <w:szCs w:val="21"/>
                <w:bdr w:val="none" w:sz="0" w:space="0" w:color="auto" w:frame="1"/>
              </w:rPr>
              <w:lastRenderedPageBreak/>
              <w:t>宏观观点+股</w:t>
            </w:r>
            <w:r w:rsidRPr="00D87697">
              <w:rPr>
                <w:rFonts w:ascii="仿宋" w:hAnsi="仿宋" w:cs="Arial"/>
                <w:color w:val="1F1F1F"/>
                <w:sz w:val="22"/>
                <w:szCs w:val="21"/>
                <w:bdr w:val="none" w:sz="0" w:space="0" w:color="auto" w:frame="1"/>
              </w:rPr>
              <w:lastRenderedPageBreak/>
              <w:t>票/转债持仓</w:t>
            </w:r>
          </w:p>
        </w:tc>
        <w:tc>
          <w:tcPr>
            <w:tcW w:w="2693" w:type="dxa"/>
            <w:vAlign w:val="center"/>
            <w:hideMark/>
          </w:tcPr>
          <w:p w14:paraId="3A3FFA6C" w14:textId="07665A94" w:rsidR="004E7A46" w:rsidRPr="00D87697" w:rsidRDefault="004E7A46" w:rsidP="00D87697">
            <w:pPr>
              <w:pStyle w:val="af9"/>
              <w:spacing w:line="240" w:lineRule="auto"/>
              <w:ind w:firstLineChars="0" w:firstLine="0"/>
              <w:rPr>
                <w:rFonts w:ascii="仿宋" w:hAnsi="仿宋" w:cs="Arial"/>
                <w:color w:val="1F1F1F"/>
                <w:sz w:val="22"/>
                <w:szCs w:val="21"/>
              </w:rPr>
            </w:pPr>
            <w:r w:rsidRPr="00D87697">
              <w:rPr>
                <w:rFonts w:ascii="仿宋" w:hAnsi="仿宋" w:cs="Arial"/>
                <w:color w:val="1F1F1F"/>
                <w:sz w:val="22"/>
                <w:szCs w:val="21"/>
                <w:bdr w:val="none" w:sz="0" w:space="0" w:color="auto" w:frame="1"/>
              </w:rPr>
              <w:lastRenderedPageBreak/>
              <w:t>双轨LLM分析</w:t>
            </w:r>
            <w:r w:rsidRPr="00D87697">
              <w:rPr>
                <w:rFonts w:ascii="仿宋" w:hAnsi="仿宋" w:cs="Arial"/>
                <w:color w:val="1F1F1F"/>
                <w:sz w:val="22"/>
                <w:szCs w:val="21"/>
              </w:rPr>
              <w:t>：</w:t>
            </w:r>
          </w:p>
          <w:p w14:paraId="41747CF0" w14:textId="7CAD9230" w:rsidR="004E7A46" w:rsidRPr="00D87697" w:rsidRDefault="004E7A46" w:rsidP="00D87697">
            <w:pPr>
              <w:pStyle w:val="af9"/>
              <w:spacing w:line="240" w:lineRule="auto"/>
              <w:ind w:firstLineChars="0" w:firstLine="0"/>
              <w:rPr>
                <w:rFonts w:ascii="仿宋" w:hAnsi="仿宋" w:cs="Arial" w:hint="eastAsia"/>
                <w:color w:val="1F1F1F"/>
                <w:sz w:val="22"/>
                <w:szCs w:val="21"/>
              </w:rPr>
            </w:pPr>
            <w:r w:rsidRPr="00D87697">
              <w:rPr>
                <w:rFonts w:ascii="仿宋" w:hAnsi="仿宋" w:cs="Arial"/>
                <w:color w:val="1F1F1F"/>
                <w:sz w:val="22"/>
                <w:szCs w:val="21"/>
              </w:rPr>
              <w:lastRenderedPageBreak/>
              <w:t>1.</w:t>
            </w:r>
            <w:r w:rsidRPr="00D87697">
              <w:rPr>
                <w:rFonts w:ascii="仿宋" w:hAnsi="仿宋" w:cs="Arial"/>
                <w:color w:val="1F1F1F"/>
                <w:sz w:val="22"/>
                <w:szCs w:val="21"/>
                <w:bdr w:val="none" w:sz="0" w:space="0" w:color="auto" w:frame="1"/>
              </w:rPr>
              <w:t>二级债基</w:t>
            </w:r>
            <w:r w:rsidRPr="00D87697">
              <w:rPr>
                <w:rFonts w:ascii="仿宋" w:hAnsi="仿宋" w:cs="Arial"/>
                <w:color w:val="1F1F1F"/>
                <w:sz w:val="22"/>
                <w:szCs w:val="21"/>
              </w:rPr>
              <w:t>：根据行业分布判断价值/成长倾向。</w:t>
            </w:r>
          </w:p>
          <w:p w14:paraId="380B9A7D" w14:textId="29CE4502" w:rsidR="004E7A46" w:rsidRPr="00D87697" w:rsidRDefault="004E7A46" w:rsidP="00D87697">
            <w:pPr>
              <w:spacing w:line="240" w:lineRule="auto"/>
              <w:ind w:firstLineChars="0" w:firstLine="0"/>
              <w:rPr>
                <w:rFonts w:ascii="仿宋" w:hAnsi="仿宋"/>
                <w:sz w:val="22"/>
                <w:szCs w:val="21"/>
              </w:rPr>
            </w:pPr>
            <w:r w:rsidRPr="00D87697">
              <w:rPr>
                <w:rFonts w:ascii="仿宋" w:hAnsi="仿宋" w:cs="Arial"/>
                <w:color w:val="1F1F1F"/>
                <w:sz w:val="22"/>
                <w:szCs w:val="21"/>
              </w:rPr>
              <w:t>2.</w:t>
            </w:r>
            <w:r w:rsidRPr="00D87697">
              <w:rPr>
                <w:rFonts w:ascii="仿宋" w:hAnsi="仿宋" w:cs="Arial"/>
                <w:color w:val="1F1F1F"/>
                <w:sz w:val="22"/>
                <w:szCs w:val="21"/>
                <w:bdr w:val="none" w:sz="0" w:space="0" w:color="auto" w:frame="1"/>
              </w:rPr>
              <w:t>转债基金</w:t>
            </w:r>
            <w:r w:rsidRPr="00D87697">
              <w:rPr>
                <w:rFonts w:ascii="仿宋" w:hAnsi="仿宋" w:cs="Arial"/>
                <w:color w:val="1F1F1F"/>
                <w:sz w:val="22"/>
                <w:szCs w:val="21"/>
              </w:rPr>
              <w:t>：根据转债标的的溢价率与股性特征，判断防守与进攻倾向。</w:t>
            </w:r>
          </w:p>
        </w:tc>
        <w:tc>
          <w:tcPr>
            <w:tcW w:w="3486" w:type="dxa"/>
            <w:vAlign w:val="center"/>
            <w:hideMark/>
          </w:tcPr>
          <w:p w14:paraId="7ACDEE06" w14:textId="1EBB24CA" w:rsidR="004E7A46" w:rsidRPr="00D87697" w:rsidRDefault="004E7A46" w:rsidP="00D87697">
            <w:pPr>
              <w:pStyle w:val="af9"/>
              <w:spacing w:line="240" w:lineRule="auto"/>
              <w:ind w:firstLineChars="0" w:firstLine="0"/>
              <w:rPr>
                <w:rFonts w:ascii="仿宋" w:hAnsi="仿宋" w:cs="Arial" w:hint="eastAsia"/>
                <w:color w:val="1F1F1F"/>
                <w:sz w:val="22"/>
                <w:szCs w:val="21"/>
              </w:rPr>
            </w:pPr>
            <w:r w:rsidRPr="00D87697">
              <w:rPr>
                <w:rFonts w:ascii="仿宋" w:hAnsi="仿宋" w:cs="Arial"/>
                <w:color w:val="1F1F1F"/>
                <w:sz w:val="22"/>
                <w:szCs w:val="21"/>
                <w:bdr w:val="none" w:sz="0" w:space="0" w:color="auto" w:frame="1"/>
              </w:rPr>
              <w:lastRenderedPageBreak/>
              <w:t>[普通类]</w:t>
            </w:r>
            <w:r w:rsidRPr="00D87697">
              <w:rPr>
                <w:rFonts w:ascii="仿宋" w:hAnsi="仿宋" w:cs="Arial"/>
                <w:color w:val="1F1F1F"/>
                <w:sz w:val="22"/>
                <w:szCs w:val="21"/>
              </w:rPr>
              <w:t>价值风格/成长风格/平衡</w:t>
            </w:r>
            <w:r w:rsidRPr="00D87697">
              <w:rPr>
                <w:rFonts w:ascii="仿宋" w:hAnsi="仿宋" w:cs="Arial"/>
                <w:color w:val="1F1F1F"/>
                <w:sz w:val="22"/>
                <w:szCs w:val="21"/>
              </w:rPr>
              <w:lastRenderedPageBreak/>
              <w:t>风格</w:t>
            </w:r>
          </w:p>
          <w:p w14:paraId="303282C1" w14:textId="3F11B2AA" w:rsidR="004E7A46" w:rsidRPr="00D87697" w:rsidRDefault="004E7A46" w:rsidP="00D87697">
            <w:pPr>
              <w:pStyle w:val="af9"/>
              <w:spacing w:line="240" w:lineRule="auto"/>
              <w:ind w:firstLineChars="0" w:firstLine="0"/>
              <w:rPr>
                <w:rFonts w:ascii="仿宋" w:hAnsi="仿宋" w:cs="Arial" w:hint="eastAsia"/>
                <w:color w:val="1F1F1F"/>
                <w:sz w:val="22"/>
                <w:szCs w:val="21"/>
              </w:rPr>
            </w:pPr>
            <w:r w:rsidRPr="00D87697">
              <w:rPr>
                <w:rFonts w:ascii="仿宋" w:hAnsi="仿宋" w:cs="Arial"/>
                <w:color w:val="1F1F1F"/>
                <w:sz w:val="22"/>
                <w:szCs w:val="21"/>
                <w:bdr w:val="none" w:sz="0" w:space="0" w:color="auto" w:frame="1"/>
              </w:rPr>
              <w:t>[转债类]</w:t>
            </w:r>
            <w:r w:rsidRPr="00D87697">
              <w:rPr>
                <w:rFonts w:ascii="仿宋" w:hAnsi="仿宋" w:cs="Arial"/>
                <w:color w:val="1F1F1F"/>
                <w:sz w:val="22"/>
                <w:szCs w:val="21"/>
              </w:rPr>
              <w:t>双低策略（偏价值防守）/高弹性策略（偏成长进攻）/平衡配置</w:t>
            </w:r>
          </w:p>
        </w:tc>
      </w:tr>
      <w:tr w:rsidR="004E7A46" w:rsidRPr="00164497" w14:paraId="72B64801" w14:textId="77777777" w:rsidTr="00D87697">
        <w:tc>
          <w:tcPr>
            <w:tcW w:w="709" w:type="dxa"/>
            <w:vAlign w:val="center"/>
            <w:hideMark/>
          </w:tcPr>
          <w:p w14:paraId="74B113AE" w14:textId="0AB374AD" w:rsidR="004E7A46" w:rsidRPr="00D87697" w:rsidRDefault="004E7A46" w:rsidP="00D87697">
            <w:pPr>
              <w:spacing w:line="240" w:lineRule="auto"/>
              <w:ind w:firstLineChars="0" w:firstLine="0"/>
              <w:rPr>
                <w:rFonts w:ascii="仿宋" w:hAnsi="仿宋"/>
                <w:sz w:val="22"/>
                <w:szCs w:val="21"/>
              </w:rPr>
            </w:pPr>
            <w:r w:rsidRPr="00D87697">
              <w:rPr>
                <w:rFonts w:ascii="仿宋" w:hAnsi="仿宋" w:cs="Arial"/>
                <w:color w:val="1F1F1F"/>
                <w:sz w:val="22"/>
                <w:szCs w:val="21"/>
                <w:bdr w:val="none" w:sz="0" w:space="0" w:color="auto" w:frame="1"/>
              </w:rPr>
              <w:lastRenderedPageBreak/>
              <w:t>回撤控制</w:t>
            </w:r>
          </w:p>
        </w:tc>
        <w:tc>
          <w:tcPr>
            <w:tcW w:w="1418" w:type="dxa"/>
            <w:vAlign w:val="center"/>
            <w:hideMark/>
          </w:tcPr>
          <w:p w14:paraId="484CFFCF" w14:textId="095DA307" w:rsidR="004E7A46" w:rsidRPr="00D87697" w:rsidRDefault="004E7A46" w:rsidP="00D87697">
            <w:pPr>
              <w:spacing w:line="240" w:lineRule="auto"/>
              <w:ind w:firstLineChars="0" w:firstLine="0"/>
              <w:rPr>
                <w:rFonts w:ascii="仿宋" w:hAnsi="仿宋"/>
                <w:sz w:val="22"/>
                <w:szCs w:val="21"/>
              </w:rPr>
            </w:pPr>
            <w:r w:rsidRPr="00D87697">
              <w:rPr>
                <w:rFonts w:ascii="仿宋" w:hAnsi="仿宋" w:cs="Arial"/>
                <w:color w:val="1F1F1F"/>
                <w:sz w:val="22"/>
                <w:szCs w:val="21"/>
                <w:bdr w:val="none" w:sz="0" w:space="0" w:color="auto" w:frame="1"/>
              </w:rPr>
              <w:t>宏观观点+历史最大回撤</w:t>
            </w:r>
          </w:p>
        </w:tc>
        <w:tc>
          <w:tcPr>
            <w:tcW w:w="2693" w:type="dxa"/>
            <w:vAlign w:val="center"/>
            <w:hideMark/>
          </w:tcPr>
          <w:p w14:paraId="4CFE7CF1" w14:textId="13B2DD9E" w:rsidR="004E7A46" w:rsidRPr="00D87697" w:rsidRDefault="004E7A46" w:rsidP="00D87697">
            <w:pPr>
              <w:pStyle w:val="af9"/>
              <w:spacing w:line="240" w:lineRule="auto"/>
              <w:ind w:firstLineChars="0" w:firstLine="0"/>
              <w:rPr>
                <w:rFonts w:ascii="仿宋" w:hAnsi="仿宋" w:cs="Arial"/>
                <w:color w:val="1F1F1F"/>
                <w:sz w:val="22"/>
                <w:szCs w:val="21"/>
              </w:rPr>
            </w:pPr>
            <w:r w:rsidRPr="00D87697">
              <w:rPr>
                <w:rFonts w:ascii="仿宋" w:hAnsi="仿宋" w:cs="Arial"/>
                <w:color w:val="1F1F1F"/>
                <w:sz w:val="22"/>
                <w:szCs w:val="21"/>
                <w:bdr w:val="none" w:sz="0" w:space="0" w:color="auto" w:frame="1"/>
              </w:rPr>
              <w:t>双轨动态阈值分析</w:t>
            </w:r>
            <w:r w:rsidRPr="00D87697">
              <w:rPr>
                <w:rFonts w:ascii="仿宋" w:hAnsi="仿宋" w:cs="Arial"/>
                <w:color w:val="1F1F1F"/>
                <w:sz w:val="22"/>
                <w:szCs w:val="21"/>
              </w:rPr>
              <w:t>：1.</w:t>
            </w:r>
            <w:r w:rsidRPr="00D87697">
              <w:rPr>
                <w:rFonts w:ascii="仿宋" w:hAnsi="仿宋" w:cs="Arial"/>
                <w:color w:val="1F1F1F"/>
                <w:sz w:val="22"/>
                <w:szCs w:val="21"/>
                <w:bdr w:val="none" w:sz="0" w:space="0" w:color="auto" w:frame="1"/>
              </w:rPr>
              <w:t>二级债基</w:t>
            </w:r>
            <w:r w:rsidRPr="00D87697">
              <w:rPr>
                <w:rFonts w:ascii="仿宋" w:hAnsi="仿宋" w:cs="Arial"/>
                <w:color w:val="1F1F1F"/>
                <w:sz w:val="22"/>
                <w:szCs w:val="21"/>
              </w:rPr>
              <w:t>：阈值极严（≤2%为极强，&gt;8%为较弱）。2.</w:t>
            </w:r>
            <w:r w:rsidRPr="00D87697">
              <w:rPr>
                <w:rFonts w:ascii="仿宋" w:hAnsi="仿宋" w:cs="Arial"/>
                <w:color w:val="1F1F1F"/>
                <w:sz w:val="22"/>
                <w:szCs w:val="21"/>
                <w:bdr w:val="none" w:sz="0" w:space="0" w:color="auto" w:frame="1"/>
              </w:rPr>
              <w:t>转债基金</w:t>
            </w:r>
            <w:r w:rsidRPr="00D87697">
              <w:rPr>
                <w:rFonts w:ascii="仿宋" w:hAnsi="仿宋" w:cs="Arial"/>
                <w:color w:val="1F1F1F"/>
                <w:sz w:val="22"/>
                <w:szCs w:val="21"/>
              </w:rPr>
              <w:t>：放宽波动容忍度（≤5%为极强，&gt;15%为较弱）。</w:t>
            </w:r>
          </w:p>
        </w:tc>
        <w:tc>
          <w:tcPr>
            <w:tcW w:w="3486" w:type="dxa"/>
            <w:vAlign w:val="center"/>
            <w:hideMark/>
          </w:tcPr>
          <w:p w14:paraId="5A0C1419" w14:textId="684B89EB" w:rsidR="004E7A46" w:rsidRPr="00D87697" w:rsidRDefault="004E7A46" w:rsidP="00D87697">
            <w:pPr>
              <w:spacing w:line="240" w:lineRule="auto"/>
              <w:ind w:firstLineChars="0" w:firstLine="0"/>
              <w:rPr>
                <w:rFonts w:ascii="仿宋" w:hAnsi="仿宋"/>
                <w:sz w:val="22"/>
                <w:szCs w:val="21"/>
              </w:rPr>
            </w:pPr>
            <w:r w:rsidRPr="00D87697">
              <w:rPr>
                <w:rFonts w:ascii="仿宋" w:hAnsi="仿宋" w:cs="Arial"/>
                <w:color w:val="1F1F1F"/>
                <w:sz w:val="22"/>
                <w:szCs w:val="21"/>
                <w:bdr w:val="none" w:sz="0" w:space="0" w:color="auto" w:frame="1"/>
              </w:rPr>
              <w:t>极强回撤控制/较强回撤控制/中等回撤控制/较弱回撤控制</w:t>
            </w:r>
          </w:p>
        </w:tc>
      </w:tr>
      <w:tr w:rsidR="004E7A46" w:rsidRPr="00164497" w14:paraId="3BC64A9A" w14:textId="77777777" w:rsidTr="00D87697">
        <w:tc>
          <w:tcPr>
            <w:tcW w:w="709" w:type="dxa"/>
            <w:vAlign w:val="center"/>
            <w:hideMark/>
          </w:tcPr>
          <w:p w14:paraId="55F549C5" w14:textId="7BE5659B" w:rsidR="004E7A46" w:rsidRPr="00D87697" w:rsidRDefault="004E7A46" w:rsidP="00D87697">
            <w:pPr>
              <w:spacing w:line="240" w:lineRule="auto"/>
              <w:ind w:firstLineChars="0" w:firstLine="0"/>
              <w:rPr>
                <w:rFonts w:ascii="仿宋" w:hAnsi="仿宋"/>
                <w:sz w:val="22"/>
                <w:szCs w:val="21"/>
              </w:rPr>
            </w:pPr>
            <w:r w:rsidRPr="00D87697">
              <w:rPr>
                <w:rFonts w:ascii="仿宋" w:hAnsi="仿宋" w:cs="Arial"/>
                <w:color w:val="1F1F1F"/>
                <w:sz w:val="22"/>
                <w:szCs w:val="21"/>
                <w:bdr w:val="none" w:sz="0" w:space="0" w:color="auto" w:frame="1"/>
              </w:rPr>
              <w:t>利率波段</w:t>
            </w:r>
          </w:p>
        </w:tc>
        <w:tc>
          <w:tcPr>
            <w:tcW w:w="1418" w:type="dxa"/>
            <w:vAlign w:val="center"/>
            <w:hideMark/>
          </w:tcPr>
          <w:p w14:paraId="3E1BEAB3" w14:textId="7D3F7EE1" w:rsidR="004E7A46" w:rsidRPr="00D87697" w:rsidRDefault="004E7A46" w:rsidP="00D87697">
            <w:pPr>
              <w:spacing w:line="240" w:lineRule="auto"/>
              <w:ind w:firstLineChars="0" w:firstLine="0"/>
              <w:rPr>
                <w:rFonts w:ascii="仿宋" w:hAnsi="仿宋"/>
                <w:sz w:val="22"/>
                <w:szCs w:val="21"/>
              </w:rPr>
            </w:pPr>
            <w:r w:rsidRPr="00D87697">
              <w:rPr>
                <w:rFonts w:ascii="仿宋" w:hAnsi="仿宋" w:cs="Arial"/>
                <w:color w:val="1F1F1F"/>
                <w:sz w:val="22"/>
                <w:szCs w:val="21"/>
                <w:bdr w:val="none" w:sz="0" w:space="0" w:color="auto" w:frame="1"/>
              </w:rPr>
              <w:t>宏观观点+债券组合比例</w:t>
            </w:r>
          </w:p>
        </w:tc>
        <w:tc>
          <w:tcPr>
            <w:tcW w:w="2693" w:type="dxa"/>
            <w:vAlign w:val="center"/>
            <w:hideMark/>
          </w:tcPr>
          <w:p w14:paraId="5007B097" w14:textId="5221D820" w:rsidR="004E7A46" w:rsidRPr="00D87697" w:rsidRDefault="004E7A46" w:rsidP="00D87697">
            <w:pPr>
              <w:spacing w:line="240" w:lineRule="auto"/>
              <w:ind w:firstLineChars="0" w:firstLine="0"/>
              <w:rPr>
                <w:rFonts w:ascii="仿宋" w:hAnsi="仿宋"/>
                <w:sz w:val="22"/>
                <w:szCs w:val="21"/>
              </w:rPr>
            </w:pPr>
            <w:r w:rsidRPr="00D87697">
              <w:rPr>
                <w:rFonts w:ascii="仿宋" w:hAnsi="仿宋" w:cs="Arial"/>
                <w:color w:val="1F1F1F"/>
                <w:sz w:val="22"/>
                <w:szCs w:val="21"/>
                <w:bdr w:val="none" w:sz="0" w:space="0" w:color="auto" w:frame="1"/>
              </w:rPr>
              <w:t>LLM综合分析：扫描文本中“久期调整、利率预判”等关键词，并验证国债/政金债等高流动性利率债的持仓比例与变动。</w:t>
            </w:r>
          </w:p>
        </w:tc>
        <w:tc>
          <w:tcPr>
            <w:tcW w:w="3486" w:type="dxa"/>
            <w:vAlign w:val="center"/>
            <w:hideMark/>
          </w:tcPr>
          <w:p w14:paraId="520E6958" w14:textId="3867BDB3" w:rsidR="004E7A46" w:rsidRPr="00D87697" w:rsidRDefault="004E7A46" w:rsidP="00D87697">
            <w:pPr>
              <w:spacing w:line="240" w:lineRule="auto"/>
              <w:ind w:firstLineChars="0" w:firstLine="0"/>
              <w:rPr>
                <w:rFonts w:ascii="仿宋" w:hAnsi="仿宋"/>
                <w:sz w:val="22"/>
                <w:szCs w:val="21"/>
              </w:rPr>
            </w:pPr>
            <w:r w:rsidRPr="00D87697">
              <w:rPr>
                <w:rFonts w:ascii="仿宋" w:hAnsi="仿宋" w:cs="Arial"/>
                <w:color w:val="1F1F1F"/>
                <w:sz w:val="22"/>
                <w:szCs w:val="21"/>
                <w:bdr w:val="none" w:sz="0" w:space="0" w:color="auto" w:frame="1"/>
              </w:rPr>
              <w:t>积极波段操作/适度波段操作/持有到期为主</w:t>
            </w:r>
          </w:p>
        </w:tc>
      </w:tr>
    </w:tbl>
    <w:p w14:paraId="55D85029" w14:textId="74FB344D" w:rsidR="00164497" w:rsidRDefault="00BB29DA" w:rsidP="00E32368">
      <w:pPr>
        <w:pStyle w:val="2"/>
        <w:ind w:firstLine="532"/>
      </w:pPr>
      <w:r>
        <w:rPr>
          <w:rFonts w:hint="eastAsia"/>
        </w:rPr>
        <w:t>2.5</w:t>
      </w:r>
      <w:r w:rsidR="00BC66C3">
        <w:rPr>
          <w:rFonts w:hint="eastAsia"/>
        </w:rPr>
        <w:t>输出结果</w:t>
      </w:r>
    </w:p>
    <w:p w14:paraId="0C3C6A45" w14:textId="03471EBE" w:rsidR="00406C9A" w:rsidRDefault="00BC66C3" w:rsidP="00406C9A">
      <w:r>
        <w:rPr>
          <w:rFonts w:hint="eastAsia"/>
        </w:rPr>
        <w:t>本项目流程为：提取</w:t>
      </w:r>
      <w:r>
        <w:rPr>
          <w:rFonts w:hint="eastAsia"/>
        </w:rPr>
        <w:t>PDF</w:t>
      </w:r>
      <w:r>
        <w:rPr>
          <w:rFonts w:hint="eastAsia"/>
        </w:rPr>
        <w:t>数据和外部数据、分析基金每期数据生成短期标签、短期标签聚合成长期标签。由于基金经理的操作风格每期会随着市场变化而进行调整，因此每期风格可能会发生变化，因此通过统计各个标签出现频率，</w:t>
      </w:r>
      <w:r w:rsidR="00406C9A">
        <w:rPr>
          <w:rFonts w:hint="eastAsia"/>
        </w:rPr>
        <w:t>选取出现频率最高的短期标签为</w:t>
      </w:r>
      <w:r>
        <w:rPr>
          <w:rFonts w:hint="eastAsia"/>
        </w:rPr>
        <w:t>基金长期操作风格标签。最后分别导出</w:t>
      </w:r>
      <w:r>
        <w:rPr>
          <w:rFonts w:hint="eastAsia"/>
        </w:rPr>
        <w:t>json</w:t>
      </w:r>
      <w:r>
        <w:rPr>
          <w:rFonts w:hint="eastAsia"/>
        </w:rPr>
        <w:t>文件储存基金各期短期标签和长期标签，并且会生成一段基金经理风格描述，即基金经理画像。</w:t>
      </w:r>
    </w:p>
    <w:p w14:paraId="0E260CD2" w14:textId="395B9120" w:rsidR="00406C9A" w:rsidRDefault="00406C9A" w:rsidP="00406C9A">
      <w:pPr>
        <w:pStyle w:val="2"/>
        <w:ind w:firstLine="532"/>
      </w:pPr>
      <w:r>
        <w:rPr>
          <w:rFonts w:hint="eastAsia"/>
        </w:rPr>
        <w:t>2.6token</w:t>
      </w:r>
      <w:r>
        <w:rPr>
          <w:rFonts w:hint="eastAsia"/>
        </w:rPr>
        <w:t>消耗估算</w:t>
      </w:r>
    </w:p>
    <w:p w14:paraId="700E4132" w14:textId="3A1E6451" w:rsidR="00406C9A" w:rsidRPr="00406C9A" w:rsidRDefault="00406C9A" w:rsidP="00406C9A">
      <w:r>
        <w:rPr>
          <w:rFonts w:hint="eastAsia"/>
        </w:rPr>
        <w:t>单个报告平均消耗</w:t>
      </w:r>
      <w:r w:rsidR="00D27D58">
        <w:rPr>
          <w:rFonts w:hint="eastAsia"/>
        </w:rPr>
        <w:t>9500</w:t>
      </w:r>
      <w:r w:rsidRPr="00406C9A">
        <w:t xml:space="preserve"> tokens</w:t>
      </w:r>
      <w:r>
        <w:rPr>
          <w:rFonts w:hint="eastAsia"/>
        </w:rPr>
        <w:t>，</w:t>
      </w:r>
      <w:r w:rsidR="00D27D58">
        <w:rPr>
          <w:rFonts w:hint="eastAsia"/>
        </w:rPr>
        <w:t>根据官方定价，</w:t>
      </w:r>
      <w:r w:rsidR="00D27D58" w:rsidRPr="00D27D58">
        <w:rPr>
          <w:rFonts w:hint="eastAsia"/>
        </w:rPr>
        <w:t>输入（缓存命中）</w:t>
      </w:r>
      <w:r w:rsidR="00D27D58">
        <w:rPr>
          <w:rFonts w:hint="eastAsia"/>
        </w:rPr>
        <w:t>价格</w:t>
      </w:r>
      <w:r w:rsidR="00D27D58" w:rsidRPr="00D27D58">
        <w:rPr>
          <w:rFonts w:hint="eastAsia"/>
        </w:rPr>
        <w:t>0.2</w:t>
      </w:r>
      <w:r w:rsidR="00D27D58" w:rsidRPr="00D27D58">
        <w:rPr>
          <w:rFonts w:hint="eastAsia"/>
        </w:rPr>
        <w:t>元</w:t>
      </w:r>
      <w:r w:rsidR="00D27D58" w:rsidRPr="00D27D58">
        <w:rPr>
          <w:rFonts w:hint="eastAsia"/>
        </w:rPr>
        <w:t>/</w:t>
      </w:r>
      <w:r w:rsidR="00D27D58" w:rsidRPr="00D27D58">
        <w:rPr>
          <w:rFonts w:hint="eastAsia"/>
        </w:rPr>
        <w:t>百万</w:t>
      </w:r>
      <w:r w:rsidR="00D27D58" w:rsidRPr="00D27D58">
        <w:rPr>
          <w:rFonts w:hint="eastAsia"/>
        </w:rPr>
        <w:t>tokens</w:t>
      </w:r>
      <w:r w:rsidR="00D27D58">
        <w:rPr>
          <w:rFonts w:hint="eastAsia"/>
        </w:rPr>
        <w:t>、</w:t>
      </w:r>
      <w:r w:rsidR="00D27D58" w:rsidRPr="00D27D58">
        <w:rPr>
          <w:rFonts w:hint="eastAsia"/>
        </w:rPr>
        <w:t>输入（缓存未命中）</w:t>
      </w:r>
      <w:r w:rsidR="00D27D58">
        <w:rPr>
          <w:rFonts w:hint="eastAsia"/>
        </w:rPr>
        <w:t>价格</w:t>
      </w:r>
      <w:r w:rsidR="00D27D58" w:rsidRPr="00D27D58">
        <w:rPr>
          <w:rFonts w:hint="eastAsia"/>
        </w:rPr>
        <w:t>2</w:t>
      </w:r>
      <w:r w:rsidR="00D27D58" w:rsidRPr="00D27D58">
        <w:rPr>
          <w:rFonts w:hint="eastAsia"/>
        </w:rPr>
        <w:t>元</w:t>
      </w:r>
      <w:r w:rsidR="00D27D58" w:rsidRPr="00D27D58">
        <w:rPr>
          <w:rFonts w:hint="eastAsia"/>
        </w:rPr>
        <w:t>/</w:t>
      </w:r>
      <w:r w:rsidR="00D27D58" w:rsidRPr="00D27D58">
        <w:rPr>
          <w:rFonts w:hint="eastAsia"/>
        </w:rPr>
        <w:t>百万</w:t>
      </w:r>
      <w:r w:rsidR="00D27D58" w:rsidRPr="00D27D58">
        <w:rPr>
          <w:rFonts w:hint="eastAsia"/>
        </w:rPr>
        <w:t>tokens</w:t>
      </w:r>
      <w:r w:rsidR="00D27D58">
        <w:rPr>
          <w:rFonts w:hint="eastAsia"/>
        </w:rPr>
        <w:t>、</w:t>
      </w:r>
      <w:r w:rsidR="00D27D58" w:rsidRPr="00D27D58">
        <w:rPr>
          <w:rFonts w:hint="eastAsia"/>
        </w:rPr>
        <w:t>输出</w:t>
      </w:r>
      <w:r w:rsidR="00D27D58">
        <w:rPr>
          <w:rFonts w:hint="eastAsia"/>
        </w:rPr>
        <w:t>价格</w:t>
      </w:r>
      <w:r w:rsidR="00D27D58" w:rsidRPr="00D27D58">
        <w:rPr>
          <w:rFonts w:hint="eastAsia"/>
        </w:rPr>
        <w:t>3</w:t>
      </w:r>
      <w:r w:rsidR="00D27D58" w:rsidRPr="00D27D58">
        <w:rPr>
          <w:rFonts w:hint="eastAsia"/>
        </w:rPr>
        <w:t>元</w:t>
      </w:r>
      <w:r w:rsidR="00D27D58" w:rsidRPr="00D27D58">
        <w:rPr>
          <w:rFonts w:hint="eastAsia"/>
        </w:rPr>
        <w:t>/</w:t>
      </w:r>
      <w:r w:rsidR="00D27D58" w:rsidRPr="00D27D58">
        <w:rPr>
          <w:rFonts w:hint="eastAsia"/>
        </w:rPr>
        <w:t>百万</w:t>
      </w:r>
      <w:r w:rsidR="00D27D58" w:rsidRPr="00D27D58">
        <w:rPr>
          <w:rFonts w:hint="eastAsia"/>
        </w:rPr>
        <w:t>tokens</w:t>
      </w:r>
      <w:r w:rsidR="00D27D58">
        <w:rPr>
          <w:rFonts w:hint="eastAsia"/>
        </w:rPr>
        <w:t>，每个基金大约</w:t>
      </w:r>
      <w:r w:rsidR="00D27D58">
        <w:rPr>
          <w:rFonts w:hint="eastAsia"/>
        </w:rPr>
        <w:t>12</w:t>
      </w:r>
      <w:r w:rsidR="00D27D58">
        <w:rPr>
          <w:rFonts w:hint="eastAsia"/>
        </w:rPr>
        <w:t>个报告。平均每个基金分析五个标签成本为</w:t>
      </w:r>
      <w:r w:rsidR="00D27D58">
        <w:rPr>
          <w:rFonts w:hint="eastAsia"/>
        </w:rPr>
        <w:t>0.055-0.11</w:t>
      </w:r>
      <w:r w:rsidR="00D27D58">
        <w:rPr>
          <w:rFonts w:hint="eastAsia"/>
        </w:rPr>
        <w:t>元。</w:t>
      </w:r>
    </w:p>
    <w:p w14:paraId="0565269A" w14:textId="24ED6066" w:rsidR="00406C9A" w:rsidRPr="00406C9A" w:rsidRDefault="00406C9A" w:rsidP="00406C9A">
      <w:pPr>
        <w:pStyle w:val="af0"/>
        <w:ind w:firstLine="456"/>
      </w:pPr>
      <w:r>
        <w:rPr>
          <w:rFonts w:hint="eastAsia"/>
        </w:rPr>
        <w:t>表：</w:t>
      </w:r>
      <w:r w:rsidR="007B43AF">
        <w:rPr>
          <w:rFonts w:hint="eastAsia"/>
        </w:rPr>
        <w:t>单个基金</w:t>
      </w:r>
      <w:r w:rsidRPr="00406C9A">
        <w:t>token</w:t>
      </w:r>
      <w:r w:rsidRPr="00406C9A">
        <w:t>消耗</w:t>
      </w:r>
      <w:r w:rsidR="007B43AF">
        <w:rPr>
          <w:rFonts w:hint="eastAsia"/>
        </w:rPr>
        <w:t>成本</w:t>
      </w:r>
      <w:r w:rsidRPr="00406C9A">
        <w:t>估算</w:t>
      </w:r>
      <w:r>
        <w:rPr>
          <w:rFonts w:hint="eastAsia"/>
        </w:rPr>
        <w:t>表</w:t>
      </w:r>
    </w:p>
    <w:tbl>
      <w:tblPr>
        <w:tblStyle w:val="11"/>
        <w:tblW w:w="5000" w:type="pct"/>
        <w:tblLook w:val="04A0" w:firstRow="1" w:lastRow="0" w:firstColumn="1" w:lastColumn="0" w:noHBand="0" w:noVBand="1"/>
      </w:tblPr>
      <w:tblGrid>
        <w:gridCol w:w="2359"/>
        <w:gridCol w:w="3027"/>
        <w:gridCol w:w="2920"/>
      </w:tblGrid>
      <w:tr w:rsidR="00D27D58" w:rsidRPr="00D27D58" w14:paraId="7DAD982D" w14:textId="77777777" w:rsidTr="00D27D58">
        <w:trPr>
          <w:cnfStyle w:val="100000000000" w:firstRow="1" w:lastRow="0" w:firstColumn="0" w:lastColumn="0" w:oddVBand="0" w:evenVBand="0" w:oddHBand="0" w:evenHBand="0" w:firstRowFirstColumn="0" w:firstRowLastColumn="0" w:lastRowFirstColumn="0" w:lastRowLastColumn="0"/>
        </w:trPr>
        <w:tc>
          <w:tcPr>
            <w:tcW w:w="1420" w:type="pct"/>
            <w:hideMark/>
          </w:tcPr>
          <w:p w14:paraId="7A3D244E" w14:textId="77777777" w:rsidR="00D27D58" w:rsidRPr="00D27D58" w:rsidRDefault="00D27D58" w:rsidP="00D27D58">
            <w:pPr>
              <w:ind w:firstLineChars="0" w:firstLine="0"/>
            </w:pPr>
            <w:r w:rsidRPr="00D27D58">
              <w:rPr>
                <w:bCs/>
              </w:rPr>
              <w:t>项目</w:t>
            </w:r>
          </w:p>
        </w:tc>
        <w:tc>
          <w:tcPr>
            <w:tcW w:w="1822" w:type="pct"/>
            <w:hideMark/>
          </w:tcPr>
          <w:p w14:paraId="16A6B09C" w14:textId="77777777" w:rsidR="00D27D58" w:rsidRPr="00D27D58" w:rsidRDefault="00D27D58" w:rsidP="00D27D58">
            <w:pPr>
              <w:ind w:firstLineChars="0" w:firstLine="0"/>
            </w:pPr>
            <w:r w:rsidRPr="00D27D58">
              <w:rPr>
                <w:bCs/>
              </w:rPr>
              <w:t>Token</w:t>
            </w:r>
            <w:r w:rsidRPr="00D27D58">
              <w:rPr>
                <w:bCs/>
              </w:rPr>
              <w:t>消耗</w:t>
            </w:r>
          </w:p>
        </w:tc>
        <w:tc>
          <w:tcPr>
            <w:tcW w:w="1758" w:type="pct"/>
            <w:hideMark/>
          </w:tcPr>
          <w:p w14:paraId="13D21649" w14:textId="77777777" w:rsidR="00D27D58" w:rsidRPr="00D27D58" w:rsidRDefault="00D27D58" w:rsidP="00D27D58">
            <w:pPr>
              <w:ind w:firstLineChars="0" w:firstLine="0"/>
            </w:pPr>
            <w:r w:rsidRPr="00D27D58">
              <w:rPr>
                <w:bCs/>
              </w:rPr>
              <w:t>成本估算</w:t>
            </w:r>
          </w:p>
        </w:tc>
      </w:tr>
      <w:tr w:rsidR="00D27D58" w:rsidRPr="00D27D58" w14:paraId="489B5D6F" w14:textId="77777777" w:rsidTr="00D27D58">
        <w:tc>
          <w:tcPr>
            <w:tcW w:w="1420" w:type="pct"/>
            <w:hideMark/>
          </w:tcPr>
          <w:p w14:paraId="07B3F641" w14:textId="77777777" w:rsidR="00D27D58" w:rsidRPr="00D27D58" w:rsidRDefault="00D27D58" w:rsidP="00D27D58">
            <w:pPr>
              <w:ind w:firstLineChars="0" w:firstLine="0"/>
            </w:pPr>
            <w:r w:rsidRPr="00D27D58">
              <w:t>输入</w:t>
            </w:r>
            <w:r w:rsidRPr="00D27D58">
              <w:t>Token</w:t>
            </w:r>
          </w:p>
        </w:tc>
        <w:tc>
          <w:tcPr>
            <w:tcW w:w="1822" w:type="pct"/>
            <w:hideMark/>
          </w:tcPr>
          <w:p w14:paraId="1DFAD17D" w14:textId="77777777" w:rsidR="00D27D58" w:rsidRPr="00D27D58" w:rsidRDefault="00D27D58" w:rsidP="00D27D58">
            <w:pPr>
              <w:ind w:firstLineChars="0" w:firstLine="0"/>
            </w:pPr>
            <w:r w:rsidRPr="00D27D58">
              <w:t>20,000 - 40,000</w:t>
            </w:r>
          </w:p>
        </w:tc>
        <w:tc>
          <w:tcPr>
            <w:tcW w:w="1758" w:type="pct"/>
            <w:hideMark/>
          </w:tcPr>
          <w:p w14:paraId="3A4372E4" w14:textId="77777777" w:rsidR="00D27D58" w:rsidRPr="00D27D58" w:rsidRDefault="00D27D58" w:rsidP="00D27D58">
            <w:pPr>
              <w:ind w:firstLineChars="0" w:firstLine="0"/>
            </w:pPr>
            <w:r w:rsidRPr="00D27D58">
              <w:t>0.04 - 0.08</w:t>
            </w:r>
            <w:r w:rsidRPr="00D27D58">
              <w:t>元</w:t>
            </w:r>
          </w:p>
        </w:tc>
      </w:tr>
      <w:tr w:rsidR="00D27D58" w:rsidRPr="00D27D58" w14:paraId="2F1EF696" w14:textId="77777777" w:rsidTr="00D27D58">
        <w:tc>
          <w:tcPr>
            <w:tcW w:w="1420" w:type="pct"/>
            <w:hideMark/>
          </w:tcPr>
          <w:p w14:paraId="0B5C458B" w14:textId="77777777" w:rsidR="00D27D58" w:rsidRPr="00D27D58" w:rsidRDefault="00D27D58" w:rsidP="00D27D58">
            <w:pPr>
              <w:ind w:firstLineChars="0" w:firstLine="0"/>
            </w:pPr>
            <w:r w:rsidRPr="00D27D58">
              <w:t>输出</w:t>
            </w:r>
            <w:r w:rsidRPr="00D27D58">
              <w:t>Token</w:t>
            </w:r>
          </w:p>
        </w:tc>
        <w:tc>
          <w:tcPr>
            <w:tcW w:w="1822" w:type="pct"/>
            <w:hideMark/>
          </w:tcPr>
          <w:p w14:paraId="6DE48D48" w14:textId="77777777" w:rsidR="00D27D58" w:rsidRPr="00D27D58" w:rsidRDefault="00D27D58" w:rsidP="00D27D58">
            <w:pPr>
              <w:ind w:firstLineChars="0" w:firstLine="0"/>
            </w:pPr>
            <w:r w:rsidRPr="00D27D58">
              <w:t>5,000 - 10,000</w:t>
            </w:r>
          </w:p>
        </w:tc>
        <w:tc>
          <w:tcPr>
            <w:tcW w:w="1758" w:type="pct"/>
            <w:hideMark/>
          </w:tcPr>
          <w:p w14:paraId="740CEE4D" w14:textId="77777777" w:rsidR="00D27D58" w:rsidRPr="00D27D58" w:rsidRDefault="00D27D58" w:rsidP="00D27D58">
            <w:pPr>
              <w:ind w:firstLineChars="0" w:firstLine="0"/>
            </w:pPr>
            <w:r w:rsidRPr="00D27D58">
              <w:t>0.015 - 0.03</w:t>
            </w:r>
            <w:r w:rsidRPr="00D27D58">
              <w:t>元</w:t>
            </w:r>
          </w:p>
        </w:tc>
      </w:tr>
      <w:tr w:rsidR="00D27D58" w:rsidRPr="00D27D58" w14:paraId="18B62F69" w14:textId="77777777" w:rsidTr="00D27D58">
        <w:tc>
          <w:tcPr>
            <w:tcW w:w="1420" w:type="pct"/>
            <w:hideMark/>
          </w:tcPr>
          <w:p w14:paraId="51E6A0A6" w14:textId="77777777" w:rsidR="00D27D58" w:rsidRPr="00D27D58" w:rsidRDefault="00D27D58" w:rsidP="00D27D58">
            <w:pPr>
              <w:ind w:firstLineChars="0" w:firstLine="0"/>
            </w:pPr>
            <w:r w:rsidRPr="00D27D58">
              <w:rPr>
                <w:b/>
                <w:bCs/>
              </w:rPr>
              <w:t>总计</w:t>
            </w:r>
          </w:p>
        </w:tc>
        <w:tc>
          <w:tcPr>
            <w:tcW w:w="1822" w:type="pct"/>
            <w:hideMark/>
          </w:tcPr>
          <w:p w14:paraId="17ADD713" w14:textId="77777777" w:rsidR="00D27D58" w:rsidRPr="00D27D58" w:rsidRDefault="00D27D58" w:rsidP="00D27D58">
            <w:pPr>
              <w:ind w:firstLineChars="0" w:firstLine="0"/>
            </w:pPr>
            <w:r w:rsidRPr="00D27D58">
              <w:rPr>
                <w:b/>
                <w:bCs/>
              </w:rPr>
              <w:t>25,000 - 50,000</w:t>
            </w:r>
          </w:p>
        </w:tc>
        <w:tc>
          <w:tcPr>
            <w:tcW w:w="1758" w:type="pct"/>
            <w:hideMark/>
          </w:tcPr>
          <w:p w14:paraId="0320B46B" w14:textId="77777777" w:rsidR="00D27D58" w:rsidRPr="00D27D58" w:rsidRDefault="00D27D58" w:rsidP="00D27D58">
            <w:pPr>
              <w:ind w:firstLineChars="0" w:firstLine="0"/>
            </w:pPr>
            <w:r w:rsidRPr="00D27D58">
              <w:rPr>
                <w:b/>
                <w:bCs/>
              </w:rPr>
              <w:t>0.055 - 0.11</w:t>
            </w:r>
            <w:r w:rsidRPr="00D27D58">
              <w:rPr>
                <w:b/>
                <w:bCs/>
              </w:rPr>
              <w:t>元</w:t>
            </w:r>
          </w:p>
        </w:tc>
      </w:tr>
    </w:tbl>
    <w:p w14:paraId="08C77ECC" w14:textId="13C55D76" w:rsidR="00BC66C3" w:rsidRDefault="00BC66C3" w:rsidP="00617474">
      <w:pPr>
        <w:pStyle w:val="1"/>
      </w:pPr>
      <w:r>
        <w:rPr>
          <w:rFonts w:hint="eastAsia"/>
        </w:rPr>
        <w:t>3.</w:t>
      </w:r>
      <w:r>
        <w:rPr>
          <w:rFonts w:hint="eastAsia"/>
        </w:rPr>
        <w:t>项目</w:t>
      </w:r>
      <w:r w:rsidR="00617474">
        <w:rPr>
          <w:rFonts w:hint="eastAsia"/>
        </w:rPr>
        <w:t>整体框架介绍</w:t>
      </w:r>
    </w:p>
    <w:p w14:paraId="7E86BA03" w14:textId="77777777" w:rsidR="00845947" w:rsidRDefault="00845947" w:rsidP="00845947">
      <w:pPr>
        <w:ind w:firstLineChars="0" w:firstLine="0"/>
      </w:pPr>
      <w:r>
        <w:t>LLM-Driven-Behavioral-and-Risk-Tagging-System-for-FIP-Funds/</w:t>
      </w:r>
    </w:p>
    <w:p w14:paraId="119B01A0" w14:textId="77777777" w:rsidR="00845947" w:rsidRDefault="00845947" w:rsidP="00845947">
      <w:pPr>
        <w:ind w:firstLineChars="0" w:firstLine="0"/>
      </w:pPr>
      <w:r>
        <w:rPr>
          <w:rFonts w:hint="eastAsia"/>
        </w:rPr>
        <w:t>├──</w:t>
      </w:r>
      <w:r>
        <w:rPr>
          <w:rFonts w:hint="eastAsia"/>
        </w:rPr>
        <w:t xml:space="preserve"> data/                          # </w:t>
      </w:r>
      <w:r>
        <w:rPr>
          <w:rFonts w:hint="eastAsia"/>
        </w:rPr>
        <w:t>数据目录</w:t>
      </w:r>
    </w:p>
    <w:p w14:paraId="029A0669"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fund_reports/              # </w:t>
      </w:r>
      <w:r>
        <w:rPr>
          <w:rFonts w:hint="eastAsia"/>
        </w:rPr>
        <w:t>基金报告</w:t>
      </w:r>
      <w:r>
        <w:rPr>
          <w:rFonts w:hint="eastAsia"/>
        </w:rPr>
        <w:t>PDF</w:t>
      </w:r>
      <w:r>
        <w:rPr>
          <w:rFonts w:hint="eastAsia"/>
        </w:rPr>
        <w:t>文件</w:t>
      </w:r>
    </w:p>
    <w:p w14:paraId="69F48EDB" w14:textId="77777777" w:rsidR="00845947" w:rsidRDefault="00845947" w:rsidP="00845947">
      <w:pPr>
        <w:ind w:firstLineChars="0" w:firstLine="0"/>
      </w:pPr>
      <w:r>
        <w:rPr>
          <w:rFonts w:hint="eastAsia"/>
        </w:rPr>
        <w:lastRenderedPageBreak/>
        <w:t>│</w:t>
      </w:r>
      <w:r>
        <w:rPr>
          <w:rFonts w:hint="eastAsia"/>
        </w:rPr>
        <w:t xml:space="preserve">   </w:t>
      </w:r>
      <w:r>
        <w:rPr>
          <w:rFonts w:hint="eastAsia"/>
        </w:rPr>
        <w:t>├──</w:t>
      </w:r>
      <w:r>
        <w:rPr>
          <w:rFonts w:hint="eastAsia"/>
        </w:rPr>
        <w:t xml:space="preserve"> fund_nav/                  # </w:t>
      </w:r>
      <w:r>
        <w:rPr>
          <w:rFonts w:hint="eastAsia"/>
        </w:rPr>
        <w:t>基金净值数据</w:t>
      </w:r>
    </w:p>
    <w:p w14:paraId="661967E9"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w:t>
      </w:r>
      <w:r>
        <w:rPr>
          <w:rFonts w:hint="eastAsia"/>
        </w:rPr>
        <w:t>指数</w:t>
      </w:r>
      <w:r>
        <w:rPr>
          <w:rFonts w:hint="eastAsia"/>
        </w:rPr>
        <w:t xml:space="preserve">.xlsx                  # </w:t>
      </w:r>
      <w:r>
        <w:rPr>
          <w:rFonts w:hint="eastAsia"/>
        </w:rPr>
        <w:t>上证综合指数数据</w:t>
      </w:r>
    </w:p>
    <w:p w14:paraId="77B44C41"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ifind</w:t>
      </w:r>
      <w:r>
        <w:rPr>
          <w:rFonts w:hint="eastAsia"/>
        </w:rPr>
        <w:t>基金数据</w:t>
      </w:r>
      <w:r>
        <w:rPr>
          <w:rFonts w:hint="eastAsia"/>
        </w:rPr>
        <w:t xml:space="preserve">.xlsx         # </w:t>
      </w:r>
      <w:r>
        <w:rPr>
          <w:rFonts w:hint="eastAsia"/>
        </w:rPr>
        <w:t>基金列表数据</w:t>
      </w:r>
    </w:p>
    <w:p w14:paraId="5ADE480E" w14:textId="77777777" w:rsidR="00845947" w:rsidRDefault="00845947" w:rsidP="00845947">
      <w:pPr>
        <w:ind w:firstLineChars="0" w:firstLine="0"/>
      </w:pPr>
      <w:r>
        <w:rPr>
          <w:rFonts w:hint="eastAsia"/>
        </w:rPr>
        <w:t>├──</w:t>
      </w:r>
      <w:r>
        <w:rPr>
          <w:rFonts w:hint="eastAsia"/>
        </w:rPr>
        <w:t xml:space="preserve"> input/                         # </w:t>
      </w:r>
      <w:r>
        <w:rPr>
          <w:rFonts w:hint="eastAsia"/>
        </w:rPr>
        <w:t>输入数据</w:t>
      </w:r>
    </w:p>
    <w:p w14:paraId="1C7F3766"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w:t>
      </w:r>
      <w:r>
        <w:rPr>
          <w:rFonts w:hint="eastAsia"/>
        </w:rPr>
        <w:t>筛选后的基金列表</w:t>
      </w:r>
      <w:r>
        <w:rPr>
          <w:rFonts w:hint="eastAsia"/>
        </w:rPr>
        <w:t xml:space="preserve">.xlsx      # </w:t>
      </w:r>
      <w:r>
        <w:rPr>
          <w:rFonts w:hint="eastAsia"/>
        </w:rPr>
        <w:t>待分析基金列表</w:t>
      </w:r>
    </w:p>
    <w:p w14:paraId="577D16A0" w14:textId="77777777" w:rsidR="00845947" w:rsidRDefault="00845947" w:rsidP="00845947">
      <w:pPr>
        <w:ind w:firstLineChars="0" w:firstLine="0"/>
      </w:pPr>
      <w:r>
        <w:rPr>
          <w:rFonts w:hint="eastAsia"/>
        </w:rPr>
        <w:t>├──</w:t>
      </w:r>
      <w:r>
        <w:rPr>
          <w:rFonts w:hint="eastAsia"/>
        </w:rPr>
        <w:t xml:space="preserve"> output/                        # </w:t>
      </w:r>
      <w:r>
        <w:rPr>
          <w:rFonts w:hint="eastAsia"/>
        </w:rPr>
        <w:t>输出目录</w:t>
      </w:r>
    </w:p>
    <w:p w14:paraId="74D9D868"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fund_analysis/             # </w:t>
      </w:r>
      <w:r>
        <w:rPr>
          <w:rFonts w:hint="eastAsia"/>
        </w:rPr>
        <w:t>基金分析结果</w:t>
      </w:r>
    </w:p>
    <w:p w14:paraId="644FF747"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tags/                  # </w:t>
      </w:r>
      <w:r>
        <w:rPr>
          <w:rFonts w:hint="eastAsia"/>
        </w:rPr>
        <w:t>标签体系</w:t>
      </w:r>
      <w:r>
        <w:rPr>
          <w:rFonts w:hint="eastAsia"/>
        </w:rPr>
        <w:t>JSON</w:t>
      </w:r>
      <w:r>
        <w:rPr>
          <w:rFonts w:hint="eastAsia"/>
        </w:rPr>
        <w:t>文件</w:t>
      </w:r>
    </w:p>
    <w:p w14:paraId="6ACE5567"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profiles/              # </w:t>
      </w:r>
      <w:r>
        <w:rPr>
          <w:rFonts w:hint="eastAsia"/>
        </w:rPr>
        <w:t>画像描述文本文件</w:t>
      </w:r>
    </w:p>
    <w:p w14:paraId="08AF3EDE"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short_term_operation_tags/    # </w:t>
      </w:r>
      <w:r>
        <w:rPr>
          <w:rFonts w:hint="eastAsia"/>
        </w:rPr>
        <w:t>短期操作风格标签</w:t>
      </w:r>
    </w:p>
    <w:p w14:paraId="460B743C"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short_term_personality_tags/  # </w:t>
      </w:r>
      <w:r>
        <w:rPr>
          <w:rFonts w:hint="eastAsia"/>
        </w:rPr>
        <w:t>短期个性特征标签</w:t>
      </w:r>
    </w:p>
    <w:p w14:paraId="4076F45E"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w:t>
      </w:r>
      <w:r>
        <w:rPr>
          <w:rFonts w:hint="eastAsia"/>
        </w:rPr>
        <w:t>基金分析汇总报告</w:t>
      </w:r>
      <w:r>
        <w:rPr>
          <w:rFonts w:hint="eastAsia"/>
        </w:rPr>
        <w:t>.md</w:t>
      </w:r>
    </w:p>
    <w:p w14:paraId="2E899A6F"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w:t>
      </w:r>
      <w:r>
        <w:rPr>
          <w:rFonts w:hint="eastAsia"/>
        </w:rPr>
        <w:t>数据提取汇总报告</w:t>
      </w:r>
      <w:r>
        <w:rPr>
          <w:rFonts w:hint="eastAsia"/>
        </w:rPr>
        <w:t>.md</w:t>
      </w:r>
    </w:p>
    <w:p w14:paraId="6FF65775" w14:textId="77777777" w:rsidR="00845947" w:rsidRDefault="00845947" w:rsidP="00845947">
      <w:pPr>
        <w:ind w:firstLineChars="0" w:firstLine="0"/>
      </w:pPr>
      <w:r>
        <w:rPr>
          <w:rFonts w:hint="eastAsia"/>
        </w:rPr>
        <w:t>├──</w:t>
      </w:r>
      <w:r>
        <w:rPr>
          <w:rFonts w:hint="eastAsia"/>
        </w:rPr>
        <w:t xml:space="preserve"> project/                       # </w:t>
      </w:r>
      <w:r>
        <w:rPr>
          <w:rFonts w:hint="eastAsia"/>
        </w:rPr>
        <w:t>项目代码</w:t>
      </w:r>
    </w:p>
    <w:p w14:paraId="58861A1D"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data_extraction/           # </w:t>
      </w:r>
      <w:r>
        <w:rPr>
          <w:rFonts w:hint="eastAsia"/>
        </w:rPr>
        <w:t>数据提取模块</w:t>
      </w:r>
    </w:p>
    <w:p w14:paraId="2BA4B90E"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base_extractor.py      # </w:t>
      </w:r>
      <w:r>
        <w:rPr>
          <w:rFonts w:hint="eastAsia"/>
        </w:rPr>
        <w:t>基础提取器</w:t>
      </w:r>
    </w:p>
    <w:p w14:paraId="695C24DA"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macro_view_extractor.py    # </w:t>
      </w:r>
      <w:r>
        <w:rPr>
          <w:rFonts w:hint="eastAsia"/>
        </w:rPr>
        <w:t>宏观观点提取</w:t>
      </w:r>
    </w:p>
    <w:p w14:paraId="0EFEA613"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holding_extractor.py   # </w:t>
      </w:r>
      <w:r>
        <w:rPr>
          <w:rFonts w:hint="eastAsia"/>
        </w:rPr>
        <w:t>持仓数据提取</w:t>
      </w:r>
    </w:p>
    <w:p w14:paraId="5A35E970"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performance_extractor.py   # </w:t>
      </w:r>
      <w:r>
        <w:rPr>
          <w:rFonts w:hint="eastAsia"/>
        </w:rPr>
        <w:t>业绩数据提取</w:t>
      </w:r>
    </w:p>
    <w:p w14:paraId="614952EA"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manager_info_extractor.py  # </w:t>
      </w:r>
      <w:r>
        <w:rPr>
          <w:rFonts w:hint="eastAsia"/>
        </w:rPr>
        <w:t>基金经理信息提取</w:t>
      </w:r>
    </w:p>
    <w:p w14:paraId="54FEC40E"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index_data_loader.py   # </w:t>
      </w:r>
      <w:r>
        <w:rPr>
          <w:rFonts w:hint="eastAsia"/>
        </w:rPr>
        <w:t>指数数据加载</w:t>
      </w:r>
    </w:p>
    <w:p w14:paraId="4CB44040"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historical_holding_loader.py   # </w:t>
      </w:r>
      <w:r>
        <w:rPr>
          <w:rFonts w:hint="eastAsia"/>
        </w:rPr>
        <w:t>历史持仓加载</w:t>
      </w:r>
    </w:p>
    <w:p w14:paraId="3A11B80F"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data_exporter.py       # </w:t>
      </w:r>
      <w:r>
        <w:rPr>
          <w:rFonts w:hint="eastAsia"/>
        </w:rPr>
        <w:t>数据导出</w:t>
      </w:r>
    </w:p>
    <w:p w14:paraId="54CEE500"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tag_generation/            # </w:t>
      </w:r>
      <w:r>
        <w:rPr>
          <w:rFonts w:hint="eastAsia"/>
        </w:rPr>
        <w:t>标签生成模块</w:t>
      </w:r>
    </w:p>
    <w:p w14:paraId="20340AC4"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risk_return_tagger.py  # </w:t>
      </w:r>
      <w:r>
        <w:rPr>
          <w:rFonts w:hint="eastAsia"/>
        </w:rPr>
        <w:t>收益风险标签生成</w:t>
      </w:r>
    </w:p>
    <w:p w14:paraId="078DCBE9"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operation_style_tagger.py   # </w:t>
      </w:r>
      <w:r>
        <w:rPr>
          <w:rFonts w:hint="eastAsia"/>
        </w:rPr>
        <w:t>操作风格标签生成</w:t>
      </w:r>
    </w:p>
    <w:p w14:paraId="65D460CA"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personality_tagger.py  # </w:t>
      </w:r>
      <w:r>
        <w:rPr>
          <w:rFonts w:hint="eastAsia"/>
        </w:rPr>
        <w:t>个性特征标签生成</w:t>
      </w:r>
    </w:p>
    <w:p w14:paraId="1F921999"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tag_generator.py       # </w:t>
      </w:r>
      <w:r>
        <w:rPr>
          <w:rFonts w:hint="eastAsia"/>
        </w:rPr>
        <w:t>标签生成器（整合）</w:t>
      </w:r>
    </w:p>
    <w:p w14:paraId="42ECD1DB"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multi_period_style_analyzer.py   # </w:t>
      </w:r>
      <w:r>
        <w:rPr>
          <w:rFonts w:hint="eastAsia"/>
        </w:rPr>
        <w:t>多期风格分析</w:t>
      </w:r>
    </w:p>
    <w:p w14:paraId="123B9F25"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config/                    # </w:t>
      </w:r>
      <w:r>
        <w:rPr>
          <w:rFonts w:hint="eastAsia"/>
        </w:rPr>
        <w:t>配置模块</w:t>
      </w:r>
    </w:p>
    <w:p w14:paraId="14550717"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fund_type_characteristics.py   # </w:t>
      </w:r>
      <w:r>
        <w:rPr>
          <w:rFonts w:hint="eastAsia"/>
        </w:rPr>
        <w:t>基金类型特性配置</w:t>
      </w:r>
    </w:p>
    <w:p w14:paraId="1CFDBD1F"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fund_type_identifier.py    # </w:t>
      </w:r>
      <w:r>
        <w:rPr>
          <w:rFonts w:hint="eastAsia"/>
        </w:rPr>
        <w:t>基金类型识别器</w:t>
      </w:r>
    </w:p>
    <w:p w14:paraId="4D4D17D7"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main.py                    # </w:t>
      </w:r>
      <w:r>
        <w:rPr>
          <w:rFonts w:hint="eastAsia"/>
        </w:rPr>
        <w:t>主程序入口</w:t>
      </w:r>
    </w:p>
    <w:p w14:paraId="21987B2F" w14:textId="77777777" w:rsidR="00845947" w:rsidRDefault="00845947" w:rsidP="00845947">
      <w:pPr>
        <w:ind w:firstLineChars="0" w:firstLine="0"/>
      </w:pPr>
      <w:r>
        <w:rPr>
          <w:rFonts w:hint="eastAsia"/>
        </w:rPr>
        <w:t>├──</w:t>
      </w:r>
      <w:r>
        <w:rPr>
          <w:rFonts w:hint="eastAsia"/>
        </w:rPr>
        <w:t xml:space="preserve"> docs/                          # </w:t>
      </w:r>
      <w:r>
        <w:rPr>
          <w:rFonts w:hint="eastAsia"/>
        </w:rPr>
        <w:t>文档目录</w:t>
      </w:r>
    </w:p>
    <w:p w14:paraId="71BA7903" w14:textId="61950A2A"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w:t>
      </w:r>
      <w:r w:rsidRPr="00845947">
        <w:rPr>
          <w:rFonts w:hint="eastAsia"/>
        </w:rPr>
        <w:t>固收类赛道第</w:t>
      </w:r>
      <w:r w:rsidRPr="00845947">
        <w:rPr>
          <w:rFonts w:hint="eastAsia"/>
        </w:rPr>
        <w:t>1</w:t>
      </w:r>
      <w:r w:rsidRPr="00845947">
        <w:rPr>
          <w:rFonts w:hint="eastAsia"/>
        </w:rPr>
        <w:t>题姓名胡雨欣</w:t>
      </w:r>
      <w:r>
        <w:rPr>
          <w:rFonts w:hint="eastAsia"/>
        </w:rPr>
        <w:t xml:space="preserve">.md  # </w:t>
      </w:r>
      <w:r>
        <w:rPr>
          <w:rFonts w:hint="eastAsia"/>
        </w:rPr>
        <w:t>项目报告</w:t>
      </w:r>
    </w:p>
    <w:p w14:paraId="19C1581C" w14:textId="20A9516C" w:rsidR="00845947" w:rsidRDefault="00845947" w:rsidP="00845947">
      <w:pPr>
        <w:ind w:firstLineChars="0" w:firstLine="0"/>
      </w:pPr>
      <w:r>
        <w:rPr>
          <w:rFonts w:hint="eastAsia"/>
        </w:rPr>
        <w:lastRenderedPageBreak/>
        <w:t>│</w:t>
      </w:r>
      <w:r>
        <w:rPr>
          <w:rFonts w:hint="eastAsia"/>
        </w:rPr>
        <w:t xml:space="preserve">   </w:t>
      </w:r>
      <w:r>
        <w:rPr>
          <w:rFonts w:hint="eastAsia"/>
        </w:rPr>
        <w:t>├──</w:t>
      </w:r>
      <w:r>
        <w:rPr>
          <w:rFonts w:hint="eastAsia"/>
        </w:rPr>
        <w:t xml:space="preserve"> </w:t>
      </w:r>
      <w:r>
        <w:rPr>
          <w:rFonts w:hint="eastAsia"/>
        </w:rPr>
        <w:t>项目整体介绍</w:t>
      </w:r>
      <w:r>
        <w:rPr>
          <w:rFonts w:hint="eastAsia"/>
        </w:rPr>
        <w:t>.md            #</w:t>
      </w:r>
      <w:r w:rsidR="00A2731D">
        <w:rPr>
          <w:rFonts w:hint="eastAsia"/>
        </w:rPr>
        <w:t xml:space="preserve"> </w:t>
      </w:r>
      <w:r w:rsidR="00A2731D">
        <w:rPr>
          <w:rFonts w:hint="eastAsia"/>
        </w:rPr>
        <w:t>项目整体介绍</w:t>
      </w:r>
    </w:p>
    <w:p w14:paraId="295DF2EE"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w:t>
      </w:r>
      <w:r>
        <w:rPr>
          <w:rFonts w:hint="eastAsia"/>
        </w:rPr>
        <w:t>标签体系介绍</w:t>
      </w:r>
      <w:r>
        <w:rPr>
          <w:rFonts w:hint="eastAsia"/>
        </w:rPr>
        <w:t xml:space="preserve">.md            # </w:t>
      </w:r>
      <w:r>
        <w:rPr>
          <w:rFonts w:hint="eastAsia"/>
        </w:rPr>
        <w:t>标签体系详细说明</w:t>
      </w:r>
    </w:p>
    <w:p w14:paraId="143D5640" w14:textId="77777777" w:rsidR="00845947" w:rsidRDefault="00845947" w:rsidP="00845947">
      <w:pPr>
        <w:ind w:firstLineChars="0" w:firstLine="0"/>
      </w:pPr>
      <w:r>
        <w:rPr>
          <w:rFonts w:hint="eastAsia"/>
        </w:rPr>
        <w:t>│</w:t>
      </w:r>
      <w:r>
        <w:rPr>
          <w:rFonts w:hint="eastAsia"/>
        </w:rPr>
        <w:t xml:space="preserve">   </w:t>
      </w:r>
      <w:r>
        <w:rPr>
          <w:rFonts w:hint="eastAsia"/>
        </w:rPr>
        <w:t>└──</w:t>
      </w:r>
      <w:r>
        <w:rPr>
          <w:rFonts w:hint="eastAsia"/>
        </w:rPr>
        <w:t xml:space="preserve"> ...                        # </w:t>
      </w:r>
      <w:r>
        <w:rPr>
          <w:rFonts w:hint="eastAsia"/>
        </w:rPr>
        <w:t>其他文档</w:t>
      </w:r>
    </w:p>
    <w:p w14:paraId="51AFD3DC" w14:textId="10229B29" w:rsidR="00845947" w:rsidRDefault="00845947" w:rsidP="00845947">
      <w:pPr>
        <w:ind w:firstLineChars="0" w:firstLine="0"/>
      </w:pPr>
      <w:r>
        <w:rPr>
          <w:rFonts w:hint="eastAsia"/>
        </w:rPr>
        <w:t>└──</w:t>
      </w:r>
      <w:r>
        <w:rPr>
          <w:rFonts w:hint="eastAsia"/>
        </w:rPr>
        <w:t xml:space="preserve"> .env                           # </w:t>
      </w:r>
      <w:r>
        <w:rPr>
          <w:rFonts w:hint="eastAsia"/>
        </w:rPr>
        <w:t>环境变量配置</w:t>
      </w:r>
    </w:p>
    <w:p w14:paraId="5CE800F8" w14:textId="4FB2C7C1" w:rsidR="0051413A" w:rsidRDefault="0051413A" w:rsidP="0051413A">
      <w:pPr>
        <w:pStyle w:val="1"/>
      </w:pPr>
      <w:r>
        <w:rPr>
          <w:rFonts w:hint="eastAsia"/>
        </w:rPr>
        <w:t>4.demo</w:t>
      </w:r>
      <w:r>
        <w:rPr>
          <w:rFonts w:hint="eastAsia"/>
        </w:rPr>
        <w:t>展示</w:t>
      </w:r>
    </w:p>
    <w:p w14:paraId="699AEB38" w14:textId="754B3665" w:rsidR="00F94BD8" w:rsidRPr="00F94BD8" w:rsidRDefault="00F94BD8" w:rsidP="00F94BD8">
      <w:pPr>
        <w:pStyle w:val="2"/>
        <w:ind w:firstLine="532"/>
        <w:rPr>
          <w:rFonts w:hint="eastAsia"/>
        </w:rPr>
      </w:pPr>
      <w:r>
        <w:rPr>
          <w:rFonts w:hint="eastAsia"/>
        </w:rPr>
        <w:t>4.1</w:t>
      </w:r>
      <w:r>
        <w:rPr>
          <w:rFonts w:hint="eastAsia"/>
        </w:rPr>
        <w:t>报告提取结果展示</w:t>
      </w:r>
    </w:p>
    <w:p w14:paraId="4DDD19DA" w14:textId="64E6592E" w:rsidR="00065323" w:rsidRDefault="00A734E9" w:rsidP="00F94BD8">
      <w:r>
        <w:rPr>
          <w:rFonts w:hint="eastAsia"/>
        </w:rPr>
        <w:t>以</w:t>
      </w:r>
      <w:r w:rsidR="00065323" w:rsidRPr="00065323">
        <w:t>华商信用增强债券型证券投资基金</w:t>
      </w:r>
      <w:r w:rsidR="00065323">
        <w:rPr>
          <w:rFonts w:hint="eastAsia"/>
        </w:rPr>
        <w:t>（</w:t>
      </w:r>
      <w:r w:rsidR="00065323">
        <w:rPr>
          <w:rFonts w:hint="eastAsia"/>
        </w:rPr>
        <w:t>001751.OF</w:t>
      </w:r>
      <w:r w:rsidR="00065323">
        <w:rPr>
          <w:rFonts w:hint="eastAsia"/>
        </w:rPr>
        <w:t>）为例</w:t>
      </w:r>
      <w:r w:rsidR="00F94BD8">
        <w:rPr>
          <w:rFonts w:hint="eastAsia"/>
        </w:rPr>
        <w:t>。</w:t>
      </w:r>
    </w:p>
    <w:p w14:paraId="1051EB8B" w14:textId="16871515" w:rsidR="00F94BD8" w:rsidRDefault="00F94BD8" w:rsidP="00F94BD8">
      <w:pPr>
        <w:rPr>
          <w:rFonts w:hint="eastAsia"/>
        </w:rPr>
      </w:pPr>
      <w:r>
        <w:rPr>
          <w:rFonts w:hint="eastAsia"/>
        </w:rPr>
        <w:t>下图展示</w:t>
      </w:r>
      <w:r w:rsidRPr="00F94BD8">
        <w:t>华商信用增强债券型证券投资基金</w:t>
      </w:r>
      <w:r w:rsidRPr="00F94BD8">
        <w:t>2026</w:t>
      </w:r>
      <w:r w:rsidRPr="00F94BD8">
        <w:t>年第</w:t>
      </w:r>
      <w:r w:rsidRPr="00F94BD8">
        <w:t>1</w:t>
      </w:r>
      <w:r w:rsidRPr="00F94BD8">
        <w:t>季度报告</w:t>
      </w:r>
      <w:r>
        <w:rPr>
          <w:rFonts w:hint="eastAsia"/>
        </w:rPr>
        <w:t>的</w:t>
      </w:r>
      <w:r w:rsidRPr="00F94BD8">
        <w:t>数据提取结果</w:t>
      </w:r>
      <w:r>
        <w:rPr>
          <w:rFonts w:hint="eastAsia"/>
        </w:rPr>
        <w:t>。每个报告单独分析，并将提取出来的结果单独储存。</w:t>
      </w:r>
    </w:p>
    <w:p w14:paraId="3DBA01C6" w14:textId="1F04C87E" w:rsidR="00065323" w:rsidRDefault="00F94BD8" w:rsidP="0051413A">
      <w:pPr>
        <w:ind w:firstLineChars="0" w:firstLine="0"/>
        <w:rPr>
          <w:rFonts w:hint="eastAsia"/>
        </w:rPr>
      </w:pPr>
      <w:r>
        <w:rPr>
          <w:noProof/>
        </w:rPr>
        <w:drawing>
          <wp:inline distT="0" distB="0" distL="0" distR="0" wp14:anchorId="524DFF82" wp14:editId="7D4018CF">
            <wp:extent cx="5274310" cy="5792470"/>
            <wp:effectExtent l="0" t="0" r="2540" b="0"/>
            <wp:docPr id="2078423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23125" name=""/>
                    <pic:cNvPicPr/>
                  </pic:nvPicPr>
                  <pic:blipFill>
                    <a:blip r:embed="rId8"/>
                    <a:stretch>
                      <a:fillRect/>
                    </a:stretch>
                  </pic:blipFill>
                  <pic:spPr>
                    <a:xfrm>
                      <a:off x="0" y="0"/>
                      <a:ext cx="5274310" cy="5792470"/>
                    </a:xfrm>
                    <a:prstGeom prst="rect">
                      <a:avLst/>
                    </a:prstGeom>
                  </pic:spPr>
                </pic:pic>
              </a:graphicData>
            </a:graphic>
          </wp:inline>
        </w:drawing>
      </w:r>
    </w:p>
    <w:p w14:paraId="1981D1F8" w14:textId="77777777" w:rsidR="00F94BD8" w:rsidRDefault="00F94BD8" w:rsidP="0051413A">
      <w:pPr>
        <w:ind w:firstLineChars="0" w:firstLine="0"/>
        <w:rPr>
          <w:noProof/>
        </w:rPr>
      </w:pPr>
    </w:p>
    <w:p w14:paraId="2EED37E3" w14:textId="5103CAA4" w:rsidR="00065323" w:rsidRDefault="00F94BD8" w:rsidP="0051413A">
      <w:pPr>
        <w:ind w:firstLineChars="0" w:firstLine="0"/>
      </w:pPr>
      <w:r>
        <w:rPr>
          <w:noProof/>
        </w:rPr>
        <w:lastRenderedPageBreak/>
        <w:drawing>
          <wp:inline distT="0" distB="0" distL="0" distR="0" wp14:anchorId="675A4A3A" wp14:editId="12D002B0">
            <wp:extent cx="5274310" cy="5791200"/>
            <wp:effectExtent l="0" t="0" r="2540" b="0"/>
            <wp:docPr id="150383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3567" name=""/>
                    <pic:cNvPicPr/>
                  </pic:nvPicPr>
                  <pic:blipFill rotWithShape="1">
                    <a:blip r:embed="rId9"/>
                    <a:srcRect b="3462"/>
                    <a:stretch>
                      <a:fillRect/>
                    </a:stretch>
                  </pic:blipFill>
                  <pic:spPr bwMode="auto">
                    <a:xfrm>
                      <a:off x="0" y="0"/>
                      <a:ext cx="5274310" cy="5791200"/>
                    </a:xfrm>
                    <a:prstGeom prst="rect">
                      <a:avLst/>
                    </a:prstGeom>
                    <a:ln>
                      <a:noFill/>
                    </a:ln>
                    <a:extLst>
                      <a:ext uri="{53640926-AAD7-44D8-BBD7-CCE9431645EC}">
                        <a14:shadowObscured xmlns:a14="http://schemas.microsoft.com/office/drawing/2010/main"/>
                      </a:ext>
                    </a:extLst>
                  </pic:spPr>
                </pic:pic>
              </a:graphicData>
            </a:graphic>
          </wp:inline>
        </w:drawing>
      </w:r>
    </w:p>
    <w:p w14:paraId="006CDBB3" w14:textId="740F710F" w:rsidR="00F94BD8" w:rsidRDefault="00F94BD8" w:rsidP="0051413A">
      <w:pPr>
        <w:ind w:firstLineChars="0" w:firstLine="0"/>
        <w:rPr>
          <w:rFonts w:hint="eastAsia"/>
        </w:rPr>
      </w:pPr>
      <w:r>
        <w:rPr>
          <w:noProof/>
        </w:rPr>
        <w:drawing>
          <wp:inline distT="0" distB="0" distL="0" distR="0" wp14:anchorId="0F713414" wp14:editId="29158796">
            <wp:extent cx="5274310" cy="2501900"/>
            <wp:effectExtent l="0" t="0" r="2540" b="0"/>
            <wp:docPr id="1993438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38169" name=""/>
                    <pic:cNvPicPr/>
                  </pic:nvPicPr>
                  <pic:blipFill rotWithShape="1">
                    <a:blip r:embed="rId10"/>
                    <a:srcRect b="14142"/>
                    <a:stretch>
                      <a:fillRect/>
                    </a:stretch>
                  </pic:blipFill>
                  <pic:spPr bwMode="auto">
                    <a:xfrm>
                      <a:off x="0" y="0"/>
                      <a:ext cx="5274310" cy="2501900"/>
                    </a:xfrm>
                    <a:prstGeom prst="rect">
                      <a:avLst/>
                    </a:prstGeom>
                    <a:ln>
                      <a:noFill/>
                    </a:ln>
                    <a:extLst>
                      <a:ext uri="{53640926-AAD7-44D8-BBD7-CCE9431645EC}">
                        <a14:shadowObscured xmlns:a14="http://schemas.microsoft.com/office/drawing/2010/main"/>
                      </a:ext>
                    </a:extLst>
                  </pic:spPr>
                </pic:pic>
              </a:graphicData>
            </a:graphic>
          </wp:inline>
        </w:drawing>
      </w:r>
    </w:p>
    <w:p w14:paraId="5A933D88" w14:textId="1BB3E835" w:rsidR="00F94BD8" w:rsidRDefault="00F94BD8" w:rsidP="0051413A">
      <w:pPr>
        <w:ind w:firstLineChars="0" w:firstLine="0"/>
      </w:pPr>
      <w:r>
        <w:rPr>
          <w:noProof/>
        </w:rPr>
        <w:lastRenderedPageBreak/>
        <w:drawing>
          <wp:inline distT="0" distB="0" distL="0" distR="0" wp14:anchorId="5FDFE8C2" wp14:editId="68EC7381">
            <wp:extent cx="5274310" cy="5913755"/>
            <wp:effectExtent l="0" t="0" r="2540" b="0"/>
            <wp:docPr id="1127777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77414" name=""/>
                    <pic:cNvPicPr/>
                  </pic:nvPicPr>
                  <pic:blipFill>
                    <a:blip r:embed="rId11"/>
                    <a:stretch>
                      <a:fillRect/>
                    </a:stretch>
                  </pic:blipFill>
                  <pic:spPr>
                    <a:xfrm>
                      <a:off x="0" y="0"/>
                      <a:ext cx="5274310" cy="5913755"/>
                    </a:xfrm>
                    <a:prstGeom prst="rect">
                      <a:avLst/>
                    </a:prstGeom>
                  </pic:spPr>
                </pic:pic>
              </a:graphicData>
            </a:graphic>
          </wp:inline>
        </w:drawing>
      </w:r>
    </w:p>
    <w:p w14:paraId="122A71E3" w14:textId="685024EC" w:rsidR="00F94BD8" w:rsidRDefault="00F94BD8" w:rsidP="0051413A">
      <w:pPr>
        <w:ind w:firstLineChars="0" w:firstLine="0"/>
        <w:rPr>
          <w:rFonts w:hint="eastAsia"/>
        </w:rPr>
      </w:pPr>
      <w:r>
        <w:rPr>
          <w:noProof/>
        </w:rPr>
        <w:drawing>
          <wp:inline distT="0" distB="0" distL="0" distR="0" wp14:anchorId="65A567D2" wp14:editId="30D44FA1">
            <wp:extent cx="5274310" cy="2641600"/>
            <wp:effectExtent l="0" t="0" r="2540" b="6350"/>
            <wp:docPr id="977351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51668" name=""/>
                    <pic:cNvPicPr/>
                  </pic:nvPicPr>
                  <pic:blipFill rotWithShape="1">
                    <a:blip r:embed="rId12"/>
                    <a:srcRect b="44131"/>
                    <a:stretch>
                      <a:fillRect/>
                    </a:stretch>
                  </pic:blipFill>
                  <pic:spPr bwMode="auto">
                    <a:xfrm>
                      <a:off x="0" y="0"/>
                      <a:ext cx="5274310" cy="2641600"/>
                    </a:xfrm>
                    <a:prstGeom prst="rect">
                      <a:avLst/>
                    </a:prstGeom>
                    <a:ln>
                      <a:noFill/>
                    </a:ln>
                    <a:extLst>
                      <a:ext uri="{53640926-AAD7-44D8-BBD7-CCE9431645EC}">
                        <a14:shadowObscured xmlns:a14="http://schemas.microsoft.com/office/drawing/2010/main"/>
                      </a:ext>
                    </a:extLst>
                  </pic:spPr>
                </pic:pic>
              </a:graphicData>
            </a:graphic>
          </wp:inline>
        </w:drawing>
      </w:r>
    </w:p>
    <w:p w14:paraId="76B543CB" w14:textId="46FD112D" w:rsidR="00065323" w:rsidRDefault="00F94BD8" w:rsidP="0051413A">
      <w:pPr>
        <w:ind w:firstLineChars="0" w:firstLine="0"/>
      </w:pPr>
      <w:r>
        <w:rPr>
          <w:noProof/>
        </w:rPr>
        <w:lastRenderedPageBreak/>
        <w:drawing>
          <wp:inline distT="0" distB="0" distL="0" distR="0" wp14:anchorId="7588CB54" wp14:editId="7E77B697">
            <wp:extent cx="5274310" cy="5711190"/>
            <wp:effectExtent l="0" t="0" r="2540" b="3810"/>
            <wp:docPr id="522569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69571" name=""/>
                    <pic:cNvPicPr/>
                  </pic:nvPicPr>
                  <pic:blipFill>
                    <a:blip r:embed="rId13"/>
                    <a:stretch>
                      <a:fillRect/>
                    </a:stretch>
                  </pic:blipFill>
                  <pic:spPr>
                    <a:xfrm>
                      <a:off x="0" y="0"/>
                      <a:ext cx="5274310" cy="5711190"/>
                    </a:xfrm>
                    <a:prstGeom prst="rect">
                      <a:avLst/>
                    </a:prstGeom>
                  </pic:spPr>
                </pic:pic>
              </a:graphicData>
            </a:graphic>
          </wp:inline>
        </w:drawing>
      </w:r>
    </w:p>
    <w:p w14:paraId="35543607" w14:textId="5FCDB229" w:rsidR="00F94BD8" w:rsidRDefault="00F94BD8" w:rsidP="0051413A">
      <w:pPr>
        <w:ind w:firstLineChars="0" w:firstLine="0"/>
      </w:pPr>
      <w:r>
        <w:rPr>
          <w:noProof/>
        </w:rPr>
        <w:drawing>
          <wp:inline distT="0" distB="0" distL="0" distR="0" wp14:anchorId="7886D4A5" wp14:editId="19364423">
            <wp:extent cx="5274310" cy="2552700"/>
            <wp:effectExtent l="0" t="0" r="2540" b="0"/>
            <wp:docPr id="1407736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36908" name=""/>
                    <pic:cNvPicPr/>
                  </pic:nvPicPr>
                  <pic:blipFill rotWithShape="1">
                    <a:blip r:embed="rId14"/>
                    <a:srcRect b="47723"/>
                    <a:stretch>
                      <a:fillRect/>
                    </a:stretch>
                  </pic:blipFill>
                  <pic:spPr bwMode="auto">
                    <a:xfrm>
                      <a:off x="0" y="0"/>
                      <a:ext cx="5274310" cy="2552700"/>
                    </a:xfrm>
                    <a:prstGeom prst="rect">
                      <a:avLst/>
                    </a:prstGeom>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7138C6ED" wp14:editId="01BBD0EF">
            <wp:extent cx="5274310" cy="2417445"/>
            <wp:effectExtent l="0" t="0" r="2540" b="1905"/>
            <wp:docPr id="1837230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30150" name=""/>
                    <pic:cNvPicPr/>
                  </pic:nvPicPr>
                  <pic:blipFill>
                    <a:blip r:embed="rId15"/>
                    <a:stretch>
                      <a:fillRect/>
                    </a:stretch>
                  </pic:blipFill>
                  <pic:spPr>
                    <a:xfrm>
                      <a:off x="0" y="0"/>
                      <a:ext cx="5274310" cy="2417445"/>
                    </a:xfrm>
                    <a:prstGeom prst="rect">
                      <a:avLst/>
                    </a:prstGeom>
                  </pic:spPr>
                </pic:pic>
              </a:graphicData>
            </a:graphic>
          </wp:inline>
        </w:drawing>
      </w:r>
    </w:p>
    <w:p w14:paraId="09EB94A5" w14:textId="5BCE09A5" w:rsidR="00F94BD8" w:rsidRDefault="00F94BD8" w:rsidP="00F94BD8">
      <w:pPr>
        <w:pStyle w:val="2"/>
        <w:ind w:firstLine="532"/>
      </w:pPr>
      <w:r>
        <w:rPr>
          <w:rFonts w:hint="eastAsia"/>
        </w:rPr>
        <w:t>4.2</w:t>
      </w:r>
      <w:r>
        <w:rPr>
          <w:rFonts w:hint="eastAsia"/>
        </w:rPr>
        <w:t>标签构建结果展示</w:t>
      </w:r>
    </w:p>
    <w:p w14:paraId="0AA9F06E" w14:textId="1B0FB386" w:rsidR="00F94BD8" w:rsidRDefault="00F94BD8" w:rsidP="00F94BD8">
      <w:r>
        <w:rPr>
          <w:rFonts w:hint="eastAsia"/>
        </w:rPr>
        <w:t>以</w:t>
      </w:r>
      <w:r w:rsidRPr="00F94BD8">
        <w:t>华商信用增强债券型证券投资基金（</w:t>
      </w:r>
      <w:r w:rsidRPr="00F94BD8">
        <w:t>001751.OF</w:t>
      </w:r>
      <w:r w:rsidRPr="00F94BD8">
        <w:t>）为例</w:t>
      </w:r>
      <w:r>
        <w:rPr>
          <w:rFonts w:hint="eastAsia"/>
        </w:rPr>
        <w:t>。</w:t>
      </w:r>
      <w:r w:rsidRPr="00F94BD8">
        <w:t>华商信用增强</w:t>
      </w:r>
      <w:r>
        <w:rPr>
          <w:rFonts w:hint="eastAsia"/>
        </w:rPr>
        <w:t>作为二级债基</w:t>
      </w:r>
      <w:r w:rsidR="008C06A9">
        <w:rPr>
          <w:rFonts w:hint="eastAsia"/>
        </w:rPr>
        <w:t>，</w:t>
      </w:r>
      <w:r w:rsidR="008C06A9" w:rsidRPr="008C06A9">
        <w:t>该基金经理属于高波型投资风格，注重风险控制与收益平衡。收益风险方面，高波特征明显，过去一年收益率</w:t>
      </w:r>
      <w:r w:rsidR="008C06A9" w:rsidRPr="008C06A9">
        <w:t>26.53%</w:t>
      </w:r>
      <w:r w:rsidR="008C06A9" w:rsidRPr="008C06A9">
        <w:t>，过去三年收益率</w:t>
      </w:r>
      <w:r w:rsidR="008C06A9" w:rsidRPr="008C06A9">
        <w:t>37.84%</w:t>
      </w:r>
      <w:r w:rsidR="008C06A9" w:rsidRPr="008C06A9">
        <w:t>，最大回撤</w:t>
      </w:r>
      <w:r w:rsidR="008C06A9" w:rsidRPr="008C06A9">
        <w:t>-15.54%</w:t>
      </w:r>
      <w:r w:rsidR="008C06A9" w:rsidRPr="008C06A9">
        <w:t>。风险调整后收益表现性价比良好</w:t>
      </w:r>
      <w:r w:rsidR="008C06A9">
        <w:t>；</w:t>
      </w:r>
      <w:r w:rsidR="008C06A9">
        <w:rPr>
          <w:rFonts w:hint="eastAsia"/>
        </w:rPr>
        <w:t>操作风格方面，以</w:t>
      </w:r>
      <w:r w:rsidR="008C06A9" w:rsidRPr="008C06A9">
        <w:t>左侧布局为主，左侧布局（逆向投资），注重估值安全边际，善于在市场波动中把握配置机会</w:t>
      </w:r>
      <w:r w:rsidR="008C06A9">
        <w:rPr>
          <w:rFonts w:hint="eastAsia"/>
        </w:rPr>
        <w:t>；个人特征方面，</w:t>
      </w:r>
      <w:r w:rsidR="008C06A9" w:rsidRPr="008C06A9">
        <w:t>较弱回撤控制的回撤控制能力，高等级为主（信用中性），权益端偏好平衡风格风格。利率波段操作持有到期为主。</w:t>
      </w:r>
    </w:p>
    <w:p w14:paraId="1B67C8B1" w14:textId="47140DBD" w:rsidR="008C06A9" w:rsidRDefault="008C06A9" w:rsidP="00F94BD8">
      <w:pPr>
        <w:rPr>
          <w:rFonts w:hint="eastAsia"/>
        </w:rPr>
      </w:pPr>
      <w:r>
        <w:rPr>
          <w:rFonts w:hint="eastAsia"/>
        </w:rPr>
        <w:t>以</w:t>
      </w:r>
      <w:r w:rsidRPr="008C06A9">
        <w:t>华夏可转债增强债券型证券投资基金</w:t>
      </w:r>
      <w:r>
        <w:rPr>
          <w:rFonts w:hint="eastAsia"/>
        </w:rPr>
        <w:t>（</w:t>
      </w:r>
      <w:r>
        <w:rPr>
          <w:rFonts w:hint="eastAsia"/>
        </w:rPr>
        <w:t>001045.OF</w:t>
      </w:r>
      <w:r>
        <w:t>）为例。</w:t>
      </w:r>
      <w:r w:rsidRPr="008C06A9">
        <w:t>华夏可转债增强债券型证券投资基金</w:t>
      </w:r>
      <w:r>
        <w:rPr>
          <w:rFonts w:hint="eastAsia"/>
        </w:rPr>
        <w:t>为可转债基金，</w:t>
      </w:r>
      <w:r w:rsidRPr="008C06A9">
        <w:t>该基金经理属于高波型投资风格，注重风险控制与收益平衡。</w:t>
      </w:r>
      <w:r>
        <w:t>收益风险方面，</w:t>
      </w:r>
      <w:r w:rsidRPr="008C06A9">
        <w:t>高波特征明显，过去一年收益率</w:t>
      </w:r>
      <w:r w:rsidRPr="008C06A9">
        <w:t>37.73%</w:t>
      </w:r>
      <w:r w:rsidRPr="008C06A9">
        <w:t>，过去三年收益率</w:t>
      </w:r>
      <w:r w:rsidRPr="008C06A9">
        <w:t>23.56%</w:t>
      </w:r>
      <w:r w:rsidRPr="008C06A9">
        <w:t>，最大回撤</w:t>
      </w:r>
      <w:r w:rsidRPr="008C06A9">
        <w:t>-30.95%</w:t>
      </w:r>
      <w:r w:rsidRPr="008C06A9">
        <w:t>。风险调整后收益表现性价比一般</w:t>
      </w:r>
      <w:r>
        <w:t>；操作风格方面，</w:t>
      </w:r>
      <w:r w:rsidRPr="008C06A9">
        <w:t>均衡配置为主，均衡配置（择时不明显），注重估值安全边际，善于在市场波动中把握配置机会</w:t>
      </w:r>
      <w:r>
        <w:rPr>
          <w:rFonts w:hint="eastAsia"/>
        </w:rPr>
        <w:t>；个性特征方面，</w:t>
      </w:r>
      <w:r w:rsidRPr="008C06A9">
        <w:t>较强回撤控制的回撤控制能力，高等级为主（信用中性），权益端偏好价值风格风格。利率波段操作适度波段操作。</w:t>
      </w:r>
    </w:p>
    <w:p w14:paraId="4A5B2339" w14:textId="51968AA2" w:rsidR="008C06A9" w:rsidRPr="00F94BD8" w:rsidRDefault="008C06A9" w:rsidP="00F94BD8">
      <w:pPr>
        <w:rPr>
          <w:rFonts w:hint="eastAsia"/>
        </w:rPr>
      </w:pPr>
      <w:r w:rsidRPr="008C06A9">
        <w:t>下图展示收益风险标签、操作风格标签和个性特征标签。</w:t>
      </w:r>
    </w:p>
    <w:p w14:paraId="73388BE5" w14:textId="2BFF5C46" w:rsidR="00F94BD8" w:rsidRDefault="00F94BD8" w:rsidP="00F94BD8">
      <w:pPr>
        <w:ind w:firstLineChars="0" w:firstLine="0"/>
      </w:pPr>
      <w:r>
        <w:rPr>
          <w:noProof/>
        </w:rPr>
        <w:lastRenderedPageBreak/>
        <w:drawing>
          <wp:inline distT="0" distB="0" distL="0" distR="0" wp14:anchorId="1DD2E4E3" wp14:editId="1ADCAEEE">
            <wp:extent cx="5274310" cy="4642485"/>
            <wp:effectExtent l="0" t="0" r="2540" b="5715"/>
            <wp:docPr id="304384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84706" name=""/>
                    <pic:cNvPicPr/>
                  </pic:nvPicPr>
                  <pic:blipFill>
                    <a:blip r:embed="rId16"/>
                    <a:stretch>
                      <a:fillRect/>
                    </a:stretch>
                  </pic:blipFill>
                  <pic:spPr>
                    <a:xfrm>
                      <a:off x="0" y="0"/>
                      <a:ext cx="5274310" cy="4642485"/>
                    </a:xfrm>
                    <a:prstGeom prst="rect">
                      <a:avLst/>
                    </a:prstGeom>
                  </pic:spPr>
                </pic:pic>
              </a:graphicData>
            </a:graphic>
          </wp:inline>
        </w:drawing>
      </w:r>
      <w:r w:rsidR="008C06A9">
        <w:rPr>
          <w:noProof/>
        </w:rPr>
        <w:drawing>
          <wp:inline distT="0" distB="0" distL="0" distR="0" wp14:anchorId="7E83B614" wp14:editId="3EEF08C2">
            <wp:extent cx="5274310" cy="1503045"/>
            <wp:effectExtent l="0" t="0" r="2540" b="1905"/>
            <wp:docPr id="793027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27844" name=""/>
                    <pic:cNvPicPr/>
                  </pic:nvPicPr>
                  <pic:blipFill>
                    <a:blip r:embed="rId17"/>
                    <a:stretch>
                      <a:fillRect/>
                    </a:stretch>
                  </pic:blipFill>
                  <pic:spPr>
                    <a:xfrm>
                      <a:off x="0" y="0"/>
                      <a:ext cx="5274310" cy="1503045"/>
                    </a:xfrm>
                    <a:prstGeom prst="rect">
                      <a:avLst/>
                    </a:prstGeom>
                  </pic:spPr>
                </pic:pic>
              </a:graphicData>
            </a:graphic>
          </wp:inline>
        </w:drawing>
      </w:r>
    </w:p>
    <w:p w14:paraId="27988ADB" w14:textId="61454122" w:rsidR="008067BF" w:rsidRDefault="008C06A9" w:rsidP="00F94BD8">
      <w:pPr>
        <w:ind w:firstLineChars="0" w:firstLine="0"/>
      </w:pPr>
      <w:r>
        <w:rPr>
          <w:noProof/>
        </w:rPr>
        <w:lastRenderedPageBreak/>
        <w:drawing>
          <wp:inline distT="0" distB="0" distL="0" distR="0" wp14:anchorId="38E0A18C" wp14:editId="33D43877">
            <wp:extent cx="5274310" cy="4187825"/>
            <wp:effectExtent l="0" t="0" r="2540" b="3175"/>
            <wp:docPr id="32977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7853" name=""/>
                    <pic:cNvPicPr/>
                  </pic:nvPicPr>
                  <pic:blipFill>
                    <a:blip r:embed="rId18"/>
                    <a:stretch>
                      <a:fillRect/>
                    </a:stretch>
                  </pic:blipFill>
                  <pic:spPr>
                    <a:xfrm>
                      <a:off x="0" y="0"/>
                      <a:ext cx="5274310" cy="4187825"/>
                    </a:xfrm>
                    <a:prstGeom prst="rect">
                      <a:avLst/>
                    </a:prstGeom>
                  </pic:spPr>
                </pic:pic>
              </a:graphicData>
            </a:graphic>
          </wp:inline>
        </w:drawing>
      </w:r>
    </w:p>
    <w:p w14:paraId="29D0D318" w14:textId="22D4ACC5" w:rsidR="008C06A9" w:rsidRPr="00F94BD8" w:rsidRDefault="008C06A9" w:rsidP="00F94BD8">
      <w:pPr>
        <w:ind w:firstLineChars="0" w:firstLine="0"/>
        <w:rPr>
          <w:rFonts w:hint="eastAsia"/>
        </w:rPr>
      </w:pPr>
      <w:r>
        <w:rPr>
          <w:noProof/>
        </w:rPr>
        <w:drawing>
          <wp:inline distT="0" distB="0" distL="0" distR="0" wp14:anchorId="53F4D1AA" wp14:editId="68934CFE">
            <wp:extent cx="5274310" cy="1488440"/>
            <wp:effectExtent l="0" t="0" r="2540" b="0"/>
            <wp:docPr id="1454341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41444" name=""/>
                    <pic:cNvPicPr/>
                  </pic:nvPicPr>
                  <pic:blipFill>
                    <a:blip r:embed="rId19"/>
                    <a:stretch>
                      <a:fillRect/>
                    </a:stretch>
                  </pic:blipFill>
                  <pic:spPr>
                    <a:xfrm>
                      <a:off x="0" y="0"/>
                      <a:ext cx="5274310" cy="1488440"/>
                    </a:xfrm>
                    <a:prstGeom prst="rect">
                      <a:avLst/>
                    </a:prstGeom>
                  </pic:spPr>
                </pic:pic>
              </a:graphicData>
            </a:graphic>
          </wp:inline>
        </w:drawing>
      </w:r>
    </w:p>
    <w:sectPr w:rsidR="008C06A9" w:rsidRPr="00F94B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518CA" w14:textId="77777777" w:rsidR="00E72269" w:rsidRDefault="00E72269" w:rsidP="00382487">
      <w:pPr>
        <w:spacing w:line="240" w:lineRule="auto"/>
      </w:pPr>
      <w:r>
        <w:separator/>
      </w:r>
    </w:p>
  </w:endnote>
  <w:endnote w:type="continuationSeparator" w:id="0">
    <w:p w14:paraId="0DFBB7A4" w14:textId="77777777" w:rsidR="00E72269" w:rsidRDefault="00E72269" w:rsidP="003824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9A4EB" w14:textId="77777777" w:rsidR="00E72269" w:rsidRDefault="00E72269" w:rsidP="00382487">
      <w:pPr>
        <w:spacing w:line="240" w:lineRule="auto"/>
      </w:pPr>
      <w:r>
        <w:separator/>
      </w:r>
    </w:p>
  </w:footnote>
  <w:footnote w:type="continuationSeparator" w:id="0">
    <w:p w14:paraId="1D216545" w14:textId="77777777" w:rsidR="00E72269" w:rsidRDefault="00E72269" w:rsidP="00382487">
      <w:pPr>
        <w:spacing w:line="240" w:lineRule="auto"/>
      </w:pPr>
      <w:r>
        <w:continuationSeparator/>
      </w:r>
    </w:p>
  </w:footnote>
  <w:footnote w:id="1">
    <w:p w14:paraId="62A58314" w14:textId="77777777" w:rsidR="0081127B" w:rsidRDefault="0081127B" w:rsidP="0081127B">
      <w:pPr>
        <w:pStyle w:val="af2"/>
        <w:ind w:firstLine="340"/>
      </w:pPr>
      <w:r>
        <w:rPr>
          <w:rStyle w:val="af4"/>
        </w:rPr>
        <w:footnoteRef/>
      </w:r>
      <w:r>
        <w:t xml:space="preserve"> </w:t>
      </w:r>
      <w:r>
        <w:rPr>
          <w:rFonts w:hint="eastAsia"/>
        </w:rPr>
        <w:t>由于数据的局限，本文的基金报告手动从</w:t>
      </w:r>
      <w:r w:rsidRPr="00382487">
        <w:rPr>
          <w:rFonts w:hint="eastAsia"/>
        </w:rPr>
        <w:t>中国证监会基金信息披露网站</w:t>
      </w:r>
      <w:r w:rsidRPr="00382487">
        <w:rPr>
          <w:rFonts w:hint="eastAsia"/>
        </w:rPr>
        <w:t>(</w:t>
      </w:r>
      <w:hyperlink r:id="rId1" w:history="1">
        <w:r w:rsidRPr="00296F00">
          <w:rPr>
            <w:rStyle w:val="af5"/>
            <w:rFonts w:hint="eastAsia"/>
          </w:rPr>
          <w:t>http://eid.cs</w:t>
        </w:r>
        <w:r w:rsidRPr="00296F00">
          <w:rPr>
            <w:rStyle w:val="af5"/>
            <w:rFonts w:hint="eastAsia"/>
          </w:rPr>
          <w:t>r</w:t>
        </w:r>
        <w:r w:rsidRPr="00296F00">
          <w:rPr>
            <w:rStyle w:val="af5"/>
            <w:rFonts w:hint="eastAsia"/>
          </w:rPr>
          <w:t>c.gov.cn</w:t>
        </w:r>
      </w:hyperlink>
      <w:r w:rsidRPr="00382487">
        <w:rPr>
          <w:rFonts w:hint="eastAsia"/>
        </w:rPr>
        <w:t>)</w:t>
      </w:r>
      <w:r>
        <w:rPr>
          <w:rFonts w:hint="eastAsia"/>
        </w:rPr>
        <w:t>下载，因此采取部分基金作为测试，并不全部覆盖。</w:t>
      </w:r>
    </w:p>
  </w:footnote>
  <w:footnote w:id="2">
    <w:p w14:paraId="0DC0E232" w14:textId="4E6ED309" w:rsidR="00FD644C" w:rsidRDefault="00FD644C">
      <w:pPr>
        <w:pStyle w:val="af2"/>
        <w:ind w:firstLine="340"/>
      </w:pPr>
      <w:r>
        <w:rPr>
          <w:rStyle w:val="af4"/>
        </w:rPr>
        <w:footnoteRef/>
      </w:r>
      <w:r>
        <w:t xml:space="preserve"> </w:t>
      </w:r>
      <w:r>
        <w:rPr>
          <w:rFonts w:hint="eastAsia"/>
        </w:rPr>
        <w:t>不同类型报告结构有部分差异，根据</w:t>
      </w:r>
      <w:r>
        <w:rPr>
          <w:rFonts w:hint="eastAsia"/>
        </w:rPr>
        <w:t>36</w:t>
      </w:r>
      <w:r>
        <w:rPr>
          <w:rFonts w:hint="eastAsia"/>
        </w:rPr>
        <w:t>个报告进行测试，提取准确率达到</w:t>
      </w:r>
      <w:r>
        <w:rPr>
          <w:rFonts w:hint="eastAsia"/>
        </w:rPr>
        <w:t>80%</w:t>
      </w:r>
      <w:r>
        <w:rPr>
          <w:rFonts w:hint="eastAsia"/>
        </w:rPr>
        <w:t>以上，其中季报准确率最高，中期报告准确率稍次。</w:t>
      </w:r>
      <w:r w:rsidRPr="00FD644C">
        <w:rPr>
          <w:rFonts w:hint="eastAsia"/>
        </w:rPr>
        <w:t>投资策略</w:t>
      </w:r>
      <w:r>
        <w:rPr>
          <w:rFonts w:hint="eastAsia"/>
        </w:rPr>
        <w:t>、</w:t>
      </w:r>
      <w:r w:rsidRPr="00FD644C">
        <w:rPr>
          <w:rFonts w:hint="eastAsia"/>
        </w:rPr>
        <w:t>运作分析</w:t>
      </w:r>
      <w:r>
        <w:rPr>
          <w:rFonts w:hint="eastAsia"/>
        </w:rPr>
        <w:t>和宏观观点部分的提取准确率达到近</w:t>
      </w:r>
      <w:r>
        <w:rPr>
          <w:rFonts w:hint="eastAsia"/>
        </w:rPr>
        <w:t>100%</w:t>
      </w:r>
      <w:r>
        <w:rPr>
          <w:rFonts w:hint="eastAsia"/>
        </w:rPr>
        <w:t>。</w:t>
      </w:r>
    </w:p>
  </w:footnote>
  <w:footnote w:id="3">
    <w:p w14:paraId="3A3F677F" w14:textId="5C9DA694" w:rsidR="009E33ED" w:rsidRDefault="009E33ED">
      <w:pPr>
        <w:pStyle w:val="af2"/>
        <w:ind w:firstLine="340"/>
      </w:pPr>
      <w:r>
        <w:rPr>
          <w:rStyle w:val="af4"/>
        </w:rPr>
        <w:footnoteRef/>
      </w:r>
      <w:r>
        <w:t xml:space="preserve"> </w:t>
      </w:r>
      <w:r w:rsidRPr="009E33ED">
        <w:t>temperature </w:t>
      </w:r>
      <w:r w:rsidRPr="009E33ED">
        <w:t>是控制大语言模型输出随机性的超参数，取值范围通常为</w:t>
      </w:r>
      <w:r w:rsidRPr="009E33ED">
        <w:t xml:space="preserve"> 0 </w:t>
      </w:r>
      <w:r w:rsidRPr="009E33ED">
        <w:t>到</w:t>
      </w:r>
      <w:r w:rsidRPr="009E33ED">
        <w:t xml:space="preserve"> 2</w:t>
      </w:r>
      <w:r w:rsidRPr="009E33ED">
        <w:t>。值越低，模型在生成文本时越倾向于选择概率最高的词元，输出结果更加确定、保守且可复现；值越高，则随机性增强，输出更具多样性但可能偏离事实。</w:t>
      </w:r>
    </w:p>
  </w:footnote>
  <w:footnote w:id="4">
    <w:p w14:paraId="129510B1" w14:textId="4AFAA0B6" w:rsidR="004B76A8" w:rsidRDefault="004B76A8">
      <w:pPr>
        <w:pStyle w:val="af2"/>
        <w:ind w:firstLine="340"/>
      </w:pPr>
      <w:r>
        <w:rPr>
          <w:rStyle w:val="af4"/>
        </w:rPr>
        <w:footnoteRef/>
      </w:r>
      <w:r>
        <w:t xml:space="preserve"> </w:t>
      </w:r>
      <w:r>
        <w:rPr>
          <w:rFonts w:hint="eastAsia"/>
        </w:rPr>
        <w:t>为保证数据准确，采用</w:t>
      </w:r>
      <w:r w:rsidR="0078701F">
        <w:rPr>
          <w:rFonts w:hint="eastAsia"/>
        </w:rPr>
        <w:t>ifind</w:t>
      </w:r>
      <w:r>
        <w:rPr>
          <w:rFonts w:hint="eastAsia"/>
        </w:rPr>
        <w:t>下载各个基金的近三年净值数据进行计算。</w:t>
      </w:r>
    </w:p>
  </w:footnote>
  <w:footnote w:id="5">
    <w:p w14:paraId="54056DB3" w14:textId="08E813B7" w:rsidR="0078701F" w:rsidRDefault="0078701F">
      <w:pPr>
        <w:pStyle w:val="af2"/>
        <w:ind w:firstLine="340"/>
      </w:pPr>
      <w:r>
        <w:rPr>
          <w:rStyle w:val="af4"/>
        </w:rPr>
        <w:footnoteRef/>
      </w:r>
      <w:r>
        <w:t xml:space="preserve"> </w:t>
      </w:r>
      <w:r>
        <w:rPr>
          <w:rFonts w:hint="eastAsia"/>
        </w:rPr>
        <w:t>建议使用</w:t>
      </w:r>
      <w:r>
        <w:rPr>
          <w:rFonts w:hint="eastAsia"/>
        </w:rPr>
        <w:t>wind</w:t>
      </w:r>
      <w:r>
        <w:rPr>
          <w:rFonts w:hint="eastAsia"/>
        </w:rPr>
        <w:t>全</w:t>
      </w:r>
      <w:r>
        <w:rPr>
          <w:rFonts w:hint="eastAsia"/>
        </w:rPr>
        <w:t>A</w:t>
      </w:r>
      <w:r>
        <w:rPr>
          <w:rFonts w:hint="eastAsia"/>
        </w:rPr>
        <w:t>指数，由于数据的局限性，本文使用上证指数作为例子进行测试。</w:t>
      </w:r>
    </w:p>
  </w:footnote>
  <w:footnote w:id="6">
    <w:p w14:paraId="3B870093" w14:textId="1664CE05" w:rsidR="00D87697" w:rsidRDefault="00D87697">
      <w:pPr>
        <w:pStyle w:val="af2"/>
        <w:ind w:firstLine="340"/>
        <w:rPr>
          <w:rFonts w:hint="eastAsia"/>
        </w:rPr>
      </w:pPr>
      <w:r>
        <w:rPr>
          <w:rStyle w:val="af4"/>
        </w:rPr>
        <w:footnoteRef/>
      </w:r>
      <w:r>
        <w:t xml:space="preserve"> </w:t>
      </w:r>
      <w:r w:rsidRPr="00D87697">
        <w:rPr>
          <w:b/>
          <w:bCs/>
        </w:rPr>
        <w:t>无权益持仓判定规则</w:t>
      </w:r>
      <w:r w:rsidRPr="00D87697">
        <w:t>：若系统监测到该基金的直接股票持仓比例小于</w:t>
      </w:r>
      <w:r w:rsidRPr="00D87697">
        <w:t xml:space="preserve"> 1%</w:t>
      </w:r>
      <w:r w:rsidRPr="00D87697">
        <w:t>，且可转债持仓比例小于</w:t>
      </w:r>
      <w:r w:rsidRPr="00D87697">
        <w:t xml:space="preserve"> 10%</w:t>
      </w:r>
      <w:r w:rsidRPr="00D87697">
        <w:t>，则认为其缺乏广义上的权益风险暴露，此时权益风格失去分析意义，直接打标为</w:t>
      </w:r>
      <w:r w:rsidRPr="00D87697">
        <w:t>“</w:t>
      </w:r>
      <w:r w:rsidRPr="00D87697">
        <w:t>无权益持仓</w:t>
      </w:r>
      <w:r w:rsidRPr="00D87697">
        <w:t>”</w:t>
      </w:r>
      <w:r w:rsidRPr="00D87697">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8641A"/>
    <w:multiLevelType w:val="hybridMultilevel"/>
    <w:tmpl w:val="96A26FC0"/>
    <w:lvl w:ilvl="0" w:tplc="411898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5732214"/>
    <w:multiLevelType w:val="multilevel"/>
    <w:tmpl w:val="0F5A4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D15C47"/>
    <w:multiLevelType w:val="multilevel"/>
    <w:tmpl w:val="A4CA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DC6B3F"/>
    <w:multiLevelType w:val="multilevel"/>
    <w:tmpl w:val="5718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D602E4"/>
    <w:multiLevelType w:val="hybridMultilevel"/>
    <w:tmpl w:val="32EAA19E"/>
    <w:lvl w:ilvl="0" w:tplc="FE8A91F0">
      <w:start w:val="1"/>
      <w:numFmt w:val="decimal"/>
      <w:lvlText w:val="%1."/>
      <w:lvlJc w:val="left"/>
      <w:pPr>
        <w:ind w:left="924" w:hanging="360"/>
      </w:pPr>
      <w:rPr>
        <w:rFonts w:hint="default"/>
      </w:rPr>
    </w:lvl>
    <w:lvl w:ilvl="1" w:tplc="04090019" w:tentative="1">
      <w:start w:val="1"/>
      <w:numFmt w:val="lowerLetter"/>
      <w:lvlText w:val="%2)"/>
      <w:lvlJc w:val="left"/>
      <w:pPr>
        <w:ind w:left="1444" w:hanging="440"/>
      </w:pPr>
    </w:lvl>
    <w:lvl w:ilvl="2" w:tplc="0409001B" w:tentative="1">
      <w:start w:val="1"/>
      <w:numFmt w:val="lowerRoman"/>
      <w:lvlText w:val="%3."/>
      <w:lvlJc w:val="right"/>
      <w:pPr>
        <w:ind w:left="1884" w:hanging="440"/>
      </w:pPr>
    </w:lvl>
    <w:lvl w:ilvl="3" w:tplc="0409000F" w:tentative="1">
      <w:start w:val="1"/>
      <w:numFmt w:val="decimal"/>
      <w:lvlText w:val="%4."/>
      <w:lvlJc w:val="left"/>
      <w:pPr>
        <w:ind w:left="2324" w:hanging="440"/>
      </w:pPr>
    </w:lvl>
    <w:lvl w:ilvl="4" w:tplc="04090019" w:tentative="1">
      <w:start w:val="1"/>
      <w:numFmt w:val="lowerLetter"/>
      <w:lvlText w:val="%5)"/>
      <w:lvlJc w:val="left"/>
      <w:pPr>
        <w:ind w:left="2764" w:hanging="440"/>
      </w:pPr>
    </w:lvl>
    <w:lvl w:ilvl="5" w:tplc="0409001B" w:tentative="1">
      <w:start w:val="1"/>
      <w:numFmt w:val="lowerRoman"/>
      <w:lvlText w:val="%6."/>
      <w:lvlJc w:val="right"/>
      <w:pPr>
        <w:ind w:left="3204" w:hanging="440"/>
      </w:pPr>
    </w:lvl>
    <w:lvl w:ilvl="6" w:tplc="0409000F" w:tentative="1">
      <w:start w:val="1"/>
      <w:numFmt w:val="decimal"/>
      <w:lvlText w:val="%7."/>
      <w:lvlJc w:val="left"/>
      <w:pPr>
        <w:ind w:left="3644" w:hanging="440"/>
      </w:pPr>
    </w:lvl>
    <w:lvl w:ilvl="7" w:tplc="04090019" w:tentative="1">
      <w:start w:val="1"/>
      <w:numFmt w:val="lowerLetter"/>
      <w:lvlText w:val="%8)"/>
      <w:lvlJc w:val="left"/>
      <w:pPr>
        <w:ind w:left="4084" w:hanging="440"/>
      </w:pPr>
    </w:lvl>
    <w:lvl w:ilvl="8" w:tplc="0409001B" w:tentative="1">
      <w:start w:val="1"/>
      <w:numFmt w:val="lowerRoman"/>
      <w:lvlText w:val="%9."/>
      <w:lvlJc w:val="right"/>
      <w:pPr>
        <w:ind w:left="4524" w:hanging="440"/>
      </w:pPr>
    </w:lvl>
  </w:abstractNum>
  <w:num w:numId="1" w16cid:durableId="2016806438">
    <w:abstractNumId w:val="4"/>
  </w:num>
  <w:num w:numId="2" w16cid:durableId="487599387">
    <w:abstractNumId w:val="0"/>
  </w:num>
  <w:num w:numId="3" w16cid:durableId="322852234">
    <w:abstractNumId w:val="2"/>
  </w:num>
  <w:num w:numId="4" w16cid:durableId="644317101">
    <w:abstractNumId w:val="1"/>
  </w:num>
  <w:num w:numId="5" w16cid:durableId="5620578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740"/>
    <w:rsid w:val="00004D9A"/>
    <w:rsid w:val="00065323"/>
    <w:rsid w:val="000667C4"/>
    <w:rsid w:val="00072464"/>
    <w:rsid w:val="000A13DB"/>
    <w:rsid w:val="000F7151"/>
    <w:rsid w:val="00120A87"/>
    <w:rsid w:val="0012360D"/>
    <w:rsid w:val="00124867"/>
    <w:rsid w:val="00126C8B"/>
    <w:rsid w:val="00164497"/>
    <w:rsid w:val="001766D5"/>
    <w:rsid w:val="001A3740"/>
    <w:rsid w:val="001D2D10"/>
    <w:rsid w:val="001F433D"/>
    <w:rsid w:val="00217244"/>
    <w:rsid w:val="00232987"/>
    <w:rsid w:val="00246E63"/>
    <w:rsid w:val="002548A6"/>
    <w:rsid w:val="00280FC5"/>
    <w:rsid w:val="00286806"/>
    <w:rsid w:val="00292190"/>
    <w:rsid w:val="002B1D14"/>
    <w:rsid w:val="002D0694"/>
    <w:rsid w:val="002D3D8D"/>
    <w:rsid w:val="002E2C1D"/>
    <w:rsid w:val="0030783F"/>
    <w:rsid w:val="003108B3"/>
    <w:rsid w:val="00382487"/>
    <w:rsid w:val="003875A2"/>
    <w:rsid w:val="00387692"/>
    <w:rsid w:val="003F4B29"/>
    <w:rsid w:val="00406C9A"/>
    <w:rsid w:val="00497C45"/>
    <w:rsid w:val="004B76A8"/>
    <w:rsid w:val="004E7A46"/>
    <w:rsid w:val="004F79C5"/>
    <w:rsid w:val="0051413A"/>
    <w:rsid w:val="00544A76"/>
    <w:rsid w:val="005A68AE"/>
    <w:rsid w:val="005B5623"/>
    <w:rsid w:val="00605360"/>
    <w:rsid w:val="00617474"/>
    <w:rsid w:val="006209B4"/>
    <w:rsid w:val="00660716"/>
    <w:rsid w:val="006652CA"/>
    <w:rsid w:val="00681689"/>
    <w:rsid w:val="00687AB5"/>
    <w:rsid w:val="006A5717"/>
    <w:rsid w:val="007219BA"/>
    <w:rsid w:val="00731F7F"/>
    <w:rsid w:val="00736653"/>
    <w:rsid w:val="00786E5E"/>
    <w:rsid w:val="0078701F"/>
    <w:rsid w:val="007A4D4A"/>
    <w:rsid w:val="007B43AF"/>
    <w:rsid w:val="007C419F"/>
    <w:rsid w:val="008067BF"/>
    <w:rsid w:val="0081127B"/>
    <w:rsid w:val="008379C2"/>
    <w:rsid w:val="00845947"/>
    <w:rsid w:val="008A3338"/>
    <w:rsid w:val="008A4B01"/>
    <w:rsid w:val="008C06A9"/>
    <w:rsid w:val="008F147D"/>
    <w:rsid w:val="00971DC9"/>
    <w:rsid w:val="009A0794"/>
    <w:rsid w:val="009C78D5"/>
    <w:rsid w:val="009D1B2F"/>
    <w:rsid w:val="009E33ED"/>
    <w:rsid w:val="00A24548"/>
    <w:rsid w:val="00A2731D"/>
    <w:rsid w:val="00A3142C"/>
    <w:rsid w:val="00A408B7"/>
    <w:rsid w:val="00A7056C"/>
    <w:rsid w:val="00A734E9"/>
    <w:rsid w:val="00AB29DB"/>
    <w:rsid w:val="00B4703C"/>
    <w:rsid w:val="00B90BA3"/>
    <w:rsid w:val="00B93CF0"/>
    <w:rsid w:val="00B94D78"/>
    <w:rsid w:val="00B9658E"/>
    <w:rsid w:val="00BB29DA"/>
    <w:rsid w:val="00BC66C3"/>
    <w:rsid w:val="00BD5E06"/>
    <w:rsid w:val="00BE037B"/>
    <w:rsid w:val="00BF641F"/>
    <w:rsid w:val="00CA4C68"/>
    <w:rsid w:val="00CB3322"/>
    <w:rsid w:val="00CB3C57"/>
    <w:rsid w:val="00D27D58"/>
    <w:rsid w:val="00D50989"/>
    <w:rsid w:val="00D622DD"/>
    <w:rsid w:val="00D647CC"/>
    <w:rsid w:val="00D7305B"/>
    <w:rsid w:val="00D87697"/>
    <w:rsid w:val="00DB6B33"/>
    <w:rsid w:val="00DB7EB1"/>
    <w:rsid w:val="00DC56AE"/>
    <w:rsid w:val="00E32368"/>
    <w:rsid w:val="00E54DAE"/>
    <w:rsid w:val="00E72269"/>
    <w:rsid w:val="00E75B1C"/>
    <w:rsid w:val="00E810C2"/>
    <w:rsid w:val="00E85A73"/>
    <w:rsid w:val="00E95EC4"/>
    <w:rsid w:val="00F11AD2"/>
    <w:rsid w:val="00F24397"/>
    <w:rsid w:val="00F63B7B"/>
    <w:rsid w:val="00F94BD8"/>
    <w:rsid w:val="00FA7931"/>
    <w:rsid w:val="00FC5AE6"/>
    <w:rsid w:val="00FC6432"/>
    <w:rsid w:val="00FD64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079A2"/>
  <w15:chartTrackingRefBased/>
  <w15:docId w15:val="{50BF15D8-376E-4260-B1C3-13428624C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48A6"/>
    <w:pPr>
      <w:widowControl w:val="0"/>
      <w:spacing w:after="0" w:line="300" w:lineRule="auto"/>
      <w:ind w:firstLineChars="200" w:firstLine="454"/>
      <w:jc w:val="both"/>
    </w:pPr>
    <w:rPr>
      <w:rFonts w:ascii="Times New Roman" w:eastAsia="仿宋" w:hAnsi="Times New Roman"/>
      <w:w w:val="95"/>
      <w:sz w:val="24"/>
      <w:szCs w:val="22"/>
    </w:rPr>
  </w:style>
  <w:style w:type="paragraph" w:styleId="1">
    <w:name w:val="heading 1"/>
    <w:basedOn w:val="a"/>
    <w:next w:val="a"/>
    <w:link w:val="10"/>
    <w:uiPriority w:val="9"/>
    <w:qFormat/>
    <w:rsid w:val="000667C4"/>
    <w:pPr>
      <w:ind w:firstLineChars="0" w:firstLine="0"/>
      <w:jc w:val="left"/>
      <w:outlineLvl w:val="0"/>
    </w:pPr>
    <w:rPr>
      <w:b/>
      <w:bCs/>
      <w:sz w:val="32"/>
      <w:szCs w:val="28"/>
    </w:rPr>
  </w:style>
  <w:style w:type="paragraph" w:styleId="2">
    <w:name w:val="heading 2"/>
    <w:basedOn w:val="a"/>
    <w:next w:val="a"/>
    <w:link w:val="20"/>
    <w:uiPriority w:val="9"/>
    <w:unhideWhenUsed/>
    <w:qFormat/>
    <w:rsid w:val="00E32368"/>
    <w:pPr>
      <w:outlineLvl w:val="1"/>
    </w:pPr>
    <w:rPr>
      <w:b/>
      <w:bCs/>
      <w:sz w:val="28"/>
    </w:rPr>
  </w:style>
  <w:style w:type="paragraph" w:styleId="3">
    <w:name w:val="heading 3"/>
    <w:basedOn w:val="a"/>
    <w:next w:val="a"/>
    <w:link w:val="30"/>
    <w:uiPriority w:val="9"/>
    <w:semiHidden/>
    <w:unhideWhenUsed/>
    <w:qFormat/>
    <w:rsid w:val="002548A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A374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A3740"/>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1A374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A374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A374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A374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0667C4"/>
    <w:rPr>
      <w:rFonts w:ascii="Times New Roman" w:eastAsia="仿宋" w:hAnsi="Times New Roman"/>
      <w:b/>
      <w:bCs/>
      <w:w w:val="95"/>
      <w:sz w:val="32"/>
      <w:szCs w:val="28"/>
    </w:rPr>
  </w:style>
  <w:style w:type="character" w:customStyle="1" w:styleId="20">
    <w:name w:val="标题 2 字符"/>
    <w:basedOn w:val="a0"/>
    <w:link w:val="2"/>
    <w:uiPriority w:val="9"/>
    <w:qFormat/>
    <w:rsid w:val="00E32368"/>
    <w:rPr>
      <w:rFonts w:ascii="Times New Roman" w:eastAsia="仿宋" w:hAnsi="Times New Roman"/>
      <w:b/>
      <w:bCs/>
      <w:w w:val="95"/>
      <w:sz w:val="28"/>
      <w:szCs w:val="22"/>
    </w:rPr>
  </w:style>
  <w:style w:type="character" w:customStyle="1" w:styleId="30">
    <w:name w:val="标题 3 字符"/>
    <w:basedOn w:val="a0"/>
    <w:link w:val="3"/>
    <w:uiPriority w:val="9"/>
    <w:semiHidden/>
    <w:rsid w:val="002548A6"/>
    <w:rPr>
      <w:rFonts w:asciiTheme="majorHAnsi" w:eastAsiaTheme="majorEastAsia" w:hAnsiTheme="majorHAnsi" w:cstheme="majorBidi"/>
      <w:color w:val="2F5496" w:themeColor="accent1" w:themeShade="BF"/>
      <w:w w:val="95"/>
      <w:sz w:val="32"/>
      <w:szCs w:val="32"/>
    </w:rPr>
  </w:style>
  <w:style w:type="character" w:customStyle="1" w:styleId="40">
    <w:name w:val="标题 4 字符"/>
    <w:basedOn w:val="a0"/>
    <w:link w:val="4"/>
    <w:uiPriority w:val="9"/>
    <w:semiHidden/>
    <w:rsid w:val="001A3740"/>
    <w:rPr>
      <w:rFonts w:cstheme="majorBidi"/>
      <w:color w:val="2F5496" w:themeColor="accent1" w:themeShade="BF"/>
      <w:sz w:val="28"/>
      <w:szCs w:val="28"/>
    </w:rPr>
  </w:style>
  <w:style w:type="character" w:customStyle="1" w:styleId="50">
    <w:name w:val="标题 5 字符"/>
    <w:basedOn w:val="a0"/>
    <w:link w:val="5"/>
    <w:uiPriority w:val="9"/>
    <w:semiHidden/>
    <w:rsid w:val="001A3740"/>
    <w:rPr>
      <w:rFonts w:cstheme="majorBidi"/>
      <w:color w:val="2F5496" w:themeColor="accent1" w:themeShade="BF"/>
      <w:sz w:val="24"/>
    </w:rPr>
  </w:style>
  <w:style w:type="character" w:customStyle="1" w:styleId="60">
    <w:name w:val="标题 6 字符"/>
    <w:basedOn w:val="a0"/>
    <w:link w:val="6"/>
    <w:uiPriority w:val="9"/>
    <w:semiHidden/>
    <w:rsid w:val="001A3740"/>
    <w:rPr>
      <w:rFonts w:cstheme="majorBidi"/>
      <w:b/>
      <w:bCs/>
      <w:color w:val="2F5496" w:themeColor="accent1" w:themeShade="BF"/>
    </w:rPr>
  </w:style>
  <w:style w:type="character" w:customStyle="1" w:styleId="70">
    <w:name w:val="标题 7 字符"/>
    <w:basedOn w:val="a0"/>
    <w:link w:val="7"/>
    <w:uiPriority w:val="9"/>
    <w:semiHidden/>
    <w:rsid w:val="001A3740"/>
    <w:rPr>
      <w:rFonts w:cstheme="majorBidi"/>
      <w:b/>
      <w:bCs/>
      <w:color w:val="595959" w:themeColor="text1" w:themeTint="A6"/>
    </w:rPr>
  </w:style>
  <w:style w:type="character" w:customStyle="1" w:styleId="80">
    <w:name w:val="标题 8 字符"/>
    <w:basedOn w:val="a0"/>
    <w:link w:val="8"/>
    <w:uiPriority w:val="9"/>
    <w:semiHidden/>
    <w:rsid w:val="001A3740"/>
    <w:rPr>
      <w:rFonts w:cstheme="majorBidi"/>
      <w:color w:val="595959" w:themeColor="text1" w:themeTint="A6"/>
    </w:rPr>
  </w:style>
  <w:style w:type="character" w:customStyle="1" w:styleId="90">
    <w:name w:val="标题 9 字符"/>
    <w:basedOn w:val="a0"/>
    <w:link w:val="9"/>
    <w:uiPriority w:val="9"/>
    <w:semiHidden/>
    <w:rsid w:val="001A3740"/>
    <w:rPr>
      <w:rFonts w:eastAsiaTheme="majorEastAsia" w:cstheme="majorBidi"/>
      <w:color w:val="595959" w:themeColor="text1" w:themeTint="A6"/>
    </w:rPr>
  </w:style>
  <w:style w:type="paragraph" w:styleId="a3">
    <w:name w:val="Title"/>
    <w:basedOn w:val="a"/>
    <w:next w:val="a"/>
    <w:link w:val="a4"/>
    <w:uiPriority w:val="10"/>
    <w:qFormat/>
    <w:rsid w:val="001A374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A37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3740"/>
    <w:pPr>
      <w:numPr>
        <w:ilvl w:val="1"/>
      </w:numPr>
      <w:ind w:firstLineChars="200" w:firstLine="454"/>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A37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A3740"/>
    <w:pPr>
      <w:spacing w:before="160"/>
      <w:jc w:val="center"/>
    </w:pPr>
    <w:rPr>
      <w:i/>
      <w:iCs/>
      <w:color w:val="404040" w:themeColor="text1" w:themeTint="BF"/>
    </w:rPr>
  </w:style>
  <w:style w:type="character" w:customStyle="1" w:styleId="a8">
    <w:name w:val="引用 字符"/>
    <w:basedOn w:val="a0"/>
    <w:link w:val="a7"/>
    <w:uiPriority w:val="29"/>
    <w:rsid w:val="001A3740"/>
    <w:rPr>
      <w:i/>
      <w:iCs/>
      <w:color w:val="404040" w:themeColor="text1" w:themeTint="BF"/>
    </w:rPr>
  </w:style>
  <w:style w:type="paragraph" w:styleId="a9">
    <w:name w:val="List Paragraph"/>
    <w:basedOn w:val="a"/>
    <w:uiPriority w:val="34"/>
    <w:qFormat/>
    <w:rsid w:val="001A3740"/>
    <w:pPr>
      <w:ind w:left="720"/>
      <w:contextualSpacing/>
    </w:pPr>
  </w:style>
  <w:style w:type="character" w:styleId="aa">
    <w:name w:val="Intense Emphasis"/>
    <w:basedOn w:val="a0"/>
    <w:uiPriority w:val="21"/>
    <w:qFormat/>
    <w:rsid w:val="001A3740"/>
    <w:rPr>
      <w:i/>
      <w:iCs/>
      <w:color w:val="2F5496" w:themeColor="accent1" w:themeShade="BF"/>
    </w:rPr>
  </w:style>
  <w:style w:type="paragraph" w:styleId="ab">
    <w:name w:val="Intense Quote"/>
    <w:basedOn w:val="a"/>
    <w:next w:val="a"/>
    <w:link w:val="ac"/>
    <w:uiPriority w:val="30"/>
    <w:qFormat/>
    <w:rsid w:val="001A37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A3740"/>
    <w:rPr>
      <w:i/>
      <w:iCs/>
      <w:color w:val="2F5496" w:themeColor="accent1" w:themeShade="BF"/>
    </w:rPr>
  </w:style>
  <w:style w:type="character" w:styleId="ad">
    <w:name w:val="Intense Reference"/>
    <w:basedOn w:val="a0"/>
    <w:uiPriority w:val="32"/>
    <w:qFormat/>
    <w:rsid w:val="001A3740"/>
    <w:rPr>
      <w:b/>
      <w:bCs/>
      <w:smallCaps/>
      <w:color w:val="2F5496" w:themeColor="accent1" w:themeShade="BF"/>
      <w:spacing w:val="5"/>
    </w:rPr>
  </w:style>
  <w:style w:type="paragraph" w:customStyle="1" w:styleId="ae">
    <w:name w:val="数据来源"/>
    <w:basedOn w:val="a"/>
    <w:link w:val="af"/>
    <w:qFormat/>
    <w:rsid w:val="002548A6"/>
    <w:pPr>
      <w:spacing w:after="320"/>
    </w:pPr>
    <w:rPr>
      <w:b/>
      <w:sz w:val="20"/>
    </w:rPr>
  </w:style>
  <w:style w:type="character" w:customStyle="1" w:styleId="af">
    <w:name w:val="数据来源 字符"/>
    <w:basedOn w:val="a0"/>
    <w:link w:val="ae"/>
    <w:rsid w:val="002548A6"/>
    <w:rPr>
      <w:rFonts w:ascii="Times New Roman" w:eastAsia="仿宋" w:hAnsi="Times New Roman"/>
      <w:b/>
      <w:w w:val="95"/>
      <w:sz w:val="20"/>
      <w:szCs w:val="22"/>
    </w:rPr>
  </w:style>
  <w:style w:type="paragraph" w:customStyle="1" w:styleId="af0">
    <w:name w:val="图表名称"/>
    <w:basedOn w:val="a"/>
    <w:link w:val="af1"/>
    <w:qFormat/>
    <w:rsid w:val="002548A6"/>
    <w:pPr>
      <w:jc w:val="center"/>
    </w:pPr>
    <w:rPr>
      <w:b/>
      <w:bCs/>
    </w:rPr>
  </w:style>
  <w:style w:type="character" w:customStyle="1" w:styleId="af1">
    <w:name w:val="图表名称 字符"/>
    <w:basedOn w:val="a0"/>
    <w:link w:val="af0"/>
    <w:rsid w:val="002548A6"/>
    <w:rPr>
      <w:rFonts w:ascii="Times New Roman" w:eastAsia="仿宋" w:hAnsi="Times New Roman"/>
      <w:b/>
      <w:bCs/>
      <w:w w:val="95"/>
      <w:sz w:val="24"/>
      <w:szCs w:val="22"/>
    </w:rPr>
  </w:style>
  <w:style w:type="paragraph" w:styleId="af2">
    <w:name w:val="footnote text"/>
    <w:basedOn w:val="a"/>
    <w:link w:val="af3"/>
    <w:uiPriority w:val="99"/>
    <w:semiHidden/>
    <w:unhideWhenUsed/>
    <w:rsid w:val="00382487"/>
    <w:pPr>
      <w:snapToGrid w:val="0"/>
      <w:jc w:val="left"/>
    </w:pPr>
    <w:rPr>
      <w:sz w:val="18"/>
      <w:szCs w:val="18"/>
    </w:rPr>
  </w:style>
  <w:style w:type="character" w:customStyle="1" w:styleId="af3">
    <w:name w:val="脚注文本 字符"/>
    <w:basedOn w:val="a0"/>
    <w:link w:val="af2"/>
    <w:uiPriority w:val="99"/>
    <w:semiHidden/>
    <w:rsid w:val="00382487"/>
    <w:rPr>
      <w:rFonts w:ascii="Times New Roman" w:eastAsia="仿宋" w:hAnsi="Times New Roman"/>
      <w:w w:val="95"/>
      <w:sz w:val="18"/>
      <w:szCs w:val="18"/>
    </w:rPr>
  </w:style>
  <w:style w:type="character" w:styleId="af4">
    <w:name w:val="footnote reference"/>
    <w:basedOn w:val="a0"/>
    <w:uiPriority w:val="99"/>
    <w:semiHidden/>
    <w:unhideWhenUsed/>
    <w:rsid w:val="00382487"/>
    <w:rPr>
      <w:vertAlign w:val="superscript"/>
    </w:rPr>
  </w:style>
  <w:style w:type="character" w:styleId="af5">
    <w:name w:val="Hyperlink"/>
    <w:basedOn w:val="a0"/>
    <w:uiPriority w:val="99"/>
    <w:unhideWhenUsed/>
    <w:rsid w:val="00382487"/>
    <w:rPr>
      <w:color w:val="0563C1" w:themeColor="hyperlink"/>
      <w:u w:val="single"/>
    </w:rPr>
  </w:style>
  <w:style w:type="character" w:styleId="af6">
    <w:name w:val="Unresolved Mention"/>
    <w:basedOn w:val="a0"/>
    <w:uiPriority w:val="99"/>
    <w:semiHidden/>
    <w:unhideWhenUsed/>
    <w:rsid w:val="00382487"/>
    <w:rPr>
      <w:color w:val="605E5C"/>
      <w:shd w:val="clear" w:color="auto" w:fill="E1DFDD"/>
    </w:rPr>
  </w:style>
  <w:style w:type="table" w:styleId="af7">
    <w:name w:val="Table Grid"/>
    <w:basedOn w:val="a1"/>
    <w:uiPriority w:val="39"/>
    <w:rsid w:val="00971D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样式1"/>
    <w:basedOn w:val="a1"/>
    <w:uiPriority w:val="99"/>
    <w:rsid w:val="00B94D78"/>
    <w:pPr>
      <w:spacing w:after="0" w:line="240" w:lineRule="auto"/>
    </w:pPr>
    <w:rPr>
      <w:rFonts w:eastAsia="仿宋"/>
    </w:rPr>
    <w:tblPr>
      <w:tblBorders>
        <w:top w:val="single" w:sz="4" w:space="0" w:color="auto"/>
        <w:bottom w:val="single" w:sz="4" w:space="0" w:color="auto"/>
      </w:tblBorders>
    </w:tblPr>
    <w:tblStylePr w:type="firstRow">
      <w:rPr>
        <w:b/>
      </w:rPr>
      <w:tblPr/>
      <w:tcPr>
        <w:tcBorders>
          <w:top w:val="single" w:sz="4" w:space="0" w:color="auto"/>
          <w:left w:val="nil"/>
          <w:bottom w:val="single" w:sz="4" w:space="0" w:color="auto"/>
          <w:right w:val="nil"/>
          <w:insideH w:val="nil"/>
          <w:insideV w:val="nil"/>
          <w:tl2br w:val="nil"/>
          <w:tr2bl w:val="nil"/>
        </w:tcBorders>
      </w:tcPr>
    </w:tblStylePr>
  </w:style>
  <w:style w:type="character" w:styleId="af8">
    <w:name w:val="FollowedHyperlink"/>
    <w:basedOn w:val="a0"/>
    <w:uiPriority w:val="99"/>
    <w:semiHidden/>
    <w:unhideWhenUsed/>
    <w:rsid w:val="00F11AD2"/>
    <w:rPr>
      <w:color w:val="954F72" w:themeColor="followedHyperlink"/>
      <w:u w:val="single"/>
    </w:rPr>
  </w:style>
  <w:style w:type="paragraph" w:styleId="af9">
    <w:name w:val="Normal (Web)"/>
    <w:basedOn w:val="a"/>
    <w:uiPriority w:val="99"/>
    <w:unhideWhenUsed/>
    <w:rsid w:val="002E2C1D"/>
    <w:rPr>
      <w:rFonts w:cs="Times New Roman"/>
      <w:szCs w:val="24"/>
    </w:rPr>
  </w:style>
  <w:style w:type="character" w:styleId="afa">
    <w:name w:val="Strong"/>
    <w:basedOn w:val="a0"/>
    <w:uiPriority w:val="22"/>
    <w:qFormat/>
    <w:rsid w:val="004E7A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notes.xml.rels><?xml version="1.0" encoding="UTF-8" standalone="yes"?>
<Relationships xmlns="http://schemas.openxmlformats.org/package/2006/relationships"><Relationship Id="rId1" Type="http://schemas.openxmlformats.org/officeDocument/2006/relationships/hyperlink" Target="http://eid.csrc.gov.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7AF2E-4A89-41EC-A4C4-EC38066E5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537</TotalTime>
  <Pages>13</Pages>
  <Words>1089</Words>
  <Characters>6209</Characters>
  <Application>Microsoft Office Word</Application>
  <DocSecurity>0</DocSecurity>
  <Lines>51</Lines>
  <Paragraphs>14</Paragraphs>
  <ScaleCrop>false</ScaleCrop>
  <Company/>
  <LinksUpToDate>false</LinksUpToDate>
  <CharactersWithSpaces>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雨欣 胡</dc:creator>
  <cp:keywords/>
  <dc:description/>
  <cp:lastModifiedBy>雨欣 胡</cp:lastModifiedBy>
  <cp:revision>5</cp:revision>
  <dcterms:created xsi:type="dcterms:W3CDTF">2026-04-22T08:32:00Z</dcterms:created>
  <dcterms:modified xsi:type="dcterms:W3CDTF">2026-04-26T12:09:00Z</dcterms:modified>
</cp:coreProperties>
</file>