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仿宋" w:hAnsi="仿宋" w:eastAsia="仿宋"/>
        </w:rP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00" cy="10696861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市场月报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10696861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方正兰亭粗黑简体" w:hAnsi="方正兰亭粗黑简体" w:eastAsia="方正兰亭粗黑简体"/>
          <w:color w:val="FEE6CE"/>
          <w:sz w:val="40"/>
        </w:rPr>
        <w:t>2023.12.29</w:t>
      </w:r>
    </w:p>
    <w:p>
      <w:pPr>
        <w:sectPr>
          <w:headerReference w:type="default" r:id="rId10"/>
          <w:pgSz w:w="11906" w:h="16838"/>
          <w:pgMar w:top="10488" w:right="1800" w:bottom="1440" w:left="879" w:header="720" w:footer="720" w:gutter="0"/>
          <w:cols w:space="720"/>
          <w:docGrid w:linePitch="360"/>
        </w:sectPr>
      </w:pPr>
    </w:p>
    <w:p>
      <w:pPr>
        <w:pStyle w:val="Heading1"/>
        <w:spacing w:after="260" w:before="260"/>
      </w:pPr>
      <w:r>
        <w:rPr>
          <w:rFonts w:ascii="仿宋" w:hAnsi="仿宋" w:eastAsia="仿宋"/>
        </w:rPr>
        <w:t>一、市场表现月度回顾</w:t>
      </w:r>
    </w:p>
    <w:p>
      <w:pPr>
        <w:pStyle w:val="Heading2"/>
        <w:spacing w:after="260" w:before="260"/>
      </w:pPr>
      <w:r>
        <w:rPr>
          <w:rFonts w:ascii="仿宋" w:hAnsi="仿宋" w:eastAsia="仿宋"/>
        </w:rPr>
        <w:t>（一）股票市场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2"/>
        <w:spacing w:after="160" w:line="360" w:lineRule="auto"/>
        <w:jc w:val="center"/>
      </w:pPr>
      <w:r>
        <w:rPr>
          <w:rFonts w:ascii="仿宋" w:hAnsi="仿宋" w:eastAsia="仿宋"/>
          <w:b/>
        </w:rPr>
        <w:t>数据来源：Wind，金融产品研发部整理，数据截止到</w:t>
      </w:r>
      <w:r>
        <w:rPr>
          <w:rFonts w:ascii="仿宋" w:hAnsi="仿宋" w:eastAsia="仿宋"/>
          <w:b/>
        </w:rPr>
        <w:t>2024.01.05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2023</w:t>
      </w:r>
      <w:r>
        <w:rPr>
          <w:rFonts w:ascii="仿宋" w:hAnsi="仿宋" w:eastAsia="仿宋"/>
        </w:rPr>
        <w:t>年</w:t>
      </w:r>
      <w:r>
        <w:rPr>
          <w:rFonts w:ascii="仿宋" w:hAnsi="仿宋" w:eastAsia="仿宋"/>
        </w:rPr>
        <w:t>12</w:t>
      </w:r>
      <w:r>
        <w:rPr>
          <w:rFonts w:ascii="仿宋" w:hAnsi="仿宋" w:eastAsia="仿宋"/>
        </w:rPr>
        <w:t>月，各大宽基指数</w:t>
      </w:r>
      <w:r>
        <w:rPr>
          <w:rFonts w:ascii="仿宋" w:hAnsi="仿宋" w:eastAsia="仿宋"/>
        </w:rPr>
        <w:t>全部下跌。月度来看，</w:t>
      </w:r>
      <w:r>
        <w:rPr>
          <w:rFonts w:ascii="仿宋" w:hAnsi="仿宋" w:eastAsia="仿宋"/>
        </w:rPr>
        <w:t>中证1000</w:t>
      </w:r>
      <w:r>
        <w:rPr>
          <w:rFonts w:ascii="仿宋" w:hAnsi="仿宋" w:eastAsia="仿宋"/>
        </w:rPr>
        <w:t>领跌，月跌</w:t>
      </w:r>
      <w:r>
        <w:rPr>
          <w:rFonts w:ascii="仿宋" w:hAnsi="仿宋" w:eastAsia="仿宋"/>
        </w:rPr>
        <w:t>3.96%</w:t>
      </w:r>
      <w:r>
        <w:rPr>
          <w:rFonts w:ascii="仿宋" w:hAnsi="仿宋" w:eastAsia="仿宋"/>
        </w:rPr>
        <w:t>；</w:t>
      </w:r>
      <w:r>
        <w:rPr>
          <w:rFonts w:ascii="仿宋" w:hAnsi="仿宋" w:eastAsia="仿宋"/>
        </w:rPr>
        <w:t>上证50</w:t>
      </w:r>
      <w:r>
        <w:rPr>
          <w:rFonts w:ascii="仿宋" w:hAnsi="仿宋" w:eastAsia="仿宋"/>
        </w:rPr>
        <w:t>跌幅最小，月跌</w:t>
      </w:r>
      <w:r>
        <w:rPr>
          <w:rFonts w:ascii="仿宋" w:hAnsi="仿宋" w:eastAsia="仿宋"/>
        </w:rPr>
        <w:t>1.10%</w:t>
      </w:r>
      <w:r>
        <w:rPr>
          <w:rFonts w:ascii="仿宋" w:hAnsi="仿宋" w:eastAsia="仿宋"/>
        </w:rPr>
        <w:t>。年度来看，今年以来各大指数</w:t>
      </w:r>
      <w:r>
        <w:rPr>
          <w:rFonts w:ascii="仿宋" w:hAnsi="仿宋" w:eastAsia="仿宋"/>
        </w:rPr>
        <w:t>全部呈下跌状态。</w:t>
      </w:r>
      <w:r>
        <w:rPr>
          <w:rFonts w:ascii="仿宋" w:hAnsi="仿宋" w:eastAsia="仿宋"/>
        </w:rPr>
        <w:t>从PE分位数来看，</w:t>
      </w:r>
      <w:r>
        <w:rPr>
          <w:rFonts w:ascii="仿宋" w:hAnsi="仿宋" w:eastAsia="仿宋"/>
        </w:rPr>
        <w:t>所有指数近10年PE分位数均处于30%以下；其中，</w:t>
      </w:r>
      <w:r>
        <w:rPr>
          <w:rFonts w:ascii="仿宋" w:hAnsi="仿宋" w:eastAsia="仿宋"/>
        </w:rPr>
        <w:t>中证1000</w:t>
      </w:r>
      <w:r>
        <w:rPr>
          <w:rFonts w:ascii="仿宋" w:hAnsi="仿宋" w:eastAsia="仿宋"/>
        </w:rPr>
        <w:t>估值分位偏高，PE分位数接近</w:t>
      </w:r>
      <w:r>
        <w:rPr>
          <w:rFonts w:ascii="仿宋" w:hAnsi="仿宋" w:eastAsia="仿宋"/>
        </w:rPr>
        <w:t>20%</w:t>
      </w:r>
      <w:r>
        <w:rPr>
          <w:rFonts w:ascii="仿宋" w:hAnsi="仿宋" w:eastAsia="仿宋"/>
        </w:rPr>
        <w:t>；</w:t>
      </w:r>
      <w:r>
        <w:rPr>
          <w:rFonts w:ascii="仿宋" w:hAnsi="仿宋" w:eastAsia="仿宋"/>
        </w:rPr>
        <w:t>创业板指</w:t>
      </w:r>
      <w:r>
        <w:rPr>
          <w:rFonts w:ascii="仿宋" w:hAnsi="仿宋" w:eastAsia="仿宋"/>
        </w:rPr>
        <w:t>估值分位偏低，PE分位数低于</w:t>
      </w:r>
      <w:r>
        <w:rPr>
          <w:rFonts w:ascii="仿宋" w:hAnsi="仿宋" w:eastAsia="仿宋"/>
        </w:rPr>
        <w:t>10%</w:t>
      </w:r>
      <w:r>
        <w:rPr>
          <w:rFonts w:ascii="仿宋" w:hAnsi="仿宋" w:eastAsia="仿宋"/>
        </w:rPr>
        <w:t>。以下是申万各行业本月情况。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2"/>
        <w:spacing w:after="160" w:line="360" w:lineRule="auto"/>
        <w:jc w:val="center"/>
      </w:pPr>
      <w:r>
        <w:rPr>
          <w:rFonts w:ascii="仿宋" w:hAnsi="仿宋" w:eastAsia="仿宋"/>
          <w:b/>
        </w:rPr>
        <w:t>数据来源：Wind，金融产品研发部整理，数据截止到</w:t>
      </w:r>
      <w:r>
        <w:rPr>
          <w:rFonts w:ascii="仿宋" w:hAnsi="仿宋" w:eastAsia="仿宋"/>
          <w:b/>
        </w:rPr>
        <w:t>2024.01.05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行业层面，</w:t>
      </w:r>
      <w:r>
        <w:rPr>
          <w:rFonts w:ascii="仿宋" w:hAnsi="仿宋" w:eastAsia="仿宋"/>
        </w:rPr>
        <w:t>12</w:t>
      </w:r>
      <w:r>
        <w:rPr>
          <w:rFonts w:ascii="仿宋" w:hAnsi="仿宋" w:eastAsia="仿宋"/>
        </w:rPr>
        <w:t>月</w:t>
      </w:r>
      <w:r>
        <w:rPr>
          <w:rFonts w:ascii="仿宋" w:hAnsi="仿宋" w:eastAsia="仿宋"/>
        </w:rPr>
        <w:t>多数行业呈现下跌状态。</w:t>
      </w:r>
      <w:r>
        <w:rPr>
          <w:rFonts w:ascii="仿宋" w:hAnsi="仿宋" w:eastAsia="仿宋"/>
        </w:rPr>
        <w:t>其中，</w:t>
      </w:r>
      <w:r>
        <w:rPr>
          <w:rFonts w:ascii="仿宋" w:hAnsi="仿宋" w:eastAsia="仿宋"/>
        </w:rPr>
        <w:t>有色金属</w:t>
      </w:r>
      <w:r>
        <w:rPr>
          <w:rFonts w:ascii="仿宋" w:hAnsi="仿宋" w:eastAsia="仿宋"/>
        </w:rPr>
        <w:t>行业领涨，月涨</w:t>
      </w:r>
      <w:r>
        <w:rPr>
          <w:rFonts w:ascii="仿宋" w:hAnsi="仿宋" w:eastAsia="仿宋"/>
        </w:rPr>
        <w:t>1.85%</w:t>
      </w:r>
      <w:r>
        <w:rPr>
          <w:rFonts w:ascii="仿宋" w:hAnsi="仿宋" w:eastAsia="仿宋"/>
        </w:rPr>
        <w:t>；</w:t>
      </w:r>
      <w:r>
        <w:rPr>
          <w:rFonts w:ascii="仿宋" w:hAnsi="仿宋" w:eastAsia="仿宋"/>
        </w:rPr>
        <w:t>房地产</w:t>
      </w:r>
      <w:r>
        <w:rPr>
          <w:rFonts w:ascii="仿宋" w:hAnsi="仿宋" w:eastAsia="仿宋"/>
        </w:rPr>
        <w:t>行业领跌，月跌</w:t>
      </w:r>
      <w:r>
        <w:rPr>
          <w:rFonts w:ascii="仿宋" w:hAnsi="仿宋" w:eastAsia="仿宋"/>
        </w:rPr>
        <w:t>8.85%</w:t>
      </w:r>
      <w:r>
        <w:rPr>
          <w:rFonts w:ascii="仿宋" w:hAnsi="仿宋" w:eastAsia="仿宋"/>
        </w:rPr>
        <w:t>。年度来看，</w:t>
      </w:r>
      <w:r>
        <w:rPr>
          <w:rFonts w:ascii="仿宋" w:hAnsi="仿宋" w:eastAsia="仿宋"/>
        </w:rPr>
        <w:t>通信</w:t>
      </w:r>
      <w:r>
        <w:rPr>
          <w:rFonts w:ascii="仿宋" w:hAnsi="仿宋" w:eastAsia="仿宋"/>
        </w:rPr>
        <w:t>行业领涨，</w:t>
      </w:r>
      <w:r>
        <w:rPr>
          <w:rFonts w:ascii="仿宋" w:hAnsi="仿宋" w:eastAsia="仿宋"/>
        </w:rPr>
        <w:t>美容护理</w:t>
      </w:r>
      <w:r>
        <w:rPr>
          <w:rFonts w:ascii="仿宋" w:hAnsi="仿宋" w:eastAsia="仿宋"/>
        </w:rPr>
        <w:t>行业领跌。</w:t>
      </w:r>
      <w:r>
        <w:rPr>
          <w:rFonts w:ascii="仿宋" w:hAnsi="仿宋" w:eastAsia="仿宋"/>
        </w:rPr>
        <w:t>从行业估值分位来看，各行业分位分化较大</w:t>
      </w:r>
      <w:r>
        <w:rPr>
          <w:rFonts w:ascii="仿宋" w:hAnsi="仿宋" w:eastAsia="仿宋"/>
        </w:rPr>
        <w:t>，超半数的行业估值分位处于50%以下。其中，估值最高的三个行业为</w:t>
      </w:r>
      <w:r>
        <w:rPr>
          <w:rFonts w:ascii="仿宋" w:hAnsi="仿宋" w:eastAsia="仿宋"/>
        </w:rPr>
        <w:t>钢铁</w:t>
      </w:r>
      <w:r>
        <w:rPr>
          <w:rFonts w:ascii="仿宋" w:hAnsi="仿宋" w:eastAsia="仿宋"/>
        </w:rPr>
        <w:t>、</w:t>
      </w:r>
      <w:r>
        <w:rPr>
          <w:rFonts w:ascii="仿宋" w:hAnsi="仿宋" w:eastAsia="仿宋"/>
        </w:rPr>
        <w:t>汽车</w:t>
      </w:r>
      <w:r>
        <w:rPr>
          <w:rFonts w:ascii="仿宋" w:hAnsi="仿宋" w:eastAsia="仿宋"/>
        </w:rPr>
        <w:t>和</w:t>
      </w:r>
      <w:r>
        <w:rPr>
          <w:rFonts w:ascii="仿宋" w:hAnsi="仿宋" w:eastAsia="仿宋"/>
        </w:rPr>
        <w:t>建筑材料</w:t>
      </w:r>
      <w:r>
        <w:rPr>
          <w:rFonts w:ascii="仿宋" w:hAnsi="仿宋" w:eastAsia="仿宋"/>
        </w:rPr>
        <w:t>，估值最低的三个行业为</w:t>
      </w:r>
      <w:r>
        <w:rPr>
          <w:rFonts w:ascii="仿宋" w:hAnsi="仿宋" w:eastAsia="仿宋"/>
        </w:rPr>
        <w:t>电力设备</w:t>
      </w:r>
      <w:r>
        <w:rPr>
          <w:rFonts w:ascii="仿宋" w:hAnsi="仿宋" w:eastAsia="仿宋"/>
        </w:rPr>
        <w:t>、</w:t>
      </w:r>
      <w:r>
        <w:rPr>
          <w:rFonts w:ascii="仿宋" w:hAnsi="仿宋" w:eastAsia="仿宋"/>
        </w:rPr>
        <w:t>建筑装饰</w:t>
      </w:r>
      <w:r>
        <w:rPr>
          <w:rFonts w:ascii="仿宋" w:hAnsi="仿宋" w:eastAsia="仿宋"/>
        </w:rPr>
        <w:t>和</w:t>
      </w:r>
      <w:r>
        <w:rPr>
          <w:rFonts w:ascii="仿宋" w:hAnsi="仿宋" w:eastAsia="仿宋"/>
        </w:rPr>
        <w:t>国防军工</w:t>
      </w:r>
      <w:r>
        <w:rPr>
          <w:rFonts w:ascii="仿宋" w:hAnsi="仿宋" w:eastAsia="仿宋"/>
        </w:rPr>
        <w:t>。</w:t>
      </w:r>
    </w:p>
    <w:p>
      <w:pPr>
        <w:pStyle w:val="BodyText3"/>
        <w:spacing w:after="80" w:before="400" w:line="259" w:lineRule="auto"/>
        <w:jc w:val="center"/>
      </w:pPr>
      <w:r>
        <w:rPr>
          <w:rFonts w:ascii="仿宋" w:hAnsi="仿宋" w:eastAsia="仿宋"/>
          <w:b/>
        </w:rPr>
        <w:t>指数成交额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2"/>
        <w:spacing w:after="160" w:line="360" w:lineRule="auto"/>
        <w:jc w:val="center"/>
      </w:pPr>
      <w:r>
        <w:rPr>
          <w:rFonts w:ascii="仿宋" w:hAnsi="仿宋" w:eastAsia="仿宋"/>
          <w:b/>
        </w:rPr>
        <w:t>数据来源：Wind，金融产品研发部整理，数据截止到</w:t>
      </w:r>
      <w:r>
        <w:rPr>
          <w:rFonts w:ascii="仿宋" w:hAnsi="仿宋" w:eastAsia="仿宋"/>
          <w:b/>
        </w:rPr>
        <w:t>2024.01.05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本月市场活跃度有所</w:t>
      </w:r>
      <w:r>
        <w:rPr>
          <w:rFonts w:ascii="仿宋" w:hAnsi="仿宋" w:eastAsia="仿宋"/>
          <w:color w:val="FF0000"/>
        </w:rPr>
        <w:t>下降</w:t>
      </w:r>
      <w:r>
        <w:rPr>
          <w:rFonts w:ascii="仿宋" w:hAnsi="仿宋" w:eastAsia="仿宋"/>
        </w:rPr>
        <w:t>，沪深两市日均成交额为</w:t>
      </w:r>
      <w:r>
        <w:rPr>
          <w:rFonts w:ascii="仿宋" w:hAnsi="仿宋" w:eastAsia="仿宋"/>
          <w:color w:val="FF0000"/>
        </w:rPr>
        <w:t>9309.23</w:t>
      </w:r>
      <w:r>
        <w:rPr>
          <w:rFonts w:ascii="仿宋" w:hAnsi="仿宋" w:eastAsia="仿宋"/>
        </w:rPr>
        <w:t>亿，较上月沪深两市日均成交额</w:t>
      </w:r>
      <w:r>
        <w:rPr>
          <w:rFonts w:ascii="仿宋" w:hAnsi="仿宋" w:eastAsia="仿宋"/>
          <w:color w:val="FF0000"/>
        </w:rPr>
        <w:t>11395.39</w:t>
      </w:r>
      <w:r>
        <w:rPr>
          <w:rFonts w:ascii="仿宋" w:hAnsi="仿宋" w:eastAsia="仿宋"/>
        </w:rPr>
        <w:t>亿有所</w:t>
      </w:r>
      <w:r>
        <w:rPr>
          <w:rFonts w:ascii="仿宋" w:hAnsi="仿宋" w:eastAsia="仿宋"/>
          <w:color w:val="FF0000"/>
        </w:rPr>
        <w:t>下降</w:t>
      </w:r>
      <w:r>
        <w:rPr>
          <w:rFonts w:ascii="仿宋" w:hAnsi="仿宋" w:eastAsia="仿宋"/>
        </w:rPr>
        <w:t>。市场交易集中度如下图。</w:t>
      </w:r>
    </w:p>
    <w:p>
      <w:pPr>
        <w:pStyle w:val="BodyText3"/>
        <w:spacing w:after="80" w:before="400" w:line="259" w:lineRule="auto"/>
        <w:jc w:val="center"/>
      </w:pPr>
      <w:r>
        <w:rPr>
          <w:rFonts w:ascii="仿宋" w:hAnsi="仿宋" w:eastAsia="仿宋"/>
          <w:b/>
        </w:rPr>
        <w:t>交易集中度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2"/>
        <w:spacing w:after="160" w:line="360" w:lineRule="auto"/>
        <w:jc w:val="center"/>
      </w:pPr>
      <w:r>
        <w:rPr>
          <w:rFonts w:ascii="仿宋" w:hAnsi="仿宋" w:eastAsia="仿宋"/>
          <w:b/>
        </w:rPr>
        <w:t>数据来源：Wind，金融产品研发部整理，数据截止到</w:t>
      </w:r>
      <w:r>
        <w:rPr>
          <w:rFonts w:ascii="仿宋" w:hAnsi="仿宋" w:eastAsia="仿宋"/>
          <w:b/>
        </w:rPr>
        <w:t>2024.01.05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以下3张图统计了全市场超越三大指数涨跌幅的股票数量，以刻画市场超额收益环境。</w:t>
      </w:r>
    </w:p>
    <w:p>
      <w:pPr>
        <w:pStyle w:val="BodyText3"/>
        <w:spacing w:after="80" w:before="400" w:line="259" w:lineRule="auto"/>
        <w:jc w:val="center"/>
      </w:pPr>
      <w:r>
        <w:rPr>
          <w:rFonts w:ascii="仿宋" w:hAnsi="仿宋" w:eastAsia="仿宋"/>
          <w:b/>
        </w:rPr>
        <w:t>超额股票数量占比（沪深300）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3"/>
        <w:spacing w:after="80" w:before="400" w:line="259" w:lineRule="auto"/>
        <w:jc w:val="center"/>
      </w:pPr>
      <w:r>
        <w:rPr>
          <w:rFonts w:ascii="仿宋" w:hAnsi="仿宋" w:eastAsia="仿宋"/>
          <w:b/>
        </w:rPr>
        <w:t>超额股票数量占比（中证500）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3"/>
        <w:spacing w:after="80" w:before="400" w:line="259" w:lineRule="auto"/>
        <w:jc w:val="center"/>
      </w:pPr>
      <w:r>
        <w:rPr>
          <w:rFonts w:ascii="仿宋" w:hAnsi="仿宋" w:eastAsia="仿宋"/>
          <w:b/>
        </w:rPr>
        <w:t>超额股票数量占比（中证1000）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3"/>
        <w:spacing w:after="80" w:before="400" w:line="259" w:lineRule="auto"/>
        <w:jc w:val="center"/>
      </w:pPr>
      <w:r>
        <w:rPr>
          <w:rFonts w:ascii="仿宋" w:hAnsi="仿宋" w:eastAsia="仿宋"/>
          <w:b/>
        </w:rPr>
        <w:t>常用指数换手率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3"/>
        <w:spacing w:after="80" w:before="400" w:line="259" w:lineRule="auto"/>
        <w:jc w:val="center"/>
      </w:pPr>
      <w:r>
        <w:rPr>
          <w:rFonts w:ascii="仿宋" w:hAnsi="仿宋" w:eastAsia="仿宋"/>
          <w:b/>
        </w:rPr>
        <w:t>指数截面波动率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3"/>
        <w:spacing w:after="80" w:before="400" w:line="259" w:lineRule="auto"/>
        <w:jc w:val="center"/>
      </w:pPr>
      <w:r>
        <w:rPr>
          <w:rFonts w:ascii="仿宋" w:hAnsi="仿宋" w:eastAsia="仿宋"/>
          <w:b/>
        </w:rPr>
        <w:t>滚动5日波动率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3"/>
        <w:spacing w:after="80" w:before="400" w:line="259" w:lineRule="auto"/>
        <w:jc w:val="center"/>
      </w:pPr>
      <w:r>
        <w:rPr>
          <w:rFonts w:ascii="仿宋" w:hAnsi="仿宋" w:eastAsia="仿宋"/>
          <w:b/>
        </w:rPr>
        <w:t>滚动10日波动率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3"/>
        <w:spacing w:after="80" w:before="400" w:line="259" w:lineRule="auto"/>
        <w:jc w:val="center"/>
      </w:pPr>
      <w:r>
        <w:rPr>
          <w:rFonts w:ascii="仿宋" w:hAnsi="仿宋" w:eastAsia="仿宋"/>
          <w:b/>
        </w:rPr>
        <w:t>滚动20日波动率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2"/>
        <w:spacing w:after="160" w:line="360" w:lineRule="auto"/>
        <w:jc w:val="center"/>
      </w:pPr>
      <w:r>
        <w:rPr>
          <w:rFonts w:ascii="仿宋" w:hAnsi="仿宋" w:eastAsia="仿宋"/>
          <w:b/>
        </w:rPr>
        <w:t>所有数据来源：Wind，金融产品研发部整理，数据截止到</w:t>
      </w:r>
      <w:r>
        <w:rPr>
          <w:rFonts w:ascii="仿宋" w:hAnsi="仿宋" w:eastAsia="仿宋"/>
          <w:b/>
        </w:rPr>
        <w:t>2024.01.05</w:t>
      </w:r>
    </w:p>
    <w:p>
      <w:pPr>
        <w:pStyle w:val="BodyText3"/>
        <w:spacing w:after="80" w:before="400" w:line="259" w:lineRule="auto"/>
        <w:jc w:val="center"/>
      </w:pPr>
      <w:r>
        <w:rPr>
          <w:rFonts w:ascii="仿宋" w:hAnsi="仿宋" w:eastAsia="仿宋"/>
          <w:b/>
        </w:rPr>
        <w:t>年化基差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2"/>
        <w:spacing w:after="160" w:line="360" w:lineRule="auto"/>
        <w:jc w:val="center"/>
      </w:pPr>
      <w:r>
        <w:rPr>
          <w:rFonts w:ascii="仿宋" w:hAnsi="仿宋" w:eastAsia="仿宋"/>
          <w:b/>
        </w:rPr>
        <w:t>数据来源：Wind，金融产品研发部整理，数据截止到</w:t>
      </w:r>
      <w:r>
        <w:rPr>
          <w:rFonts w:ascii="仿宋" w:hAnsi="仿宋" w:eastAsia="仿宋"/>
          <w:b/>
        </w:rPr>
        <w:t>2024.01.05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基差方面，</w:t>
      </w:r>
      <w:r>
        <w:rPr>
          <w:rFonts w:ascii="仿宋" w:hAnsi="仿宋" w:eastAsia="仿宋"/>
        </w:rPr>
        <w:t>12</w:t>
      </w:r>
      <w:r>
        <w:rPr>
          <w:rFonts w:ascii="仿宋" w:hAnsi="仿宋" w:eastAsia="仿宋"/>
          <w:color w:val="FF0000"/>
        </w:rPr>
        <w:t>月四大期指基差走势基本相似，总体呈现出先下降后上升的趋势。本周各合约基差基本走平，对中性产品的收益无较大影响。</w:t>
      </w:r>
    </w:p>
    <w:p>
      <w:pPr>
        <w:pStyle w:val="BodyText3"/>
        <w:spacing w:after="80" w:before="400" w:line="259" w:lineRule="auto"/>
        <w:jc w:val="center"/>
      </w:pPr>
      <w:r>
        <w:rPr>
          <w:rFonts w:ascii="仿宋" w:hAnsi="仿宋" w:eastAsia="仿宋"/>
          <w:b/>
        </w:rPr>
        <w:t>Barra因子走势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2"/>
        <w:spacing w:after="160" w:line="360" w:lineRule="auto"/>
        <w:jc w:val="center"/>
      </w:pPr>
      <w:r>
        <w:rPr>
          <w:rFonts w:ascii="仿宋" w:hAnsi="仿宋" w:eastAsia="仿宋"/>
          <w:b/>
        </w:rPr>
        <w:t>数据来源：Wind，金融产品研发部整理，数据截止到</w:t>
      </w:r>
      <w:r>
        <w:rPr>
          <w:rFonts w:ascii="仿宋" w:hAnsi="仿宋" w:eastAsia="仿宋"/>
          <w:b/>
        </w:rPr>
        <w:t>2024.01.05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风格因子表现方面，</w:t>
      </w:r>
      <w:r>
        <w:rPr>
          <w:rFonts w:ascii="仿宋" w:hAnsi="仿宋" w:eastAsia="仿宋"/>
        </w:rPr>
        <w:t>12</w:t>
      </w:r>
      <w:r>
        <w:rPr>
          <w:rFonts w:ascii="仿宋" w:hAnsi="仿宋" w:eastAsia="仿宋"/>
          <w:color w:val="FF0000"/>
        </w:rPr>
        <w:t>月动量因子和beta因子上涨，市值因子、流动性因子和价值因子下跌，其余因子表现较为平淡。</w:t>
      </w:r>
    </w:p>
    <w:p>
      <w:pPr>
        <w:pStyle w:val="Heading2"/>
        <w:spacing w:after="260" w:before="260"/>
      </w:pPr>
      <w:r>
        <w:rPr>
          <w:rFonts w:ascii="仿宋" w:hAnsi="仿宋" w:eastAsia="仿宋"/>
        </w:rPr>
        <w:t>（二）债券市场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2"/>
        <w:spacing w:after="160" w:line="360" w:lineRule="auto"/>
        <w:jc w:val="center"/>
      </w:pPr>
      <w:r>
        <w:rPr>
          <w:rFonts w:ascii="仿宋" w:hAnsi="仿宋" w:eastAsia="仿宋"/>
          <w:b/>
        </w:rPr>
        <w:t>数据来源：Wind，金融产品研发部整理，数据截止到</w:t>
      </w:r>
      <w:r>
        <w:rPr>
          <w:rFonts w:ascii="仿宋" w:hAnsi="仿宋" w:eastAsia="仿宋"/>
          <w:b/>
        </w:rPr>
        <w:t>2024.01.05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债券方面，本月各债券指数</w:t>
      </w:r>
      <w:r>
        <w:rPr>
          <w:rFonts w:ascii="仿宋" w:hAnsi="仿宋" w:eastAsia="仿宋"/>
        </w:rPr>
        <w:t>均有所上涨。其中，</w:t>
      </w:r>
      <w:r>
        <w:rPr>
          <w:rFonts w:ascii="仿宋" w:hAnsi="仿宋" w:eastAsia="仿宋"/>
        </w:rPr>
        <w:t>中证全债</w:t>
      </w:r>
      <w:r>
        <w:rPr>
          <w:rFonts w:ascii="仿宋" w:hAnsi="仿宋" w:eastAsia="仿宋"/>
        </w:rPr>
        <w:t>领涨，月涨</w:t>
      </w:r>
      <w:r>
        <w:rPr>
          <w:rFonts w:ascii="仿宋" w:hAnsi="仿宋" w:eastAsia="仿宋"/>
        </w:rPr>
        <w:t>1.19%</w:t>
      </w:r>
      <w:r>
        <w:rPr>
          <w:rFonts w:ascii="仿宋" w:hAnsi="仿宋" w:eastAsia="仿宋"/>
        </w:rPr>
        <w:t>；</w:t>
      </w:r>
      <w:r>
        <w:rPr>
          <w:rFonts w:ascii="仿宋" w:hAnsi="仿宋" w:eastAsia="仿宋"/>
        </w:rPr>
        <w:t>中证转债</w:t>
      </w:r>
      <w:r>
        <w:rPr>
          <w:rFonts w:ascii="仿宋" w:hAnsi="仿宋" w:eastAsia="仿宋"/>
        </w:rPr>
        <w:t>涨幅最小，月涨</w:t>
      </w:r>
      <w:r>
        <w:rPr>
          <w:rFonts w:ascii="仿宋" w:hAnsi="仿宋" w:eastAsia="仿宋"/>
        </w:rPr>
        <w:t>0.18%</w:t>
      </w:r>
      <w:r>
        <w:rPr>
          <w:rFonts w:ascii="仿宋" w:hAnsi="仿宋" w:eastAsia="仿宋"/>
        </w:rPr>
        <w:t>。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2"/>
        <w:spacing w:after="160" w:line="360" w:lineRule="auto"/>
        <w:jc w:val="center"/>
      </w:pPr>
      <w:r>
        <w:rPr>
          <w:rFonts w:ascii="仿宋" w:hAnsi="仿宋" w:eastAsia="仿宋"/>
          <w:b/>
        </w:rPr>
        <w:t>数据来源：Wind，金融产品研发部整理，数据截止到</w:t>
      </w:r>
      <w:r>
        <w:rPr>
          <w:rFonts w:ascii="仿宋" w:hAnsi="仿宋" w:eastAsia="仿宋"/>
          <w:b/>
        </w:rPr>
        <w:t>2024.01.05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  <w:color w:val="FF0000"/>
        </w:rPr>
        <w:t>利率角度，本月除DR007有所上涨外，SHIBOR：3M、一年期国债收益率、十年期国债收益率均有所下跌。本周利率债继续走强，流动性维持宽松，10年期国降至2.7%点位附近，周内下行将近4BP，短端利率周内微幅上行后下降。</w:t>
      </w:r>
    </w:p>
    <w:p>
      <w:pPr>
        <w:pStyle w:val="Heading2"/>
        <w:spacing w:after="260" w:before="260"/>
      </w:pPr>
      <w:r>
        <w:rPr>
          <w:rFonts w:ascii="仿宋" w:hAnsi="仿宋" w:eastAsia="仿宋"/>
        </w:rPr>
        <w:t>（三）商品市场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2"/>
        <w:spacing w:after="160" w:line="360" w:lineRule="auto"/>
        <w:jc w:val="center"/>
      </w:pPr>
      <w:r>
        <w:rPr>
          <w:rFonts w:ascii="仿宋" w:hAnsi="仿宋" w:eastAsia="仿宋"/>
          <w:b/>
        </w:rPr>
        <w:t>数据来源：Wind，金融产品研发部整理，数据截止到</w:t>
      </w:r>
      <w:r>
        <w:rPr>
          <w:rFonts w:ascii="仿宋" w:hAnsi="仿宋" w:eastAsia="仿宋"/>
          <w:b/>
        </w:rPr>
        <w:t>2024.01.05</w:t>
      </w:r>
    </w:p>
    <w:p>
      <w:pPr>
        <w:pStyle w:val="BodyText3"/>
        <w:spacing w:after="80" w:before="400" w:line="259" w:lineRule="auto"/>
        <w:jc w:val="center"/>
      </w:pPr>
      <w:r>
        <w:rPr>
          <w:rFonts w:ascii="仿宋" w:hAnsi="仿宋" w:eastAsia="仿宋"/>
          <w:b/>
        </w:rPr>
        <w:t>大宗商品本月走势</w:t>
      </w:r>
    </w:p>
    <w:p>
      <w:pPr>
        <w:pStyle w:val="BodyText"/>
        <w:spacing w:after="80" w:before="0" w:line="259" w:lineRule="auto"/>
        <w:jc w:val="center"/>
      </w:pPr>
      <w:r>
        <w:rPr>
          <w:rFonts w:ascii="仿宋" w:hAnsi="仿宋" w:eastAsia="仿宋"/>
        </w:rPr>
        <w:t>图片</w:t>
      </w:r>
    </w:p>
    <w:p>
      <w:pPr>
        <w:pStyle w:val="BodyText2"/>
        <w:spacing w:after="160" w:line="360" w:lineRule="auto"/>
        <w:jc w:val="center"/>
      </w:pPr>
      <w:r>
        <w:rPr>
          <w:rFonts w:ascii="仿宋" w:hAnsi="仿宋" w:eastAsia="仿宋"/>
          <w:b/>
        </w:rPr>
        <w:t>数据来源：Wind，金融产品研发部整理，数据截止到</w:t>
      </w:r>
      <w:r>
        <w:rPr>
          <w:rFonts w:ascii="仿宋" w:hAnsi="仿宋" w:eastAsia="仿宋"/>
          <w:b/>
        </w:rPr>
        <w:t>2024.01.05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12</w:t>
      </w:r>
      <w:r>
        <w:rPr>
          <w:rFonts w:ascii="仿宋" w:hAnsi="仿宋" w:eastAsia="仿宋"/>
        </w:rPr>
        <w:t>月商品市场各品种</w:t>
      </w:r>
      <w:r>
        <w:rPr>
          <w:rFonts w:ascii="仿宋" w:hAnsi="仿宋" w:eastAsia="仿宋"/>
        </w:rPr>
        <w:t>涨跌不一，南华商品指数</w:t>
      </w:r>
      <w:r>
        <w:rPr>
          <w:rFonts w:ascii="仿宋" w:hAnsi="仿宋" w:eastAsia="仿宋"/>
        </w:rPr>
        <w:t>月跌</w:t>
      </w:r>
      <w:r>
        <w:rPr>
          <w:rFonts w:ascii="仿宋" w:hAnsi="仿宋" w:eastAsia="仿宋"/>
        </w:rPr>
        <w:t>1.12%</w:t>
      </w:r>
      <w:r>
        <w:rPr>
          <w:rFonts w:ascii="仿宋" w:hAnsi="仿宋" w:eastAsia="仿宋"/>
        </w:rPr>
        <w:t>。其中，</w:t>
      </w:r>
      <w:r>
        <w:rPr>
          <w:rFonts w:ascii="仿宋" w:hAnsi="仿宋" w:eastAsia="仿宋"/>
        </w:rPr>
        <w:t>南华黑色</w:t>
      </w:r>
      <w:r>
        <w:rPr>
          <w:rFonts w:ascii="仿宋" w:hAnsi="仿宋" w:eastAsia="仿宋"/>
        </w:rPr>
        <w:t>领涨，月涨</w:t>
      </w:r>
      <w:r>
        <w:rPr>
          <w:rFonts w:ascii="仿宋" w:hAnsi="仿宋" w:eastAsia="仿宋"/>
        </w:rPr>
        <w:t>1.56%</w:t>
      </w:r>
      <w:r>
        <w:rPr>
          <w:rFonts w:ascii="仿宋" w:hAnsi="仿宋" w:eastAsia="仿宋"/>
        </w:rPr>
        <w:t>；</w:t>
      </w:r>
      <w:r>
        <w:rPr>
          <w:rFonts w:ascii="仿宋" w:hAnsi="仿宋" w:eastAsia="仿宋"/>
        </w:rPr>
        <w:t>南华农产品</w:t>
      </w:r>
      <w:r>
        <w:rPr>
          <w:rFonts w:ascii="仿宋" w:hAnsi="仿宋" w:eastAsia="仿宋"/>
        </w:rPr>
        <w:t>领跌，月跌</w:t>
      </w:r>
      <w:r>
        <w:rPr>
          <w:rFonts w:ascii="仿宋" w:hAnsi="仿宋" w:eastAsia="仿宋"/>
        </w:rPr>
        <w:t>3.51%</w:t>
      </w:r>
      <w:r>
        <w:rPr>
          <w:rFonts w:ascii="仿宋" w:hAnsi="仿宋" w:eastAsia="仿宋"/>
        </w:rPr>
        <w:t>。年度来看，</w:t>
      </w:r>
      <w:r>
        <w:rPr>
          <w:rFonts w:ascii="仿宋" w:hAnsi="仿宋" w:eastAsia="仿宋"/>
        </w:rPr>
        <w:t>南华贵金属</w:t>
      </w:r>
      <w:r>
        <w:rPr>
          <w:rFonts w:ascii="仿宋" w:hAnsi="仿宋" w:eastAsia="仿宋"/>
        </w:rPr>
        <w:t>领涨，年初至今上涨</w:t>
      </w:r>
      <w:r>
        <w:rPr>
          <w:rFonts w:ascii="仿宋" w:hAnsi="仿宋" w:eastAsia="仿宋"/>
        </w:rPr>
        <w:t>13.37%</w:t>
      </w:r>
      <w:r>
        <w:rPr>
          <w:rFonts w:ascii="仿宋" w:hAnsi="仿宋" w:eastAsia="仿宋"/>
        </w:rPr>
        <w:t>；</w:t>
      </w:r>
      <w:r>
        <w:rPr>
          <w:rFonts w:ascii="仿宋" w:hAnsi="仿宋" w:eastAsia="仿宋"/>
        </w:rPr>
        <w:t>南华有色金属</w:t>
      </w:r>
      <w:r>
        <w:rPr>
          <w:rFonts w:ascii="仿宋" w:hAnsi="仿宋" w:eastAsia="仿宋"/>
        </w:rPr>
        <w:t>领跌，年初至今下跌</w:t>
      </w:r>
      <w:r>
        <w:rPr>
          <w:rFonts w:ascii="仿宋" w:hAnsi="仿宋" w:eastAsia="仿宋"/>
        </w:rPr>
        <w:t>8.40%</w:t>
      </w:r>
      <w:r>
        <w:rPr>
          <w:rFonts w:ascii="仿宋" w:hAnsi="仿宋" w:eastAsia="仿宋"/>
        </w:rPr>
        <w:t>。</w:t>
      </w:r>
    </w:p>
    <w:p>
      <w:pPr>
        <w:pStyle w:val="Heading1"/>
        <w:spacing w:after="260" w:before="260"/>
      </w:pPr>
      <w:r>
        <w:rPr>
          <w:rFonts w:ascii="仿宋" w:hAnsi="仿宋" w:eastAsia="仿宋"/>
        </w:rPr>
        <w:t>二、市场及策略观察</w:t>
      </w:r>
    </w:p>
    <w:p>
      <w:pPr>
        <w:pStyle w:val="Heading2"/>
        <w:spacing w:after="260" w:before="260"/>
      </w:pPr>
      <w:r>
        <w:rPr>
          <w:rFonts w:ascii="仿宋" w:hAnsi="仿宋" w:eastAsia="仿宋"/>
        </w:rPr>
        <w:t>（一）周度市场观察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本周（</w:t>
      </w:r>
      <w:r>
        <w:rPr>
          <w:rFonts w:ascii="仿宋" w:hAnsi="仿宋" w:eastAsia="仿宋"/>
          <w:b/>
        </w:rPr>
        <w:t>12.25</w:t>
      </w:r>
      <w:r>
        <w:rPr>
          <w:rFonts w:ascii="仿宋" w:hAnsi="仿宋" w:eastAsia="仿宋"/>
          <w:b/>
        </w:rPr>
        <w:t>-</w:t>
      </w:r>
      <w:r>
        <w:rPr>
          <w:rFonts w:ascii="仿宋" w:hAnsi="仿宋" w:eastAsia="仿宋"/>
          <w:b/>
        </w:rPr>
        <w:t>12.29</w:t>
      </w:r>
      <w:r>
        <w:rPr>
          <w:rFonts w:ascii="仿宋" w:hAnsi="仿宋" w:eastAsia="仿宋"/>
        </w:rPr>
        <w:t>）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本周（</w:t>
      </w:r>
      <w:r>
        <w:rPr>
          <w:rFonts w:ascii="仿宋" w:hAnsi="仿宋" w:eastAsia="仿宋"/>
          <w:b/>
        </w:rPr>
        <w:t>12.25</w:t>
      </w:r>
      <w:r>
        <w:rPr>
          <w:rFonts w:ascii="仿宋" w:hAnsi="仿宋" w:eastAsia="仿宋"/>
          <w:b/>
        </w:rPr>
        <w:t>-</w:t>
      </w:r>
      <w:r>
        <w:rPr>
          <w:rFonts w:ascii="仿宋" w:hAnsi="仿宋" w:eastAsia="仿宋"/>
          <w:b/>
        </w:rPr>
        <w:t>12.29</w:t>
      </w:r>
      <w:r>
        <w:rPr>
          <w:rFonts w:ascii="仿宋" w:hAnsi="仿宋" w:eastAsia="仿宋"/>
        </w:rPr>
        <w:t>）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本周（</w:t>
      </w:r>
      <w:r>
        <w:rPr>
          <w:rFonts w:ascii="仿宋" w:hAnsi="仿宋" w:eastAsia="仿宋"/>
          <w:b/>
        </w:rPr>
        <w:t>12.25</w:t>
      </w:r>
      <w:r>
        <w:rPr>
          <w:rFonts w:ascii="仿宋" w:hAnsi="仿宋" w:eastAsia="仿宋"/>
          <w:b/>
        </w:rPr>
        <w:t>-</w:t>
      </w:r>
      <w:r>
        <w:rPr>
          <w:rFonts w:ascii="仿宋" w:hAnsi="仿宋" w:eastAsia="仿宋"/>
          <w:b/>
        </w:rPr>
        <w:t>12.29</w:t>
      </w:r>
      <w:r>
        <w:rPr>
          <w:rFonts w:ascii="仿宋" w:hAnsi="仿宋" w:eastAsia="仿宋"/>
        </w:rPr>
        <w:t>）</w:t>
      </w:r>
    </w:p>
    <w:p>
      <w:pPr>
        <w:sectPr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BodyText3"/>
        <w:spacing w:after="160" w:before="0" w:line="259" w:lineRule="auto"/>
        <w:jc w:val="left"/>
      </w:pPr>
      <w:r>
        <w:rPr>
          <w:rFonts w:ascii="仿宋" w:hAnsi="仿宋" w:eastAsia="仿宋"/>
          <w:b/>
        </w:rPr>
        <w:t>免责声明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本内容的观点和信息仅供内部阅读，请勿对外公开传播和发放。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本内容不构成期货投资咨询服务，不构成具体业务或产品的推介，亦不应被视为相应金融产品的投资建议。市场有风险，投资需谨慎。投资者不应将本内容作为做出投资决策的参考因素，亦不应认为本内容可以取代自己的判断。在决定投资前，如有需要，投资者务必向专业人士咨询并谨慎决策。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本内容的信息来源于公开资料及已获授权的资料，本公司对该等信息的准确性、完整性或可靠性不作任何保证。本内容的撰写力求独立、客观和公正，结论不受任何第三方的授意或影响。本内容所载的资料、意见及推测仅反映本公司于发布本内容当日的判断，本内容所指的产品的价格可升可跌，过往表现不应作为日后的表现依据。在不同时期，本公司可发出与本内容所载资料、意见及推测不一致的内容。本公司不保证本内容所含信息保持在最新状态。同时，本公司对本内容所含信息可在不发出通知的情形下做出修改，投资者应当自行关注相应的更新或修改。</w:t>
      </w:r>
    </w:p>
    <w:p>
      <w:pPr>
        <w:spacing w:after="160" w:line="360" w:lineRule="auto"/>
        <w:ind w:firstLine="454"/>
        <w:jc w:val="both"/>
      </w:pPr>
      <w:r>
        <w:rPr>
          <w:rFonts w:ascii="仿宋" w:hAnsi="仿宋" w:eastAsia="仿宋"/>
        </w:rPr>
        <w:t>本内容版权仅为本公司所有，未经书面许可，任何机构和个人不得以任何形式翻版、复制、转发和发布，且不得对本内容进行有悖原意的引用、删节和修改。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3742"/>
          <wp:wrapNone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back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000" cy="10693742"/>
                  </a:xfrm>
                  <a:prstGeom prst="rect"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color w:val="FF0000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24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