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</w:rPr>
        <w:t>Highlights</w:t>
      </w:r>
    </w:p>
    <w:p>
      <w:pPr>
        <w:pStyle w:val="ListBullet"/>
        <w:spacing w:after="140"/>
      </w:pPr>
      <w:r/>
      <w:r>
        <w:t>Six source-held-out cases expose endpoint and transfer dependence in lifetime scores.</w:t>
      </w:r>
    </w:p>
    <w:p>
      <w:pPr>
        <w:pStyle w:val="ListBullet"/>
        <w:spacing w:after="140"/>
      </w:pPr>
      <w:r/>
      <w:r>
        <w:t>Common IPCW Brier tuning compares five survival families without target leakage.</w:t>
      </w:r>
    </w:p>
    <w:p>
      <w:pPr>
        <w:pStyle w:val="ListBullet"/>
        <w:spacing w:after="140"/>
      </w:pPr>
      <w:r/>
      <w:r>
        <w:t>Observed-record EOL80 proxies and confirmation rules change event-time conclusions.</w:t>
      </w:r>
    </w:p>
    <w:p>
      <w:pPr>
        <w:pStyle w:val="ListBullet"/>
        <w:spacing w:after="140"/>
      </w:pPr>
      <w:r/>
      <w:r>
        <w:t>Conditional intervals retain cell/training uncertainty and unavailable scores.</w:t>
      </w:r>
    </w:p>
    <w:p>
      <w:pPr>
        <w:pStyle w:val="ListBullet"/>
        <w:spacing w:after="140"/>
      </w:pPr>
      <w:r/>
      <w:r>
        <w:t>Restricted timing proxies yield criterion-dependent actions; benefits unvalidated.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