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spacing w:after="360" w:before="180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2026「云桥杯」工业智能体大赛作品说明书</w:t>
      </w:r>
    </w:p>
    <w:p>
      <w:pPr>
        <w:spacing w:after="120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—— 充储场站证据诊断助手 ——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作品名称：Saker Energy 充储场站证据诊断助手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参赛赛道：工业智能体应用赛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Agent ID：d86bc562cb9b450b（已发布）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Agent 公开链接：https://www.wanzhi.com/studio/agent/d86bc562cb9b450b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日期：2026 年 10 月 29 日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 录</w:t>
      </w:r>
    </w:p>
    <w:p>
      <w:pPr>
        <w:spacing w:line="240" w:lineRule="auto"/>
      </w:pPr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spacing w:line="240" w:lineRule="auto" w:after="40"/>
        <w:tabs>
          <w:tab w:val="right" w:leader="dot" w:pos="9072"/>
        </w:tabs>
      </w:pPr>
      <w:r>
        <w:rPr>
          <w:rFonts w:ascii="Times New Roman" w:hAnsi="Times New Roman" w:eastAsia="宋体"/>
          <w:b w:val="0"/>
          <w:color w:val="000000"/>
          <w:sz w:val="24"/>
        </w:rPr>
        <w:t>1 项目概述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3</w:t>
      </w:r>
    </w:p>
    <w:p>
      <w:pPr>
        <w:spacing w:line="240" w:lineRule="auto" w:after="40"/>
        <w:tabs>
          <w:tab w:val="right" w:leader="dot" w:pos="9072"/>
        </w:tabs>
        <w:ind w:leftChars="200"/>
      </w:pPr>
      <w:r>
        <w:rPr>
          <w:rFonts w:ascii="Times New Roman" w:hAnsi="Times New Roman" w:eastAsia="宋体"/>
          <w:b w:val="0"/>
          <w:color w:val="000000"/>
          <w:sz w:val="24"/>
        </w:rPr>
        <w:t>1.1 背景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3</w:t>
      </w:r>
    </w:p>
    <w:p>
      <w:pPr>
        <w:spacing w:line="240" w:lineRule="auto" w:after="40"/>
        <w:tabs>
          <w:tab w:val="right" w:leader="dot" w:pos="9072"/>
        </w:tabs>
        <w:ind w:leftChars="200"/>
      </w:pPr>
      <w:r>
        <w:rPr>
          <w:rFonts w:ascii="Times New Roman" w:hAnsi="Times New Roman" w:eastAsia="宋体"/>
          <w:b w:val="0"/>
          <w:color w:val="000000"/>
          <w:sz w:val="24"/>
        </w:rPr>
        <w:t>1.2 作品定位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3</w:t>
      </w:r>
    </w:p>
    <w:p>
      <w:pPr>
        <w:spacing w:line="240" w:lineRule="auto" w:after="40"/>
        <w:tabs>
          <w:tab w:val="right" w:leader="dot" w:pos="9072"/>
        </w:tabs>
        <w:ind w:leftChars="200"/>
      </w:pPr>
      <w:r>
        <w:rPr>
          <w:rFonts w:ascii="Times New Roman" w:hAnsi="Times New Roman" w:eastAsia="宋体"/>
          <w:b w:val="0"/>
          <w:color w:val="000000"/>
          <w:sz w:val="24"/>
        </w:rPr>
        <w:t>1.3 核心成果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3</w:t>
      </w:r>
    </w:p>
    <w:p>
      <w:pPr>
        <w:spacing w:line="240" w:lineRule="auto" w:after="40"/>
        <w:tabs>
          <w:tab w:val="right" w:leader="dot" w:pos="9072"/>
        </w:tabs>
      </w:pPr>
      <w:r>
        <w:rPr>
          <w:rFonts w:ascii="Times New Roman" w:hAnsi="Times New Roman" w:eastAsia="宋体"/>
          <w:b w:val="0"/>
          <w:color w:val="000000"/>
          <w:sz w:val="24"/>
        </w:rPr>
        <w:t>2 业务场景与问题定义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3</w:t>
      </w:r>
    </w:p>
    <w:p>
      <w:pPr>
        <w:spacing w:line="240" w:lineRule="auto" w:after="40"/>
        <w:tabs>
          <w:tab w:val="right" w:leader="dot" w:pos="9072"/>
        </w:tabs>
        <w:ind w:leftChars="200"/>
      </w:pPr>
      <w:r>
        <w:rPr>
          <w:rFonts w:ascii="Times New Roman" w:hAnsi="Times New Roman" w:eastAsia="宋体"/>
          <w:b w:val="0"/>
          <w:color w:val="000000"/>
          <w:sz w:val="24"/>
        </w:rPr>
        <w:t>2.1 典型场景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3</w:t>
      </w:r>
    </w:p>
    <w:p>
      <w:pPr>
        <w:spacing w:line="240" w:lineRule="auto" w:after="40"/>
        <w:tabs>
          <w:tab w:val="right" w:leader="dot" w:pos="9072"/>
        </w:tabs>
        <w:ind w:leftChars="200"/>
      </w:pPr>
      <w:r>
        <w:rPr>
          <w:rFonts w:ascii="Times New Roman" w:hAnsi="Times New Roman" w:eastAsia="宋体"/>
          <w:b w:val="0"/>
          <w:color w:val="000000"/>
          <w:sz w:val="24"/>
        </w:rPr>
        <w:t>2.2 待解问题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3</w:t>
      </w:r>
    </w:p>
    <w:p>
      <w:pPr>
        <w:spacing w:line="240" w:lineRule="auto" w:after="40"/>
        <w:tabs>
          <w:tab w:val="right" w:leader="dot" w:pos="9072"/>
        </w:tabs>
        <w:ind w:leftChars="200"/>
      </w:pPr>
      <w:r>
        <w:rPr>
          <w:rFonts w:ascii="Times New Roman" w:hAnsi="Times New Roman" w:eastAsia="宋体"/>
          <w:b w:val="0"/>
          <w:color w:val="000000"/>
          <w:sz w:val="24"/>
        </w:rPr>
        <w:t>2.3 诊断合同（防误判约束）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3</w:t>
      </w:r>
    </w:p>
    <w:p>
      <w:pPr>
        <w:spacing w:line="240" w:lineRule="auto" w:after="40"/>
        <w:tabs>
          <w:tab w:val="right" w:leader="dot" w:pos="9072"/>
        </w:tabs>
      </w:pPr>
      <w:r>
        <w:rPr>
          <w:rFonts w:ascii="Times New Roman" w:hAnsi="Times New Roman" w:eastAsia="宋体"/>
          <w:b w:val="0"/>
          <w:color w:val="000000"/>
          <w:sz w:val="24"/>
        </w:rPr>
        <w:t>3 Agent 设计与诊断合同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4</w:t>
      </w:r>
    </w:p>
    <w:p>
      <w:pPr>
        <w:spacing w:line="240" w:lineRule="auto" w:after="40"/>
        <w:tabs>
          <w:tab w:val="right" w:leader="dot" w:pos="9072"/>
        </w:tabs>
        <w:ind w:leftChars="200"/>
      </w:pPr>
      <w:r>
        <w:rPr>
          <w:rFonts w:ascii="Times New Roman" w:hAnsi="Times New Roman" w:eastAsia="宋体"/>
          <w:b w:val="0"/>
          <w:color w:val="000000"/>
          <w:sz w:val="24"/>
        </w:rPr>
        <w:t>3.1 输入证据包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4</w:t>
      </w:r>
    </w:p>
    <w:p>
      <w:pPr>
        <w:spacing w:line="240" w:lineRule="auto" w:after="40"/>
        <w:tabs>
          <w:tab w:val="right" w:leader="dot" w:pos="9072"/>
        </w:tabs>
        <w:ind w:leftChars="200"/>
      </w:pPr>
      <w:r>
        <w:rPr>
          <w:rFonts w:ascii="Times New Roman" w:hAnsi="Times New Roman" w:eastAsia="宋体"/>
          <w:b w:val="0"/>
          <w:color w:val="000000"/>
          <w:sz w:val="24"/>
        </w:rPr>
        <w:t>3.2 决策输出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4</w:t>
      </w:r>
    </w:p>
    <w:p>
      <w:pPr>
        <w:spacing w:line="240" w:lineRule="auto" w:after="40"/>
        <w:tabs>
          <w:tab w:val="right" w:leader="dot" w:pos="9072"/>
        </w:tabs>
        <w:ind w:leftChars="200"/>
      </w:pPr>
      <w:r>
        <w:rPr>
          <w:rFonts w:ascii="Times New Roman" w:hAnsi="Times New Roman" w:eastAsia="宋体"/>
          <w:b w:val="0"/>
          <w:color w:val="000000"/>
          <w:sz w:val="24"/>
        </w:rPr>
        <w:t>3.3 本地校验合同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4</w:t>
      </w:r>
    </w:p>
    <w:p>
      <w:pPr>
        <w:spacing w:line="240" w:lineRule="auto" w:after="40"/>
        <w:tabs>
          <w:tab w:val="right" w:leader="dot" w:pos="9072"/>
        </w:tabs>
      </w:pPr>
      <w:r>
        <w:rPr>
          <w:rFonts w:ascii="Times New Roman" w:hAnsi="Times New Roman" w:eastAsia="宋体"/>
          <w:b w:val="0"/>
          <w:color w:val="000000"/>
          <w:sz w:val="24"/>
        </w:rPr>
        <w:t>4 系统架构与工程化实现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4</w:t>
      </w:r>
    </w:p>
    <w:p>
      <w:pPr>
        <w:spacing w:line="240" w:lineRule="auto" w:after="40"/>
        <w:tabs>
          <w:tab w:val="right" w:leader="dot" w:pos="9072"/>
        </w:tabs>
        <w:ind w:leftChars="200"/>
      </w:pPr>
      <w:r>
        <w:rPr>
          <w:rFonts w:ascii="Times New Roman" w:hAnsi="Times New Roman" w:eastAsia="宋体"/>
          <w:b w:val="0"/>
          <w:color w:val="000000"/>
          <w:sz w:val="24"/>
        </w:rPr>
        <w:t>4.1 调用链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4</w:t>
      </w:r>
    </w:p>
    <w:p>
      <w:pPr>
        <w:spacing w:line="240" w:lineRule="auto" w:after="40"/>
        <w:tabs>
          <w:tab w:val="right" w:leader="dot" w:pos="9072"/>
        </w:tabs>
        <w:ind w:leftChars="200"/>
      </w:pPr>
      <w:r>
        <w:rPr>
          <w:rFonts w:ascii="Times New Roman" w:hAnsi="Times New Roman" w:eastAsia="宋体"/>
          <w:b w:val="0"/>
          <w:color w:val="000000"/>
          <w:sz w:val="24"/>
        </w:rPr>
        <w:t>4.2 本地工具链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4</w:t>
      </w:r>
    </w:p>
    <w:p>
      <w:pPr>
        <w:spacing w:line="240" w:lineRule="auto" w:after="40"/>
        <w:tabs>
          <w:tab w:val="right" w:leader="dot" w:pos="9072"/>
        </w:tabs>
        <w:ind w:leftChars="200"/>
      </w:pPr>
      <w:r>
        <w:rPr>
          <w:rFonts w:ascii="Times New Roman" w:hAnsi="Times New Roman" w:eastAsia="宋体"/>
          <w:b w:val="0"/>
          <w:color w:val="000000"/>
          <w:sz w:val="24"/>
        </w:rPr>
        <w:t>4.3 工程化保障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4</w:t>
      </w:r>
    </w:p>
    <w:p>
      <w:pPr>
        <w:spacing w:line="240" w:lineRule="auto" w:after="40"/>
        <w:tabs>
          <w:tab w:val="right" w:leader="dot" w:pos="9072"/>
        </w:tabs>
      </w:pPr>
      <w:r>
        <w:rPr>
          <w:rFonts w:ascii="Times New Roman" w:hAnsi="Times New Roman" w:eastAsia="宋体"/>
          <w:b w:val="0"/>
          <w:color w:val="000000"/>
          <w:sz w:val="24"/>
        </w:rPr>
        <w:t>5 真实运行证据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5</w:t>
      </w:r>
    </w:p>
    <w:p>
      <w:pPr>
        <w:spacing w:line="240" w:lineRule="auto" w:after="40"/>
        <w:tabs>
          <w:tab w:val="right" w:leader="dot" w:pos="9072"/>
        </w:tabs>
        <w:ind w:leftChars="200"/>
      </w:pPr>
      <w:r>
        <w:rPr>
          <w:rFonts w:ascii="Times New Roman" w:hAnsi="Times New Roman" w:eastAsia="宋体"/>
          <w:b w:val="0"/>
          <w:color w:val="000000"/>
          <w:sz w:val="24"/>
        </w:rPr>
        <w:t>5.1 六轮真实 API 调用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5</w:t>
      </w:r>
    </w:p>
    <w:p>
      <w:pPr>
        <w:spacing w:line="240" w:lineRule="auto" w:after="40"/>
        <w:tabs>
          <w:tab w:val="right" w:leader="dot" w:pos="9072"/>
        </w:tabs>
        <w:ind w:leftChars="200"/>
      </w:pPr>
      <w:r>
        <w:rPr>
          <w:rFonts w:ascii="Times New Roman" w:hAnsi="Times New Roman" w:eastAsia="宋体"/>
          <w:b w:val="0"/>
          <w:color w:val="000000"/>
          <w:sz w:val="24"/>
        </w:rPr>
        <w:t>5.2 补证闭环行为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5</w:t>
      </w:r>
    </w:p>
    <w:p>
      <w:pPr>
        <w:spacing w:line="240" w:lineRule="auto" w:after="40"/>
        <w:tabs>
          <w:tab w:val="right" w:leader="dot" w:pos="9072"/>
        </w:tabs>
      </w:pPr>
      <w:r>
        <w:rPr>
          <w:rFonts w:ascii="Times New Roman" w:hAnsi="Times New Roman" w:eastAsia="宋体"/>
          <w:b w:val="0"/>
          <w:color w:val="000000"/>
          <w:sz w:val="24"/>
        </w:rPr>
        <w:t>6 安全与可信设计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5</w:t>
      </w:r>
    </w:p>
    <w:p>
      <w:pPr>
        <w:spacing w:line="240" w:lineRule="auto" w:after="40"/>
        <w:tabs>
          <w:tab w:val="right" w:leader="dot" w:pos="9072"/>
        </w:tabs>
      </w:pPr>
      <w:r>
        <w:rPr>
          <w:rFonts w:ascii="Times New Roman" w:hAnsi="Times New Roman" w:eastAsia="宋体"/>
          <w:b w:val="0"/>
          <w:color w:val="000000"/>
          <w:sz w:val="24"/>
        </w:rPr>
        <w:t>7 商业价值与应用前景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6</w:t>
      </w:r>
    </w:p>
    <w:p>
      <w:pPr>
        <w:spacing w:line="240" w:lineRule="auto" w:after="40"/>
        <w:tabs>
          <w:tab w:val="right" w:leader="dot" w:pos="9072"/>
        </w:tabs>
      </w:pPr>
      <w:r>
        <w:rPr>
          <w:rFonts w:ascii="Times New Roman" w:hAnsi="Times New Roman" w:eastAsia="宋体"/>
          <w:b w:val="0"/>
          <w:color w:val="000000"/>
          <w:sz w:val="24"/>
        </w:rPr>
        <w:t>8 边界声明</w:t>
      </w:r>
      <w:r>
        <w:rPr>
          <w:rFonts w:ascii="Times New Roman" w:hAnsi="Times New Roman" w:eastAsia="宋体"/>
          <w:b w:val="0"/>
          <w:color w:val="000000"/>
          <w:sz w:val="24"/>
        </w:rPr>
        <w:tab/>
        <w:t>6</w:t>
      </w:r>
    </w:p>
    <w:p>
      <w:pPr>
        <w:spacing w:line="240" w:lineRule="auto"/>
      </w:pPr>
      <w:r>
        <w:fldChar w:fldCharType="end"/>
      </w:r>
    </w:p>
    <w:p>
      <w:r>
        <w:br w:type="page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jc w:val="left"/>
        <w:keepNext/>
        <w:keepLines/>
      </w:pPr>
      <w:r>
        <w:rPr>
          <w:rFonts w:ascii="Times New Roman" w:hAnsi="Times New Roman" w:eastAsia="黑体"/>
          <w:b/>
          <w:color w:val="000000"/>
          <w:sz w:val="32"/>
        </w:rPr>
        <w:t>1 项目概述</w:t>
      </w:r>
    </w:p>
    <w:p>
      <w:pPr>
        <w:pStyle w:val="Heading2"/>
        <w:jc w:val="left"/>
        <w:keepNext/>
        <w:keepLines/>
      </w:pPr>
      <w:r>
        <w:rPr>
          <w:rFonts w:ascii="Times New Roman" w:hAnsi="Times New Roman" w:eastAsia="黑体"/>
          <w:b/>
          <w:color w:val="000000"/>
          <w:sz w:val="28"/>
        </w:rPr>
        <w:t>1.1 背景</w:t>
      </w:r>
    </w:p>
    <w:p>
      <w:pPr>
        <w:ind w:firstLineChars="200" w:firstLine="480"/>
      </w:pPr>
      <w:r>
        <w:t>充储场站（储能与充电一体）在运行中常出现多设备功率异常告警。现场可用的证据分散在遥测、拓扑、调度记录与告警日志中，运维人员难以快速、可信地判定根因候选，误判会直接导致处置方向错误。本作品以「证据驱动、只读查询、人工审批」为原则，构建一个面向充储场站告警证据链诊断的智能体。</w:t>
      </w:r>
    </w:p>
    <w:p>
      <w:pPr>
        <w:pStyle w:val="Heading2"/>
        <w:jc w:val="left"/>
        <w:keepNext/>
        <w:keepLines/>
      </w:pPr>
      <w:r>
        <w:rPr>
          <w:rFonts w:ascii="Times New Roman" w:hAnsi="Times New Roman" w:eastAsia="黑体"/>
          <w:b/>
          <w:color w:val="000000"/>
          <w:sz w:val="28"/>
        </w:rPr>
        <w:t>1.2 作品定位</w:t>
      </w:r>
    </w:p>
    <w:p>
      <w:pPr>
        <w:ind w:firstLineChars="200" w:firstLine="480"/>
      </w:pPr>
      <w:r>
        <w:t>在万智平台发布专属员工「Saker Energy 充储场站证据诊断助手」（Agent ID：d86bc562cb9b450b，version 3），通过万智开放 API（https://www.wanzhi.com/app/api/v1/open-api）接入本地工具链，实现「证据不足不妄断、主动请求只读补证、无法定论转人工」的诊断闭环。</w:t>
      </w:r>
    </w:p>
    <w:p>
      <w:pPr>
        <w:pStyle w:val="Heading2"/>
        <w:jc w:val="left"/>
        <w:keepNext/>
        <w:keepLines/>
      </w:pPr>
      <w:r>
        <w:rPr>
          <w:rFonts w:ascii="Times New Roman" w:hAnsi="Times New Roman" w:eastAsia="黑体"/>
          <w:b/>
          <w:color w:val="000000"/>
          <w:sz w:val="28"/>
        </w:rPr>
        <w:t>1.3 核心成果</w:t>
      </w:r>
    </w:p>
    <w:p>
      <w:pPr>
        <w:ind w:firstLineChars="200" w:firstLine="480"/>
      </w:pPr>
      <w:r>
        <w:t>已完成 6 轮真实 API 调用，全部通过本地 Schema 与语义合同校验（VALIDATED_ADVISORY）；其中一轮完整验证了补证闭环：智能体请求只读补证 → 本地执行模拟遥测查询 → 结果回发同一会话 → 智能体基于新证据修订候选并正确使用反证，最终因预算与证据价值耗尽转人工核验。</w:t>
      </w:r>
    </w:p>
    <w:p>
      <w:pPr>
        <w:pStyle w:val="Heading1"/>
        <w:jc w:val="left"/>
        <w:keepNext/>
        <w:keepLines/>
      </w:pPr>
      <w:r>
        <w:rPr>
          <w:rFonts w:ascii="Times New Roman" w:hAnsi="Times New Roman" w:eastAsia="黑体"/>
          <w:b/>
          <w:color w:val="000000"/>
          <w:sz w:val="32"/>
        </w:rPr>
        <w:t>2 业务场景与问题定义</w:t>
      </w:r>
    </w:p>
    <w:p>
      <w:pPr>
        <w:pStyle w:val="Heading2"/>
        <w:jc w:val="left"/>
        <w:keepNext/>
        <w:keepLines/>
      </w:pPr>
      <w:r>
        <w:rPr>
          <w:rFonts w:ascii="Times New Roman" w:hAnsi="Times New Roman" w:eastAsia="黑体"/>
          <w:b/>
          <w:color w:val="000000"/>
          <w:sz w:val="28"/>
        </w:rPr>
        <w:t>2.1 典型场景</w:t>
      </w:r>
    </w:p>
    <w:p>
      <w:pPr>
        <w:ind w:firstLineChars="200" w:firstLine="480"/>
      </w:pPr>
      <w:r>
        <w:t>参考拓扑：10kV 进线 → 变压器降压 → 0.4kV 母线 BUS-B，母线下挂 500kW/1000kWh 储能柜（ESS-01）、500kW 储能变流器（PCS-01）、120kW 双枪充电桩（CP-05）及母线电压测点 METER-01（额定 380V，运行范围 ±7%）。</w:t>
      </w:r>
    </w:p>
    <w:p>
      <w:pPr>
        <w:pStyle w:val="Heading2"/>
        <w:jc w:val="left"/>
        <w:keepNext/>
        <w:keepLines/>
      </w:pPr>
      <w:r>
        <w:rPr>
          <w:rFonts w:ascii="Times New Roman" w:hAnsi="Times New Roman" w:eastAsia="黑体"/>
          <w:b/>
          <w:color w:val="000000"/>
          <w:sz w:val="28"/>
        </w:rPr>
        <w:t>2.2 待解问题</w:t>
      </w:r>
    </w:p>
    <w:p>
      <w:pPr>
        <w:ind w:firstLineChars="200" w:firstLine="480"/>
      </w:pPr>
      <w:r>
        <w:t>在某 1 分钟时间窗内，PCS-01 充电功率由 180kW 降至 110kW、CP-05 由 96kW 降至 60kW，两者同属 BUS-B。仅凭两项功率证据无法区分：上游供电受限/母线电压异常、站级调度限功率/峰谷策略、测点时间戳或读数质量异常等候选原因。</w:t>
      </w:r>
    </w:p>
    <w:p>
      <w:pPr>
        <w:pStyle w:val="Heading2"/>
        <w:jc w:val="left"/>
        <w:keepNext/>
        <w:keepLines/>
      </w:pPr>
      <w:r>
        <w:rPr>
          <w:rFonts w:ascii="Times New Roman" w:hAnsi="Times New Roman" w:eastAsia="黑体"/>
          <w:b/>
          <w:color w:val="000000"/>
          <w:sz w:val="28"/>
        </w:rPr>
        <w:t>2.3 诊断合同（防误判约束）</w:t>
      </w:r>
    </w:p>
    <w:p>
      <w:pPr>
        <w:ind w:firstLineChars="200" w:firstLine="480"/>
      </w:pPr>
      <w:r>
        <w:t>智能体输出必须遵守：证据不足时 abstain=true，不做确定性根因结论；候选原因只能引用输入证据；补证请求仅限白名单只读查询并受查询预算约束；缺失数据返回 missing、不编造读数；母线电压正常不能直接证明调度限功率；无法定论时输出人工核验清单。</w:t>
      </w:r>
    </w:p>
    <w:p>
      <w:pPr>
        <w:pStyle w:val="Heading1"/>
        <w:jc w:val="left"/>
        <w:keepNext/>
        <w:keepLines/>
      </w:pPr>
      <w:r>
        <w:rPr>
          <w:rFonts w:ascii="Times New Roman" w:hAnsi="Times New Roman" w:eastAsia="黑体"/>
          <w:b/>
          <w:color w:val="000000"/>
          <w:sz w:val="32"/>
        </w:rPr>
        <w:t>3 Agent 设计与诊断合同</w:t>
      </w:r>
    </w:p>
    <w:p>
      <w:pPr>
        <w:pStyle w:val="Heading2"/>
        <w:jc w:val="left"/>
        <w:keepNext/>
        <w:keepLines/>
      </w:pPr>
      <w:r>
        <w:rPr>
          <w:rFonts w:ascii="Times New Roman" w:hAnsi="Times New Roman" w:eastAsia="黑体"/>
          <w:b/>
          <w:color w:val="000000"/>
          <w:sz w:val="28"/>
        </w:rPr>
        <w:t>3.1 输入证据包</w:t>
      </w:r>
    </w:p>
    <w:p>
      <w:pPr>
        <w:ind w:firstLineChars="200" w:firstLine="480"/>
      </w:pPr>
      <w:r>
        <w:t>每次诊断输入为一个结构化证据包（JSON），字段包括：schema_version、event_id、input_revision、round_id、trace_id、data_origin、window（时间窗）、evidence（测点/量纲/采样/质量/来源）、missing_information、available_queries（白名单只读查询）与 query_budget_remaining。示例见 evidence-package.example.json 与 industry-demo.input.json。</w:t>
      </w:r>
    </w:p>
    <w:p>
      <w:pPr>
        <w:pStyle w:val="Heading2"/>
        <w:jc w:val="left"/>
        <w:keepNext/>
        <w:keepLines/>
      </w:pPr>
      <w:r>
        <w:rPr>
          <w:rFonts w:ascii="Times New Roman" w:hAnsi="Times New Roman" w:eastAsia="黑体"/>
          <w:b/>
          <w:color w:val="000000"/>
          <w:sz w:val="28"/>
        </w:rPr>
        <w:t>3.2 决策输出</w:t>
      </w:r>
    </w:p>
    <w:p>
      <w:pPr>
        <w:ind w:firstLineChars="200" w:firstLine="480"/>
      </w:pPr>
      <w:r>
        <w:t>智能体输出决策 JSON，字段包括：status（NEEDS_EVIDENCE/NEEDS_HUMAN）、abstain、summary、hypotheses（候选原因及支持/反证证据引用）、requested_evidence（补证请求及理由）、human_checks（人工核验清单）。完整约束见 decision.schema.json。</w:t>
      </w:r>
    </w:p>
    <w:p>
      <w:pPr>
        <w:pStyle w:val="Heading2"/>
        <w:jc w:val="left"/>
        <w:keepNext/>
        <w:keepLines/>
      </w:pPr>
      <w:r>
        <w:rPr>
          <w:rFonts w:ascii="Times New Roman" w:hAnsi="Times New Roman" w:eastAsia="黑体"/>
          <w:b/>
          <w:color w:val="000000"/>
          <w:sz w:val="28"/>
        </w:rPr>
        <w:t>3.3 本地校验合同</w:t>
      </w:r>
    </w:p>
    <w:p>
      <w:pPr>
        <w:ind w:firstLineChars="200" w:firstLine="480"/>
      </w:pPr>
      <w:r>
        <w:t>本地工具链对每个真实输出执行 Schema 校验与语义校验：轮次/事件/数据源与输入一致、证据引用不越界、支持与反证不重叠、补证请求受预算约束、低质量证据必须 abstain、禁止确认物理根因（advisory 模式）。</w:t>
      </w:r>
    </w:p>
    <w:p>
      <w:pPr>
        <w:pStyle w:val="Heading1"/>
        <w:jc w:val="left"/>
        <w:keepNext/>
        <w:keepLines/>
      </w:pPr>
      <w:r>
        <w:rPr>
          <w:rFonts w:ascii="Times New Roman" w:hAnsi="Times New Roman" w:eastAsia="黑体"/>
          <w:b/>
          <w:color w:val="000000"/>
          <w:sz w:val="32"/>
        </w:rPr>
        <w:t>4 系统架构与工程化实现</w:t>
      </w:r>
    </w:p>
    <w:p>
      <w:pPr>
        <w:pStyle w:val="Heading2"/>
        <w:jc w:val="left"/>
        <w:keepNext/>
        <w:keepLines/>
      </w:pPr>
      <w:r>
        <w:rPr>
          <w:rFonts w:ascii="Times New Roman" w:hAnsi="Times New Roman" w:eastAsia="黑体"/>
          <w:b/>
          <w:color w:val="000000"/>
          <w:sz w:val="28"/>
        </w:rPr>
        <w:t>4.1 调用链</w:t>
      </w:r>
    </w:p>
    <w:p>
      <w:pPr>
        <w:ind w:firstLineChars="200" w:firstLine="480"/>
      </w:pPr>
      <w:r>
        <w:t>整体链路：Next.js 大屏 → Go 任务 API（规划）→ Python 万智适配器 → 万智开放 API。适配器以 SSE 流式接收模型输出（text / reasoning / message_result / finish_reason），完成事件为 finish_reason；多轮补证在同一会话内进行，不重复创建会话。</w:t>
      </w:r>
    </w:p>
    <w:p>
      <w:pPr>
        <w:pStyle w:val="Heading2"/>
        <w:jc w:val="left"/>
        <w:keepNext/>
        <w:keepLines/>
      </w:pPr>
      <w:r>
        <w:rPr>
          <w:rFonts w:ascii="Times New Roman" w:hAnsi="Times New Roman" w:eastAsia="黑体"/>
          <w:b/>
          <w:color w:val="000000"/>
          <w:sz w:val="28"/>
        </w:rPr>
        <w:t>4.2 本地工具链</w:t>
      </w:r>
    </w:p>
    <w:p>
      <w:pPr>
        <w:ind w:firstLineChars="200" w:firstLine="480"/>
      </w:pPr>
      <w:r>
        <w:t>backend/wanzhi.py 提供命令行：--configure（密钥加密录入）、--check、--probe（只读探测）、--validate（离线校验）、--run（单轮真实调用）、--resume（只读对账、绝不重发）、--followup（补证闭环第二轮）。密钥经 Windows DPAPI 加密存于 backend/.private（gitignore）；所有输出经 redact 脱敏。</w:t>
      </w:r>
    </w:p>
    <w:p>
      <w:pPr>
        <w:pStyle w:val="Heading2"/>
        <w:jc w:val="left"/>
        <w:keepNext/>
        <w:keepLines/>
      </w:pPr>
      <w:r>
        <w:rPr>
          <w:rFonts w:ascii="Times New Roman" w:hAnsi="Times New Roman" w:eastAsia="黑体"/>
          <w:b/>
          <w:color w:val="000000"/>
          <w:sz w:val="28"/>
        </w:rPr>
        <w:t>4.3 工程化保障</w:t>
      </w:r>
    </w:p>
    <w:p>
      <w:pPr>
        <w:ind w:firstLineChars="200" w:firstLine="480"/>
      </w:pPr>
      <w:r>
        <w:t>本地单元测试 50 项（合同、传输、检查点、凭据）全部通过；失败状态机区分 UNKNOWN_REMOTE_STATE（创建/发送阶段不确定）与 RESULT_NOT_VALIDATED（结果未通过校验），不重发、可对账；历史提交经密钥扫描确认无真实凭据入库。</w:t>
      </w:r>
    </w:p>
    <w:p>
      <w:pPr>
        <w:pStyle w:val="Heading1"/>
        <w:jc w:val="left"/>
        <w:keepNext/>
        <w:keepLines/>
      </w:pPr>
      <w:r>
        <w:rPr>
          <w:rFonts w:ascii="Times New Roman" w:hAnsi="Times New Roman" w:eastAsia="黑体"/>
          <w:b/>
          <w:color w:val="000000"/>
          <w:sz w:val="32"/>
        </w:rPr>
        <w:t>5 真实运行证据</w:t>
      </w:r>
    </w:p>
    <w:p>
      <w:pPr>
        <w:pStyle w:val="Heading2"/>
        <w:jc w:val="left"/>
        <w:keepNext/>
        <w:keepLines/>
      </w:pPr>
      <w:r>
        <w:rPr>
          <w:rFonts w:ascii="Times New Roman" w:hAnsi="Times New Roman" w:eastAsia="黑体"/>
          <w:b/>
          <w:color w:val="000000"/>
          <w:sz w:val="28"/>
        </w:rPr>
        <w:t>5.1 六轮真实 API 调用</w:t>
      </w:r>
    </w:p>
    <w:p>
      <w:pPr>
        <w:spacing w:after="160" w:before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 真实 API 调用汇总（全部 VALIDATED_ADVISORY）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794"/>
            <w:vAlign w:val="center"/>
            <w:shd w:val="clear" w:fill="D9D9D9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轮次</w:t>
            </w:r>
          </w:p>
        </w:tc>
        <w:tc>
          <w:tcPr>
            <w:tcW w:type="dxa" w:w="2608"/>
            <w:vAlign w:val="center"/>
            <w:shd w:val="clear" w:fill="D9D9D9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2381"/>
            <w:vAlign w:val="center"/>
            <w:shd w:val="clear" w:fill="D9D9D9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session_id</w:t>
            </w:r>
          </w:p>
        </w:tc>
        <w:tc>
          <w:tcPr>
            <w:tcW w:type="dxa" w:w="2381"/>
            <w:vAlign w:val="center"/>
            <w:shd w:val="clear" w:fill="D9D9D9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decision</w:t>
            </w:r>
          </w:p>
        </w:tc>
        <w:tc>
          <w:tcPr>
            <w:tcW w:type="dxa" w:w="1474"/>
            <w:vAlign w:val="center"/>
            <w:shd w:val="clear" w:fill="D9D9D9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完成事件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合成样例·多设备功率下降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d3e07a0294e1430b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NEEDS_EVIDENCE·请求Q01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finish_reason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合成·查询预算耗尽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cf66bbd4c90c48c5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NEEDS_HUMAN·转人工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finish_reason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合成·电压400→360V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a77b2f735ff44247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NEEDS_HUMAN·转人工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finish_reason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合成·电压缺失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b3ed93633ed24106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NEEDS_HUMAN·不编造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finish_reason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行业·BUS-B功率下降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8f8b1405cefe45c7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NEEDS_EVIDENCE·请求Q01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finish_reason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行业·补证闭环（同会话）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8f8b1405cefe45c7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NEEDS_HUMAN·修订转人工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finish_reason</w:t>
            </w:r>
          </w:p>
        </w:tc>
      </w:tr>
    </w:tbl>
    <w:p>
      <w:pPr>
        <w:ind w:firstLineChars="200" w:firstLine="480"/>
      </w:pPr>
      <w:r>
        <w:t>观测到的 SSE 单轮帧数：1124（轮1）、1087（轮5）、1008（轮6）。真实鉴权契约：model_api_key 字段必填，取值须为有效模型调用凭据（大赛发放的大模型 API Key）；平台 OpenAPI Key 与 Agent 专属 Key 均被模型侧拒绝，过程与适配已记录在 observations。</w:t>
      </w:r>
    </w:p>
    <w:p>
      <w:pPr>
        <w:pStyle w:val="Heading2"/>
        <w:jc w:val="left"/>
        <w:keepNext/>
        <w:keepLines/>
      </w:pPr>
      <w:r>
        <w:rPr>
          <w:rFonts w:ascii="Times New Roman" w:hAnsi="Times New Roman" w:eastAsia="黑体"/>
          <w:b/>
          <w:color w:val="000000"/>
          <w:sz w:val="28"/>
        </w:rPr>
        <w:t>5.2 补证闭环行为</w:t>
      </w:r>
    </w:p>
    <w:p>
      <w:pPr>
        <w:spacing w:after="160" w:before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 行业场景两轮行为对比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1361"/>
            <w:vAlign w:val="center"/>
            <w:shd w:val="clear" w:fill="D9D9D9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维度</w:t>
            </w:r>
          </w:p>
        </w:tc>
        <w:tc>
          <w:tcPr>
            <w:tcW w:type="dxa" w:w="3969"/>
            <w:vAlign w:val="center"/>
            <w:shd w:val="clear" w:fill="D9D9D9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首轮（轮5）</w:t>
            </w:r>
          </w:p>
        </w:tc>
        <w:tc>
          <w:tcPr>
            <w:tcW w:type="dxa" w:w="3969"/>
            <w:vAlign w:val="center"/>
            <w:shd w:val="clear" w:fill="D9D9D9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补证第二轮（轮6）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E01/E02/E03，缺母线电压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+E04：母线电压396V（本地只读模拟）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候选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H1上游供电 / H2站级调度 / H3测量对时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H1保留但增加 against=[E04]；H2不误升；H3保留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补证请求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Q01（读METER-01母线电压）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无：Q01已执行、重复读取无新增价值，转人工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结论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NEEDS_EVIDENCE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NEEDS_HUMAN（7项人工核验）</w:t>
            </w:r>
          </w:p>
        </w:tc>
      </w:tr>
    </w:tbl>
    <w:p>
      <w:pPr>
        <w:ind w:firstLineChars="200" w:firstLine="480"/>
      </w:pPr>
      <w:r>
        <w:t>第二轮的关键修订行为符合诊断合同：母线电压正常削弱了「电压异常」分支（正确使用反证），但不据此升级「调度限功率」候选；对单点模拟读数主动标注需交叉验证；预算与证据价值评估后不再请求补证，转人工核验。</w:t>
      </w:r>
    </w:p>
    <w:p>
      <w:pPr>
        <w:pStyle w:val="Heading1"/>
        <w:jc w:val="left"/>
        <w:keepNext/>
        <w:keepLines/>
      </w:pPr>
      <w:r>
        <w:rPr>
          <w:rFonts w:ascii="Times New Roman" w:hAnsi="Times New Roman" w:eastAsia="黑体"/>
          <w:b/>
          <w:color w:val="000000"/>
          <w:sz w:val="32"/>
        </w:rPr>
        <w:t>6 安全与可信设计</w:t>
      </w:r>
    </w:p>
    <w:p>
      <w:pPr>
        <w:ind w:firstLineChars="200" w:firstLine="480"/>
      </w:pPr>
      <w:r>
        <w:t>本作品面向工业现场，安全边界明确：只读查询白名单（telemetry_window 等），不含任何设备控制指令；无法定论时强制转人工核验（human_checks）；证据来源可追溯（data_origin/source/provenance，模拟值显式标注）；密钥仅存服务端加密配置，不入前端与公开仓库。</w:t>
      </w:r>
    </w:p>
    <w:p>
      <w:pPr>
        <w:pStyle w:val="Heading1"/>
        <w:jc w:val="left"/>
        <w:keepNext/>
        <w:keepLines/>
      </w:pPr>
      <w:r>
        <w:rPr>
          <w:rFonts w:ascii="Times New Roman" w:hAnsi="Times New Roman" w:eastAsia="黑体"/>
          <w:b/>
          <w:color w:val="000000"/>
          <w:sz w:val="32"/>
        </w:rPr>
        <w:t>7 商业价值与应用前景</w:t>
      </w:r>
    </w:p>
    <w:p>
      <w:pPr>
        <w:ind w:firstLineChars="200" w:firstLine="480"/>
      </w:pPr>
      <w:r>
        <w:t>充储场站与充电网络规模扩张，告警处置依赖经验且耗时。本作品将「证据→候选→补证→人工」的诊断流程标准化：一次诊断输出可核验的候选与补证清单，减少漏判与误判；Agent 与本地合同可跨场站复用；与工单、大屏联动后可形成告警处置闭环。满足大赛对万智平台的使用要求：已发布 Agent、完成与实际业务直接相关的智能体任务（真实 API 证据诊断），并提供公开 URL 供评审访问。</w:t>
      </w:r>
    </w:p>
    <w:p>
      <w:pPr>
        <w:pStyle w:val="Heading1"/>
        <w:jc w:val="left"/>
        <w:keepNext/>
        <w:keepLines/>
      </w:pPr>
      <w:r>
        <w:rPr>
          <w:rFonts w:ascii="Times New Roman" w:hAnsi="Times New Roman" w:eastAsia="黑体"/>
          <w:b/>
          <w:color w:val="000000"/>
          <w:sz w:val="32"/>
        </w:rPr>
        <w:t>8 边界声明</w:t>
      </w:r>
    </w:p>
    <w:p>
      <w:pPr>
        <w:ind w:firstLineChars="200" w:firstLine="480"/>
      </w:pPr>
      <w:r>
        <w:t>演示输入为手工构造的合成样例（SYNTHETIC_DEVELOPMENT_FIXTURE）与参照典型充储场站参数构造的行业演示数据（INDUSTRY_DEMO_FIXTURE），均非真实场站遥测；E04 电压为本地声明 fixture 的模拟读数，输出中已由模型标注。作品真实 API 调用范围限于只读证据诊断，未部署任何设备控制能力。</w:t>
      </w:r>
    </w:p>
    <w:p>
      <w:pPr>
        <w:ind w:firstLineChars="200" w:firstLine="480"/>
      </w:pPr>
      <w:r>
        <w:t>参考资料：云桥杯大赛官网（https://yunqiao.jpx.com/cup/）、万智开放 API（https://www.wanzhi.com/app/api/v1/open-api）、仓库 docs/integrations/wanzhi/README.md 与 observations/*.md、decision.schema.json。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