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C54E91" w14:textId="77777777" w:rsidR="00C039D7" w:rsidRDefault="00C039D7" w:rsidP="00141231">
      <w:pPr>
        <w:pStyle w:val="Heading1"/>
      </w:pPr>
      <w:r>
        <w:t xml:space="preserve">Strategic Choice in Universities: Managerial Agency and Effective Technology Transfer </w:t>
      </w:r>
    </w:p>
    <w:p w14:paraId="4763ED70" w14:textId="77777777" w:rsidR="00C039D7" w:rsidRDefault="00C039D7" w:rsidP="00141231"/>
    <w:p w14:paraId="5F98B694" w14:textId="146B2C25" w:rsidR="00C039D7" w:rsidRDefault="00C039D7" w:rsidP="00141231">
      <w:r>
        <w:t>Mr. Sam Horner</w:t>
      </w:r>
      <w:r w:rsidR="00141231">
        <w:t xml:space="preserve"> (</w:t>
      </w:r>
      <w:r w:rsidR="00141231">
        <w:rPr>
          <w:i/>
        </w:rPr>
        <w:t>Corresponding Author)</w:t>
      </w:r>
      <w:r>
        <w:t xml:space="preserve">, University of Liverpool Management School, Liverpool, United Kingdom, </w:t>
      </w:r>
      <w:hyperlink r:id="rId8" w:history="1">
        <w:r w:rsidRPr="0040591B">
          <w:rPr>
            <w:rStyle w:val="Hyperlink"/>
          </w:rPr>
          <w:t>s.horner@liverpool.ac.uk</w:t>
        </w:r>
      </w:hyperlink>
      <w:r>
        <w:t xml:space="preserve"> </w:t>
      </w:r>
    </w:p>
    <w:p w14:paraId="00A14441" w14:textId="77777777" w:rsidR="00C039D7" w:rsidRDefault="00C039D7" w:rsidP="00141231">
      <w:proofErr w:type="spellStart"/>
      <w:r>
        <w:t>Dr.</w:t>
      </w:r>
      <w:proofErr w:type="spellEnd"/>
      <w:r>
        <w:t xml:space="preserve"> Dilani Jayawarna, University of Liverpool Management School, Liverpool, United Kingdom, </w:t>
      </w:r>
      <w:hyperlink r:id="rId9" w:history="1">
        <w:r w:rsidRPr="0040591B">
          <w:rPr>
            <w:rStyle w:val="Hyperlink"/>
          </w:rPr>
          <w:t>D.Jayawarna@liverpool.ac.uk</w:t>
        </w:r>
      </w:hyperlink>
      <w:r>
        <w:t xml:space="preserve"> </w:t>
      </w:r>
    </w:p>
    <w:p w14:paraId="46613E06" w14:textId="0718D29C" w:rsidR="00C039D7" w:rsidRDefault="003B16AA" w:rsidP="00141231">
      <w:pPr>
        <w:rPr>
          <w:rStyle w:val="Hyperlink"/>
        </w:rPr>
      </w:pPr>
      <w:proofErr w:type="spellStart"/>
      <w:r>
        <w:t>Dr.</w:t>
      </w:r>
      <w:proofErr w:type="spellEnd"/>
      <w:r>
        <w:t xml:space="preserve"> Benito Giordano, University of Liverpool Management School, Liverpool, United Kingdom, </w:t>
      </w:r>
      <w:hyperlink r:id="rId10" w:history="1">
        <w:r w:rsidRPr="0040591B">
          <w:rPr>
            <w:rStyle w:val="Hyperlink"/>
          </w:rPr>
          <w:t>B.Giordano@liverpool.ac.uk</w:t>
        </w:r>
      </w:hyperlink>
    </w:p>
    <w:p w14:paraId="66FFDA37" w14:textId="77777777" w:rsidR="00637FD4" w:rsidRDefault="00637FD4" w:rsidP="00141231">
      <w:proofErr w:type="spellStart"/>
      <w:r>
        <w:t>Prof.</w:t>
      </w:r>
      <w:proofErr w:type="spellEnd"/>
      <w:r>
        <w:t xml:space="preserve"> Oswald Jones, University of Liverpool Management School, Liverpool, United Kingdom, </w:t>
      </w:r>
      <w:hyperlink r:id="rId11" w:history="1">
        <w:r w:rsidRPr="0040591B">
          <w:rPr>
            <w:rStyle w:val="Hyperlink"/>
          </w:rPr>
          <w:t>O.Jones@liverpool.ac.uk</w:t>
        </w:r>
      </w:hyperlink>
    </w:p>
    <w:p w14:paraId="5E5466FD" w14:textId="77777777" w:rsidR="00637FD4" w:rsidRDefault="00637FD4" w:rsidP="00141231">
      <w:pPr>
        <w:rPr>
          <w:rStyle w:val="Hyperlink"/>
        </w:rPr>
      </w:pPr>
    </w:p>
    <w:p w14:paraId="18A79993" w14:textId="77777777" w:rsidR="003B16AA" w:rsidRDefault="003B16AA" w:rsidP="00141231">
      <w:pPr>
        <w:rPr>
          <w:b/>
        </w:rPr>
      </w:pPr>
    </w:p>
    <w:p w14:paraId="1B954160" w14:textId="77777777" w:rsidR="00C039D7" w:rsidRDefault="00C039D7" w:rsidP="00141231">
      <w:pPr>
        <w:outlineLvl w:val="0"/>
        <w:rPr>
          <w:b/>
        </w:rPr>
      </w:pPr>
      <w:r w:rsidRPr="00DA71B4">
        <w:rPr>
          <w:b/>
        </w:rPr>
        <w:t xml:space="preserve">Abstract </w:t>
      </w:r>
    </w:p>
    <w:p w14:paraId="47F9C782" w14:textId="77777777" w:rsidR="00C039D7" w:rsidRPr="009E3DE8" w:rsidRDefault="00C039D7" w:rsidP="00141231">
      <w:pPr>
        <w:spacing w:line="360" w:lineRule="auto"/>
        <w:rPr>
          <w:rFonts w:ascii="Times New Roman" w:hAnsi="Times New Roman" w:cs="Times New Roman"/>
        </w:rPr>
      </w:pPr>
      <w:r>
        <w:rPr>
          <w:rFonts w:ascii="Times New Roman" w:hAnsi="Times New Roman" w:cs="Times New Roman"/>
        </w:rPr>
        <w:t>Current theoris</w:t>
      </w:r>
      <w:r w:rsidRPr="009E3DE8">
        <w:rPr>
          <w:rFonts w:ascii="Times New Roman" w:hAnsi="Times New Roman" w:cs="Times New Roman"/>
        </w:rPr>
        <w:t>ing about the contingencies underpinning the effectiveness of uni</w:t>
      </w:r>
      <w:r>
        <w:rPr>
          <w:rFonts w:ascii="Times New Roman" w:hAnsi="Times New Roman" w:cs="Times New Roman"/>
        </w:rPr>
        <w:t>versity technology transfer has</w:t>
      </w:r>
      <w:r w:rsidRPr="009E3DE8">
        <w:rPr>
          <w:rFonts w:ascii="Times New Roman" w:hAnsi="Times New Roman" w:cs="Times New Roman"/>
        </w:rPr>
        <w:t xml:space="preserve"> emphasised the importance of organisational support, namely the scale of T</w:t>
      </w:r>
      <w:r>
        <w:rPr>
          <w:rFonts w:ascii="Times New Roman" w:hAnsi="Times New Roman" w:cs="Times New Roman"/>
        </w:rPr>
        <w:t xml:space="preserve">echnology </w:t>
      </w:r>
      <w:r w:rsidRPr="009E3DE8">
        <w:rPr>
          <w:rFonts w:ascii="Times New Roman" w:hAnsi="Times New Roman" w:cs="Times New Roman"/>
        </w:rPr>
        <w:t>T</w:t>
      </w:r>
      <w:r>
        <w:rPr>
          <w:rFonts w:ascii="Times New Roman" w:hAnsi="Times New Roman" w:cs="Times New Roman"/>
        </w:rPr>
        <w:t xml:space="preserve">ransfer </w:t>
      </w:r>
      <w:r w:rsidRPr="009E3DE8">
        <w:rPr>
          <w:rFonts w:ascii="Times New Roman" w:hAnsi="Times New Roman" w:cs="Times New Roman"/>
        </w:rPr>
        <w:t>O</w:t>
      </w:r>
      <w:r>
        <w:rPr>
          <w:rFonts w:ascii="Times New Roman" w:hAnsi="Times New Roman" w:cs="Times New Roman"/>
        </w:rPr>
        <w:t>ffice (TTO)</w:t>
      </w:r>
      <w:r w:rsidRPr="009E3DE8">
        <w:rPr>
          <w:rFonts w:ascii="Times New Roman" w:hAnsi="Times New Roman" w:cs="Times New Roman"/>
        </w:rPr>
        <w:t xml:space="preserve"> support and the provision of incentives. Empirical results pertaining to the effects of these organisational supports are mixed. More recently, academic resea</w:t>
      </w:r>
      <w:r>
        <w:rPr>
          <w:rFonts w:ascii="Times New Roman" w:hAnsi="Times New Roman" w:cs="Times New Roman"/>
        </w:rPr>
        <w:t>rch and policy reviews have</w:t>
      </w:r>
      <w:r w:rsidRPr="009E3DE8">
        <w:rPr>
          <w:rFonts w:ascii="Times New Roman" w:hAnsi="Times New Roman" w:cs="Times New Roman"/>
        </w:rPr>
        <w:t xml:space="preserve"> highlighted the potential significance of the strategic choices made by university managers in contributing to the effectiveness of technology transfer activity. Our research attempts to reconcile these two streams of technology transfer research by drawing on Child’s strategic choice</w:t>
      </w:r>
      <w:r>
        <w:rPr>
          <w:rFonts w:ascii="Times New Roman" w:hAnsi="Times New Roman" w:cs="Times New Roman"/>
        </w:rPr>
        <w:t xml:space="preserve"> theory as an integrating framework</w:t>
      </w:r>
      <w:r w:rsidRPr="009E3DE8">
        <w:rPr>
          <w:rFonts w:ascii="Times New Roman" w:hAnsi="Times New Roman" w:cs="Times New Roman"/>
        </w:rPr>
        <w:t xml:space="preserve">. Through operationalising a strategic choice framework and drawing upon data from 115 UK universities (collected through multiple waves of the HE-BCI Survey), this research shows that supporting </w:t>
      </w:r>
      <w:r>
        <w:rPr>
          <w:rFonts w:ascii="Times New Roman" w:hAnsi="Times New Roman" w:cs="Times New Roman"/>
        </w:rPr>
        <w:t>organisational</w:t>
      </w:r>
      <w:r w:rsidRPr="009E3DE8">
        <w:rPr>
          <w:rFonts w:ascii="Times New Roman" w:hAnsi="Times New Roman" w:cs="Times New Roman"/>
        </w:rPr>
        <w:t xml:space="preserve"> infrastructure is necessary but not sufficient to account for improved technology transfer effectiveness. Specifically, it highlights the key mediating role of strategic choice, suggesting that it is the </w:t>
      </w:r>
      <w:r w:rsidRPr="009E3DE8">
        <w:rPr>
          <w:rFonts w:ascii="Times New Roman" w:hAnsi="Times New Roman" w:cs="Times New Roman"/>
          <w:i/>
        </w:rPr>
        <w:t>alignment</w:t>
      </w:r>
      <w:r w:rsidRPr="009E3DE8">
        <w:rPr>
          <w:rFonts w:ascii="Times New Roman" w:hAnsi="Times New Roman" w:cs="Times New Roman"/>
        </w:rPr>
        <w:t xml:space="preserve"> between strategic choices made by university managers and the supporting organisational infrastructure that accounts for variations in technology transfer effectiveness. Furthermore, we find the </w:t>
      </w:r>
      <w:r>
        <w:rPr>
          <w:rFonts w:ascii="Times New Roman" w:hAnsi="Times New Roman" w:cs="Times New Roman"/>
        </w:rPr>
        <w:t xml:space="preserve">mediation </w:t>
      </w:r>
      <w:r w:rsidRPr="009E3DE8">
        <w:rPr>
          <w:rFonts w:ascii="Times New Roman" w:hAnsi="Times New Roman" w:cs="Times New Roman"/>
        </w:rPr>
        <w:t xml:space="preserve">relationship between strategic alignment and technology transfer effectiveness is moderated by the breadth of strategic planning efforts, with those universities that engage a wider number of faculty in strategic planning efforts benefiting most from the alignment between strategic choices and supporting organisational infrastructure. </w:t>
      </w:r>
    </w:p>
    <w:p w14:paraId="54679294" w14:textId="77777777" w:rsidR="00C039D7" w:rsidRPr="00DA71B4" w:rsidRDefault="00C039D7" w:rsidP="00141231">
      <w:pPr>
        <w:outlineLvl w:val="0"/>
        <w:rPr>
          <w:b/>
        </w:rPr>
      </w:pPr>
    </w:p>
    <w:p w14:paraId="246F1521" w14:textId="77777777" w:rsidR="00C039D7" w:rsidRPr="009E3DE8" w:rsidRDefault="00C039D7" w:rsidP="00141231">
      <w:pPr>
        <w:spacing w:line="360" w:lineRule="auto"/>
        <w:rPr>
          <w:rFonts w:ascii="Times New Roman" w:hAnsi="Times New Roman" w:cs="Times New Roman"/>
        </w:rPr>
      </w:pPr>
      <w:r w:rsidRPr="00DA71B4">
        <w:rPr>
          <w:rFonts w:ascii="Times New Roman" w:hAnsi="Times New Roman" w:cs="Times New Roman"/>
          <w:b/>
        </w:rPr>
        <w:t>Keywords</w:t>
      </w:r>
      <w:r>
        <w:rPr>
          <w:rFonts w:ascii="Times New Roman" w:hAnsi="Times New Roman" w:cs="Times New Roman"/>
        </w:rPr>
        <w:t xml:space="preserve">: Strategic Choice, Technology Transfer, Contingency Theory, Commercialization, University-Industry </w:t>
      </w:r>
    </w:p>
    <w:p w14:paraId="00271D66" w14:textId="77777777" w:rsidR="009E3DE8" w:rsidRPr="009E3DE8" w:rsidRDefault="009E3DE8" w:rsidP="00141231">
      <w:pPr>
        <w:spacing w:line="360" w:lineRule="auto"/>
        <w:rPr>
          <w:rFonts w:ascii="Times New Roman" w:hAnsi="Times New Roman" w:cs="Times New Roman"/>
        </w:rPr>
      </w:pPr>
    </w:p>
    <w:p w14:paraId="1483E3FF" w14:textId="2F87E06D" w:rsidR="008F5708" w:rsidRPr="00EF66BB" w:rsidRDefault="008F5708" w:rsidP="00141231">
      <w:pPr>
        <w:pStyle w:val="Heading2"/>
        <w:numPr>
          <w:ilvl w:val="0"/>
          <w:numId w:val="3"/>
        </w:numPr>
        <w:spacing w:line="360" w:lineRule="auto"/>
        <w:rPr>
          <w:rFonts w:ascii="Times New Roman" w:hAnsi="Times New Roman" w:cs="Times New Roman"/>
          <w:sz w:val="24"/>
          <w:szCs w:val="24"/>
        </w:rPr>
      </w:pPr>
      <w:r w:rsidRPr="00EF66BB">
        <w:rPr>
          <w:rFonts w:ascii="Times New Roman" w:hAnsi="Times New Roman" w:cs="Times New Roman"/>
          <w:sz w:val="24"/>
          <w:szCs w:val="24"/>
        </w:rPr>
        <w:lastRenderedPageBreak/>
        <w:t>Introduction</w:t>
      </w:r>
    </w:p>
    <w:p w14:paraId="1A1A1C1A" w14:textId="1E79DBCC" w:rsidR="002B1D58" w:rsidRPr="00EF66BB" w:rsidRDefault="002B1D58" w:rsidP="00141231">
      <w:pPr>
        <w:spacing w:line="360" w:lineRule="auto"/>
        <w:rPr>
          <w:rFonts w:ascii="Times New Roman" w:hAnsi="Times New Roman" w:cs="Times New Roman"/>
        </w:rPr>
      </w:pPr>
      <w:r w:rsidRPr="00EF66BB">
        <w:rPr>
          <w:rFonts w:ascii="Times New Roman" w:hAnsi="Times New Roman" w:cs="Times New Roman"/>
        </w:rPr>
        <w:t>Recent calls for the reco</w:t>
      </w:r>
      <w:r w:rsidR="000B325D">
        <w:rPr>
          <w:rFonts w:ascii="Times New Roman" w:hAnsi="Times New Roman" w:cs="Times New Roman"/>
        </w:rPr>
        <w:t>nceptuali</w:t>
      </w:r>
      <w:r w:rsidR="00CE1EC1">
        <w:rPr>
          <w:rFonts w:ascii="Times New Roman" w:hAnsi="Times New Roman" w:cs="Times New Roman"/>
        </w:rPr>
        <w:t>z</w:t>
      </w:r>
      <w:r w:rsidR="000B325D">
        <w:rPr>
          <w:rFonts w:ascii="Times New Roman" w:hAnsi="Times New Roman" w:cs="Times New Roman"/>
        </w:rPr>
        <w:t>ation</w:t>
      </w:r>
      <w:r w:rsidRPr="00EF66BB">
        <w:rPr>
          <w:rFonts w:ascii="Times New Roman" w:hAnsi="Times New Roman" w:cs="Times New Roman"/>
        </w:rPr>
        <w:t xml:space="preserve"> of academic entrepreneurship have drawn attention to the fact that institutional heterogeneity is largely overlooked in existing research on technology transfer </w:t>
      </w:r>
      <w:r w:rsidR="003C3573">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{"citationItems":[{"id":"ITEM-1","itemData":{"DOI":"10.1016/j.respol.2014.06.001","ISBN":"00487333","ISSN":"00487333","abstract":"The present paper elaborates a critical reflection on the 'one-size-fits-all' model which conceptualizes universities as centres of excellence in education, research and third mission. It is argued that the shortcomings of this perspective are twofold: first, HEIs are treated as homogeneous institutions with equal capacity to perform and contribute to social engagement; and second, missions are undistinguishable from each other. Both features lead to mischaracterizations concerning the role of universities and their contribution to society. In the view proposed here missions are university strategies linked by complex relationship of compatibility, and the paper puts in perspective the persisting gap concerning the nature of and the relations across them.","author":[{"dropping-particle":"","family":"Sánchez-Barrioluengo","given":"Mabel","non-dropping-particle":"","parse-names":false,"suffix":""}],"container-title":"Research Policy","id":"ITEM-1","issue":"10","issued":{"date-parts":[["2014"]]},"page":"1760-1773","publisher":"Elsevier B.V.","title":"Articulating the 'three-missions' in Spanish universities","type":"article-journal","volume":"43"},"uris":["http://www.mendeley.com/documents/?uuid=5fc5b121-26c5-4366-86b8-d942c7ffea40"]},{"id":"ITEM-2","itemData":{"DOI":"10.1016/j.respol.2011.04.005","ISBN":"0048-7333","ISSN":"00487333","PMID":"63979345","abstract":"On the 30th anniversary of enactment of the Bayh-Dole Act in the U.S., we consider the rationale for academic entrepreneurship and describe the evolving role of universities in the commercialization of research. We also discuss and appraise the effects of legislative reform in several OECD countries relating to academic entrepreneurship. The article synthesizes papers from the special section and outlines an agenda for additional research on various aspects of academic entrepreneurship in terms of system, university and individual levels. We also consider measurement and methodological issues that must be addressed in additional research. © 2011 Elsevier B.V. All rights reserved.","author":[{"dropping-particle":"","family":"Grimaldi","given":"Rosa","non-dropping-particle":"","parse-names":false,"suffix":""},{"dropping-particle":"","family":"Kenney","given":"Martin","non-dropping-particle":"","parse-names":false,"suffix":""},{"dropping-particle":"","family":"Siegel","given":"Donald","non-dropping-particle":"","parse-names":false,"suffix":""},{"dropping-particle":"","family":"Wright","given":"Mike","non-dropping-particle":"","parse-names":false,"suffix":""}],"container-title":"Research Policy","id":"ITEM-2","issue":"8","issued":{"date-parts":[["2011"]]},"page":"1045-1057","publisher":"Elsevier B.V.","title":"30 years after Bayh-Dole: Reassessing academic entrepreneurship","type":"article-journal","volume":"40"},"uris":["http://www.mendeley.com/documents/?uuid=f76d5f6a-d7d8-44f5-97d3-959ec6741a69"]},{"id":"ITEM-3","itemData":{"DOI":"10.1111/1467-8551.12116","ISBN":"1467-8551","ISSN":"14678551","PMID":"3749","abstract":"Academic entrepreneurship, which refers to efforts undertaken by universities to promote commercialization on campus and in surrounding regions of the university, has changed dramatically in recent years. Two key consequences of this change are that more stakeholders have become involved in academic entrepreneurship and that universities have become more ‘strategic’ in their approach to this activity. The authors assert that the time is ripe to rethink academic entrepreneurship. Specifically, theoretical and empirical research on academic entrepreneurship needs to take account of these changes, so as to improve the rigour and relevance of future studies on this topic. We outline such a framework and provide examples of key research questions that need to be addressed to broaden understanding of academic entrepreneurship.","author":[{"dropping-particle":"","family":"Siegel","given":"Donald","non-dropping-particle":"","parse-names":false,"suffix":""},{"dropping-particle":"","family":"Wright","given":"Mike","non-dropping-particle":"","parse-names":false,"suffix":""}],"container-title":"British Journal of Management","id":"ITEM-3","issue":"4","issued":{"date-parts":[["2015"]]},"page":"582-595","title":"Academic Entrepreneurship: Time for a Rethink?","type":"article-journal","volume":"26"},"uris":["http://www.mendeley.com/documents/?uuid=fd36b1d1-c4c9-405f-8f53-67de72694463"]},{"id":"ITEM-4","itemData":{"author":[{"dropping-particle":"","family":"Siegel","given":"Donald","non-dropping-particle":"","parse-names":false,"suffix":""},{"dropping-particle":"","family":"Wright","given":"Mike","non-dropping-particle":"","parse-names":false,"suffix":""}],"container-title":"The Chicago Handbook of University Technology Transfer and Academic Entrepreneurship","id":"ITEM-4","issued":{"date-parts":[["2015"]]},"page":"1-40","title":"University Technology Transfer Offices, Licensing and Start-Ups","type":"article-journal"},"uris":["http://www.mendeley.com/documents/?uuid=fe76100e-4794-40f5-abd9-8ecf8418b924"]}],"mendeley":{"formattedCitation":"(Grimaldi et al., 2011; Sánchez-Barrioluengo, 2014; Siegel and Wright, 2015a, 2015b)","plainTextFormattedCitation":"(Grimaldi et al., 2011; Sánchez-Barrioluengo, 2014; Siegel and Wright, 2015a, 2015b)","previouslyFormattedCitation":"(Grimaldi et al., 2011; Sánchez-Barrioluengo, 2014; Siegel and Wright, 2015a, 2015b)"},"properties":{"noteIndex":0},"schema":"https://github.com/citation-style-language/schema/raw/master/csl-citation.json"}</w:instrText>
      </w:r>
      <w:r w:rsidR="003C3573">
        <w:rPr>
          <w:rFonts w:ascii="Times New Roman" w:hAnsi="Times New Roman" w:cs="Times New Roman"/>
        </w:rPr>
        <w:fldChar w:fldCharType="separate"/>
      </w:r>
      <w:r w:rsidR="005C76D1" w:rsidRPr="005C76D1">
        <w:rPr>
          <w:rFonts w:ascii="Times New Roman" w:hAnsi="Times New Roman" w:cs="Times New Roman"/>
          <w:noProof/>
        </w:rPr>
        <w:t>(Grimaldi et al., 2011; Sánchez-Barrioluengo, 2014; Siegel and Wright, 2015a, 2015b)</w:t>
      </w:r>
      <w:r w:rsidR="003C3573">
        <w:rPr>
          <w:rFonts w:ascii="Times New Roman" w:hAnsi="Times New Roman" w:cs="Times New Roman"/>
        </w:rPr>
        <w:fldChar w:fldCharType="end"/>
      </w:r>
      <w:r w:rsidRPr="00EF66BB">
        <w:rPr>
          <w:rFonts w:ascii="Times New Roman" w:hAnsi="Times New Roman" w:cs="Times New Roman"/>
        </w:rPr>
        <w:t>. Specifically, it has been suggested that the ‘one- size-fits-all’ model of teaching, research and technology transfer is not realistic, nor appropriate, given the organisational heterogeneity that characterises universities</w:t>
      </w:r>
      <w:r w:rsidR="00BB56CB">
        <w:rPr>
          <w:rFonts w:ascii="Times New Roman" w:hAnsi="Times New Roman" w:cs="Times New Roman"/>
        </w:rPr>
        <w:t xml:space="preserve"> </w:t>
      </w:r>
      <w:r w:rsidR="00BB56CB">
        <w:rPr>
          <w:rFonts w:ascii="Times New Roman" w:hAnsi="Times New Roman" w:cs="Times New Roman"/>
        </w:rPr>
        <w:fldChar w:fldCharType="begin" w:fldLock="1"/>
      </w:r>
      <w:r w:rsidR="00BB56CB">
        <w:rPr>
          <w:rFonts w:ascii="Times New Roman" w:hAnsi="Times New Roman" w:cs="Times New Roman"/>
        </w:rPr>
        <w:instrText>ADDIN CSL_CITATION {"citationItems":[{"id":"ITEM-1","itemData":{"DOI":"10.1016/j.respol.2014.06.001","ISBN":"00487333","ISSN":"00487333","abstract":"The present paper elaborates a critical reflection on the 'one-size-fits-all' model which conceptualizes universities as centres of excellence in education, research and third mission. It is argued that the shortcomings of this perspective are twofold: first, HEIs are treated as homogeneous institutions with equal capacity to perform and contribute to social engagement; and second, missions are undistinguishable from each other. Both features lead to mischaracterizations concerning the role of universities and their contribution to society. In the view proposed here missions are university strategies linked by complex relationship of compatibility, and the paper puts in perspective the persisting gap concerning the nature of and the relations across them.","author":[{"dropping-particle":"","family":"Sánchez-Barrioluengo","given":"Mabel","non-dropping-particle":"","parse-names":false,"suffix":""}],"container-title":"Research Policy","id":"ITEM-1","issue":"10","issued":{"date-parts":[["2014"]]},"page":"1760-1773","publisher":"Elsevier B.V.","title":"Articulating the 'three-missions' in Spanish universities","type":"article-journal","volume":"43"},"uris":["http://www.mendeley.com/documents/?uuid=5fc5b121-26c5-4366-86b8-d942c7ffea40"]},{"id":"ITEM-2","itemData":{"DOI":"10.1016/j.respol.2008.04.021","ISBN":"0048-7333","ISSN":"00487333","PMID":"2985","abstract":"We analyze how mid-range universities can contribute to industrial change through the transfer of tacit and codified knowledge in the areas of spin-offs; licensing and patents; contract research, consultancy and reach-out; and graduate and researcher mobility. We use archival, survey and interview data relating to mid-range universities in mid-range environments in the UK, Belgium, Germany and Sweden. Our findings suggest that mid-range universities primarily need to focus on generating world-class research and critical mass in areas of expertise, as well as developing different types of intermediaries. Mid-range universities may need to develop a portfolio of university-industry linkages in terms of the scope of activities and the types of firms with which they interact. We also show that different intermediaries have important roles to play in developing university-industry linkages for mid-range universities. © 2008.","author":[{"dropping-particle":"","family":"Wright","given":"Mike","non-dropping-particle":"","parse-names":false,"suffix":""},{"dropping-particle":"","family":"Clarysse","given":"Bart","non-dropping-particle":"","parse-names":false,"suffix":""},{"dropping-particle":"","family":"Lockett","given":"Andy","non-dropping-particle":"","parse-names":false,"suffix":""},{"dropping-particle":"","family":"Knockaert","given":"Mirjam","non-dropping-particle":"","parse-names":false,"suffix":""}],"container-title":"Research Policy","id":"ITEM-2","issue":"8","issued":{"date-parts":[["2008"]]},"page":"1205-1223","title":"Mid-range universities' linkages with industry: Knowledge types and the role of intermediaries","type":"article-journal","volume":"37"},"uris":["http://www.mendeley.com/documents/?uuid=4ad24ced-5185-432e-a5f4-697ce97472d8"]}],"mendeley":{"formattedCitation":"(Sánchez-Barrioluengo, 2014; Wright et al., 2008)","plainTextFormattedCitation":"(Sánchez-Barrioluengo, 2014; Wright et al., 2008)","previouslyFormattedCitation":"(Sánchez-Barrioluengo, 2014; Wright et al., 2008)"},"properties":{"noteIndex":0},"schema":"https://github.com/citation-style-language/schema/raw/master/csl-citation.json"}</w:instrText>
      </w:r>
      <w:r w:rsidR="00BB56CB">
        <w:rPr>
          <w:rFonts w:ascii="Times New Roman" w:hAnsi="Times New Roman" w:cs="Times New Roman"/>
        </w:rPr>
        <w:fldChar w:fldCharType="separate"/>
      </w:r>
      <w:r w:rsidR="00BB56CB" w:rsidRPr="00BB56CB">
        <w:rPr>
          <w:rFonts w:ascii="Times New Roman" w:hAnsi="Times New Roman" w:cs="Times New Roman"/>
          <w:noProof/>
        </w:rPr>
        <w:t>(Sánchez-Barrioluengo, 2014; Wright et al., 2008)</w:t>
      </w:r>
      <w:r w:rsidR="00BB56CB">
        <w:rPr>
          <w:rFonts w:ascii="Times New Roman" w:hAnsi="Times New Roman" w:cs="Times New Roman"/>
        </w:rPr>
        <w:fldChar w:fldCharType="end"/>
      </w:r>
      <w:r w:rsidRPr="00EF66BB">
        <w:rPr>
          <w:rFonts w:ascii="Times New Roman" w:hAnsi="Times New Roman" w:cs="Times New Roman"/>
        </w:rPr>
        <w:t xml:space="preserve">. In light of this critique it is argued that universities need to be ‘strategic’ in their technology transfer activities, suggesting the importance of managerial choices and strategic planning. </w:t>
      </w:r>
    </w:p>
    <w:p w14:paraId="11A29003" w14:textId="77777777" w:rsidR="002B1D58" w:rsidRPr="00EF66BB" w:rsidRDefault="002B1D58" w:rsidP="00141231">
      <w:pPr>
        <w:spacing w:line="360" w:lineRule="auto"/>
        <w:rPr>
          <w:rFonts w:ascii="Times New Roman" w:hAnsi="Times New Roman" w:cs="Times New Roman"/>
        </w:rPr>
      </w:pPr>
    </w:p>
    <w:p w14:paraId="37245501" w14:textId="48324FE0" w:rsidR="002B1D58" w:rsidRPr="00EF66BB" w:rsidRDefault="002B1D58" w:rsidP="00141231">
      <w:pPr>
        <w:spacing w:line="360" w:lineRule="auto"/>
        <w:rPr>
          <w:rFonts w:ascii="Times New Roman" w:hAnsi="Times New Roman" w:cs="Times New Roman"/>
        </w:rPr>
      </w:pPr>
      <w:r w:rsidRPr="00EF66BB">
        <w:rPr>
          <w:rFonts w:ascii="Times New Roman" w:hAnsi="Times New Roman" w:cs="Times New Roman"/>
        </w:rPr>
        <w:t>In the UK context, which is the focus of this paper, the importance of managerial agency in the technology transfer activities of universities has also been suggested by recent policy developments. For example,</w:t>
      </w:r>
      <w:r w:rsidR="004A7BC7" w:rsidRPr="00EF66BB">
        <w:rPr>
          <w:rFonts w:ascii="Times New Roman" w:hAnsi="Times New Roman" w:cs="Times New Roman"/>
        </w:rPr>
        <w:t xml:space="preserve"> the UK’s</w:t>
      </w:r>
      <w:r w:rsidRPr="00EF66BB">
        <w:rPr>
          <w:rFonts w:ascii="Times New Roman" w:hAnsi="Times New Roman" w:cs="Times New Roman"/>
        </w:rPr>
        <w:t xml:space="preserve"> Higher Education Funding Council for England (HEFCE), review on university knowledge exchange concludes that “university leadership plays a vital part in successful technology transfer, yet this role is not well understood in policy reviews and needs to be highlighted further”</w:t>
      </w:r>
      <w:r w:rsidR="00BB56CB">
        <w:rPr>
          <w:rFonts w:ascii="Times New Roman" w:hAnsi="Times New Roman" w:cs="Times New Roman"/>
        </w:rPr>
        <w:t xml:space="preserve"> </w:t>
      </w:r>
      <w:r w:rsidR="00BB56CB">
        <w:rPr>
          <w:rFonts w:ascii="Times New Roman" w:hAnsi="Times New Roman" w:cs="Times New Roman"/>
        </w:rPr>
        <w:fldChar w:fldCharType="begin" w:fldLock="1"/>
      </w:r>
      <w:r w:rsidR="00BB56CB">
        <w:rPr>
          <w:rFonts w:ascii="Times New Roman" w:hAnsi="Times New Roman" w:cs="Times New Roman"/>
        </w:rPr>
        <w:instrText>ADDIN CSL_CITATION {"citationItems":[{"id":"ITEM-1","itemData":{"author":[{"dropping-particle":"","family":"HEFCE","given":"","non-dropping-particle":"","parse-names":false,"suffix":""}],"id":"ITEM-1","issue":"September","issued":{"date-parts":[["2016"]]},"title":"University Knowledge Exchange ( KE ) Framework : good practice in technology transfer Report to the UK higher education sector and HEFCE by the McMillan group","type":"article-journal"},"locator":"16","uris":["http://www.mendeley.com/documents/?uuid=e01e49b0-972c-4051-9586-9f43880fda49"]}],"mendeley":{"formattedCitation":"(HEFCE, 2016, p. 16)","plainTextFormattedCitation":"(HEFCE, 2016, p. 16)","previouslyFormattedCitation":"(HEFCE, 2016, p. 16)"},"properties":{"noteIndex":0},"schema":"https://github.com/citation-style-language/schema/raw/master/csl-citation.json"}</w:instrText>
      </w:r>
      <w:r w:rsidR="00BB56CB">
        <w:rPr>
          <w:rFonts w:ascii="Times New Roman" w:hAnsi="Times New Roman" w:cs="Times New Roman"/>
        </w:rPr>
        <w:fldChar w:fldCharType="separate"/>
      </w:r>
      <w:r w:rsidR="00BB56CB" w:rsidRPr="00BB56CB">
        <w:rPr>
          <w:rFonts w:ascii="Times New Roman" w:hAnsi="Times New Roman" w:cs="Times New Roman"/>
          <w:noProof/>
        </w:rPr>
        <w:t>(HEFCE, 2016, p. 16)</w:t>
      </w:r>
      <w:r w:rsidR="00BB56CB">
        <w:rPr>
          <w:rFonts w:ascii="Times New Roman" w:hAnsi="Times New Roman" w:cs="Times New Roman"/>
        </w:rPr>
        <w:fldChar w:fldCharType="end"/>
      </w:r>
      <w:r w:rsidRPr="00EF66BB">
        <w:rPr>
          <w:rFonts w:ascii="Times New Roman" w:hAnsi="Times New Roman" w:cs="Times New Roman"/>
        </w:rPr>
        <w:t>. This report highlights that one of the important decisions university leaders must make is the extent to which technology transfer is strategically significant to the</w:t>
      </w:r>
      <w:r w:rsidR="00274166">
        <w:rPr>
          <w:rFonts w:ascii="Times New Roman" w:hAnsi="Times New Roman" w:cs="Times New Roman"/>
        </w:rPr>
        <w:t xml:space="preserve"> institution</w:t>
      </w:r>
      <w:r w:rsidRPr="00EF66BB">
        <w:rPr>
          <w:rFonts w:ascii="Times New Roman" w:hAnsi="Times New Roman" w:cs="Times New Roman"/>
        </w:rPr>
        <w:t xml:space="preserve">. </w:t>
      </w:r>
      <w:r w:rsidR="004960E6">
        <w:rPr>
          <w:rFonts w:ascii="Times New Roman" w:hAnsi="Times New Roman" w:cs="Times New Roman"/>
        </w:rPr>
        <w:t xml:space="preserve"> In the US</w:t>
      </w:r>
      <w:r w:rsidR="001254A1">
        <w:rPr>
          <w:rFonts w:ascii="Times New Roman" w:hAnsi="Times New Roman" w:cs="Times New Roman"/>
        </w:rPr>
        <w:t xml:space="preserve">, a 2015 </w:t>
      </w:r>
      <w:r w:rsidR="003B0C4A">
        <w:rPr>
          <w:rFonts w:ascii="Times New Roman" w:hAnsi="Times New Roman" w:cs="Times New Roman"/>
        </w:rPr>
        <w:t xml:space="preserve">statement from the Association of American </w:t>
      </w:r>
      <w:r w:rsidR="00A661B2">
        <w:rPr>
          <w:rFonts w:ascii="Times New Roman" w:hAnsi="Times New Roman" w:cs="Times New Roman"/>
        </w:rPr>
        <w:t xml:space="preserve">Universities </w:t>
      </w:r>
      <w:r w:rsidR="00A661B2">
        <w:rPr>
          <w:rFonts w:ascii="Times New Roman" w:hAnsi="Times New Roman" w:cs="Times New Roman"/>
        </w:rPr>
        <w:fldChar w:fldCharType="begin" w:fldLock="1"/>
      </w:r>
      <w:r w:rsidR="00A661B2">
        <w:rPr>
          <w:rFonts w:ascii="Times New Roman" w:hAnsi="Times New Roman" w:cs="Times New Roman"/>
        </w:rPr>
        <w:instrText>ADDIN CSL_CITATION {"citationItems":[{"id":"ITEM-1","itemData":{"author":[{"dropping-particle":"","family":"Association of American Universities","given":"","non-dropping-particle":"","parse-names":false,"suffix":""}],"id":"ITEM-1","issue":"March","issued":{"date-parts":[["2015"]]},"title":"Statement to the AAU Membership on University Technology Transfer and Managing Intellectual Property in the Public Interest","type":"article-journal"},"uris":["http://www.mendeley.com/documents/?uuid=4ba59336-d6b0-452e-afea-6c1670354ab7"]}],"mendeley":{"formattedCitation":"(Association of American Universities, 2015)","plainTextFormattedCitation":"(Association of American Universities, 2015)","previouslyFormattedCitation":"(Association of American Universities, 2015)"},"properties":{"noteIndex":0},"schema":"https://github.com/citation-style-language/schema/raw/master/csl-citation.json"}</w:instrText>
      </w:r>
      <w:r w:rsidR="00A661B2">
        <w:rPr>
          <w:rFonts w:ascii="Times New Roman" w:hAnsi="Times New Roman" w:cs="Times New Roman"/>
        </w:rPr>
        <w:fldChar w:fldCharType="separate"/>
      </w:r>
      <w:r w:rsidR="00A661B2" w:rsidRPr="00A661B2">
        <w:rPr>
          <w:rFonts w:ascii="Times New Roman" w:hAnsi="Times New Roman" w:cs="Times New Roman"/>
          <w:noProof/>
        </w:rPr>
        <w:t>(Association of American Universities, 2015)</w:t>
      </w:r>
      <w:r w:rsidR="00A661B2">
        <w:rPr>
          <w:rFonts w:ascii="Times New Roman" w:hAnsi="Times New Roman" w:cs="Times New Roman"/>
        </w:rPr>
        <w:fldChar w:fldCharType="end"/>
      </w:r>
      <w:r w:rsidR="003B0C4A">
        <w:rPr>
          <w:rFonts w:ascii="Times New Roman" w:hAnsi="Times New Roman" w:cs="Times New Roman"/>
        </w:rPr>
        <w:t xml:space="preserve"> encouraged its 62 member institutions to “develop and state a clear mission and vision for university management of intellectual property” in accordance with a recommendation by the U.S National Research Council (NRC). </w:t>
      </w:r>
      <w:r w:rsidR="00274166">
        <w:rPr>
          <w:rFonts w:ascii="Times New Roman" w:hAnsi="Times New Roman" w:cs="Times New Roman"/>
        </w:rPr>
        <w:t xml:space="preserve">The </w:t>
      </w:r>
      <w:r w:rsidR="003B0C4A">
        <w:rPr>
          <w:rFonts w:ascii="Times New Roman" w:hAnsi="Times New Roman" w:cs="Times New Roman"/>
        </w:rPr>
        <w:t>NRC suggested that “the leadership of each institution- the president, provost, and board of trustees should articulate a clear mission for the unit responsible for intellectual property</w:t>
      </w:r>
      <w:r w:rsidR="00C25DF7">
        <w:rPr>
          <w:rFonts w:ascii="Times New Roman" w:hAnsi="Times New Roman" w:cs="Times New Roman"/>
        </w:rPr>
        <w:t>.</w:t>
      </w:r>
      <w:r w:rsidR="003B0C4A">
        <w:rPr>
          <w:rFonts w:ascii="Times New Roman" w:hAnsi="Times New Roman" w:cs="Times New Roman"/>
        </w:rPr>
        <w:t>”</w:t>
      </w:r>
      <w:r w:rsidR="00A661B2">
        <w:rPr>
          <w:rFonts w:ascii="Times New Roman" w:hAnsi="Times New Roman" w:cs="Times New Roman"/>
        </w:rPr>
        <w:t xml:space="preserve"> </w:t>
      </w:r>
      <w:r w:rsidR="00A661B2">
        <w:rPr>
          <w:rFonts w:ascii="Times New Roman" w:hAnsi="Times New Roman" w:cs="Times New Roman"/>
        </w:rPr>
        <w:fldChar w:fldCharType="begin" w:fldLock="1"/>
      </w:r>
      <w:r w:rsidR="005A4025">
        <w:rPr>
          <w:rFonts w:ascii="Times New Roman" w:hAnsi="Times New Roman" w:cs="Times New Roman"/>
        </w:rPr>
        <w:instrText>ADDIN CSL_CITATION {"citationItems":[{"id":"ITEM-1","itemData":{"DOI":"10.17226/13001","ISBN":"978-0-309-16111-4","ISSN":"978-0-309-16111-4","PMID":"16898385","abstract":"For the National Research Council (NRC), this project was overseen by the Board on Science, Technology, and Economic Policy (STEP), a standing board of the National Research Council established by The National Academies of Sciences and Engineering and the Institute of Medicine in 1991. The mandate of the STEP Board is to integrate understanding of scientific, technological, and economic elements in the formulation of national policies to promote the economic wellbeing of the United States. STEP bridges the disciplines of business management, engineering, economics, and the natural social sciences to bring diverse expertise to bear on issues of innovation, productivity, and national competitiveness. The members of the STEP Board and associated NRC staff are listed below.","author":[{"dropping-particle":"","family":"Merrill","given":"Stephen A","non-dropping-particle":"","parse-names":false,"suffix":""},{"dropping-particle":"","family":"Mazza","given":"Anne-marie","non-dropping-particle":"","parse-names":false,"suffix":""}],"id":"ITEM-1","issued":{"date-parts":[["2010"]]},"publisher":"National Research Council","title":"Managing University Intellectual Property in the Public Interest","type":"book"},"locator":"66","uris":["http://www.mendeley.com/documents/?uuid=3d7df7e1-085e-4c8d-a84f-890caa4c8bba"]}],"mendeley":{"formattedCitation":"(Merrill and Mazza, 2010, p. 66)","plainTextFormattedCitation":"(Merrill and Mazza, 2010, p. 66)","previouslyFormattedCitation":"(Merrill and Mazza, 2010, p. 66)"},"properties":{"noteIndex":0},"schema":"https://github.com/citation-style-language/schema/raw/master/csl-citation.json"}</w:instrText>
      </w:r>
      <w:r w:rsidR="00A661B2">
        <w:rPr>
          <w:rFonts w:ascii="Times New Roman" w:hAnsi="Times New Roman" w:cs="Times New Roman"/>
        </w:rPr>
        <w:fldChar w:fldCharType="separate"/>
      </w:r>
      <w:r w:rsidR="00A661B2" w:rsidRPr="00A661B2">
        <w:rPr>
          <w:rFonts w:ascii="Times New Roman" w:hAnsi="Times New Roman" w:cs="Times New Roman"/>
          <w:noProof/>
        </w:rPr>
        <w:t>(Merrill and Mazza, 2010, p. 66)</w:t>
      </w:r>
      <w:r w:rsidR="00A661B2">
        <w:rPr>
          <w:rFonts w:ascii="Times New Roman" w:hAnsi="Times New Roman" w:cs="Times New Roman"/>
        </w:rPr>
        <w:fldChar w:fldCharType="end"/>
      </w:r>
      <w:r w:rsidR="00A661B2">
        <w:rPr>
          <w:rFonts w:ascii="Times New Roman" w:hAnsi="Times New Roman" w:cs="Times New Roman"/>
        </w:rPr>
        <w:t xml:space="preserve">. </w:t>
      </w:r>
      <w:r w:rsidR="003B0C4A">
        <w:rPr>
          <w:rFonts w:ascii="Times New Roman" w:hAnsi="Times New Roman" w:cs="Times New Roman"/>
        </w:rPr>
        <w:t>This recommendation highl</w:t>
      </w:r>
      <w:r w:rsidR="00A661B2">
        <w:rPr>
          <w:rFonts w:ascii="Times New Roman" w:hAnsi="Times New Roman" w:cs="Times New Roman"/>
        </w:rPr>
        <w:t xml:space="preserve">ighted that </w:t>
      </w:r>
      <w:r w:rsidR="00EC2FA0">
        <w:rPr>
          <w:rFonts w:ascii="Times New Roman" w:hAnsi="Times New Roman" w:cs="Times New Roman"/>
        </w:rPr>
        <w:t>t</w:t>
      </w:r>
      <w:r w:rsidR="00A661B2">
        <w:rPr>
          <w:rFonts w:ascii="Times New Roman" w:hAnsi="Times New Roman" w:cs="Times New Roman"/>
        </w:rPr>
        <w:t>he technology t</w:t>
      </w:r>
      <w:r w:rsidR="003B0C4A">
        <w:rPr>
          <w:rFonts w:ascii="Times New Roman" w:hAnsi="Times New Roman" w:cs="Times New Roman"/>
        </w:rPr>
        <w:t>ransfer</w:t>
      </w:r>
      <w:r w:rsidR="00274166">
        <w:rPr>
          <w:rFonts w:ascii="Times New Roman" w:hAnsi="Times New Roman" w:cs="Times New Roman"/>
        </w:rPr>
        <w:t xml:space="preserve"> mission</w:t>
      </w:r>
      <w:r w:rsidR="003B0C4A">
        <w:rPr>
          <w:rFonts w:ascii="Times New Roman" w:hAnsi="Times New Roman" w:cs="Times New Roman"/>
        </w:rPr>
        <w:t xml:space="preserve"> should be situated within the broader university strategy. </w:t>
      </w:r>
      <w:r w:rsidR="000D3673">
        <w:rPr>
          <w:rFonts w:ascii="Times New Roman" w:hAnsi="Times New Roman" w:cs="Times New Roman"/>
        </w:rPr>
        <w:t>Collectively, these</w:t>
      </w:r>
      <w:r w:rsidR="003B0C4A">
        <w:rPr>
          <w:rFonts w:ascii="Times New Roman" w:hAnsi="Times New Roman" w:cs="Times New Roman"/>
        </w:rPr>
        <w:t xml:space="preserve"> policy reports serve to highlight the significance of the strategic choices made by</w:t>
      </w:r>
      <w:r w:rsidR="00556873">
        <w:rPr>
          <w:rFonts w:ascii="Times New Roman" w:hAnsi="Times New Roman" w:cs="Times New Roman"/>
        </w:rPr>
        <w:t xml:space="preserve"> university leadership, in </w:t>
      </w:r>
      <w:r w:rsidR="004960E6">
        <w:rPr>
          <w:rFonts w:ascii="Times New Roman" w:hAnsi="Times New Roman" w:cs="Times New Roman"/>
        </w:rPr>
        <w:t>multiple policy contexts</w:t>
      </w:r>
      <w:r w:rsidR="00556873">
        <w:rPr>
          <w:rFonts w:ascii="Times New Roman" w:hAnsi="Times New Roman" w:cs="Times New Roman"/>
        </w:rPr>
        <w:t>.</w:t>
      </w:r>
    </w:p>
    <w:p w14:paraId="6C2053A1" w14:textId="76B4D028" w:rsidR="002B1D58" w:rsidRPr="00EF66BB" w:rsidRDefault="002B1D58" w:rsidP="00141231">
      <w:pPr>
        <w:spacing w:line="360" w:lineRule="auto"/>
        <w:rPr>
          <w:rFonts w:ascii="Times New Roman" w:hAnsi="Times New Roman" w:cs="Times New Roman"/>
        </w:rPr>
      </w:pPr>
      <w:r w:rsidRPr="00EF66BB">
        <w:rPr>
          <w:rFonts w:ascii="Times New Roman" w:hAnsi="Times New Roman" w:cs="Times New Roman"/>
        </w:rPr>
        <w:t xml:space="preserve"> </w:t>
      </w:r>
    </w:p>
    <w:p w14:paraId="700485C5" w14:textId="6250C998" w:rsidR="002B1D58" w:rsidRPr="00EF66BB" w:rsidRDefault="002B1D58" w:rsidP="00141231">
      <w:pPr>
        <w:spacing w:line="360" w:lineRule="auto"/>
        <w:rPr>
          <w:rFonts w:ascii="Times New Roman" w:hAnsi="Times New Roman" w:cs="Times New Roman"/>
        </w:rPr>
      </w:pPr>
      <w:r w:rsidRPr="00EF66BB">
        <w:rPr>
          <w:rFonts w:ascii="Times New Roman" w:hAnsi="Times New Roman" w:cs="Times New Roman"/>
        </w:rPr>
        <w:t>Whilst previous research and policy reviews have drawn attention to strategic choice as potentially significant for technology transfer activity of universities</w:t>
      </w:r>
      <w:r w:rsidR="00BB56CB">
        <w:rPr>
          <w:rFonts w:ascii="Times New Roman" w:hAnsi="Times New Roman" w:cs="Times New Roman"/>
        </w:rPr>
        <w:t xml:space="preserve"> </w:t>
      </w:r>
      <w:r w:rsidR="00BB56CB">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{"citationItems":[{"id":"ITEM-1","itemData":{"DOI":"10.1016/j.respol.2014.06.001","ISBN":"00487333","ISSN":"00487333","abstract":"The present paper elaborates a critical reflection on the 'one-size-fits-all' model which conceptualizes universities as centres of excellence in education, research and third mission. It is argued that the shortcomings of this perspective are twofold: first, HEIs are treated as homogeneous institutions with equal capacity to perform and contribute to social engagement; and second, missions are undistinguishable from each other. Both features lead to mischaracterizations concerning the role of universities and their contribution to society. In the view proposed here missions are university strategies linked by complex relationship of compatibility, and the paper puts in perspective the persisting gap concerning the nature of and the relations across them.","author":[{"dropping-particle":"","family":"Sánchez-Barrioluengo","given":"Mabel","non-dropping-particle":"","parse-names":false,"suffix":""}],"container-title":"Research Policy","id":"ITEM-1","issue":"10","issued":{"date-parts":[["2014"]]},"page":"1760-1773","publisher":"Elsevier B.V.","title":"Articulating the 'three-missions' in Spanish universities","type":"article-journal","volume":"43"},"uris":["http://www.mendeley.com/documents/?uuid=5fc5b121-26c5-4366-86b8-d942c7ffea40"]},{"id":"ITEM-2","itemData":{"DOI":"10.1111/1467-8551.12116","ISBN":"1467-8551","ISSN":"14678551","PMID":"3749","abstract":"Academic entrepreneurship, which refers to efforts undertaken by universities to promote commercialization on campus and in surrounding regions of the university, has changed dramatically in recent years. Two key consequences of this change are that more stakeholders have become involved in academic entrepreneurship and that universities have become more ‘strategic’ in their approach to this activity. The authors assert that the time is ripe to rethink academic entrepreneurship. Specifically, theoretical and empirical research on academic entrepreneurship needs to take account of these changes, so as to improve the rigour and relevance of future studies on this topic. We outline such a framework and provide examples of key research questions that need to be addressed to broaden understanding of academic entrepreneurship.","author":[{"dropping-particle":"","family":"Siegel","given":"Donald","non-dropping-particle":"","parse-names":false,"suffix":""},{"dropping-particle":"","family":"Wright","given":"Mike","non-dropping-particle":"","parse-names":false,"suffix":""}],"container-title":"British Journal of Management","id":"ITEM-2","issue":"4","issued":{"date-parts":[["2015"]]},"page":"582-595","title":"Academic Entrepreneurship: Time for a Rethink?","type":"article-journal","volume":"26"},"uris":["http://www.mendeley.com/documents/?uuid=fd36b1d1-c4c9-405f-8f53-67de72694463"]},{"id":"ITEM-3","itemData":{"author":[{"dropping-particle":"","family":"HEFCE","given":"","non-dropping-particle":"","parse-names":false,"suffix":""}],"id":"ITEM-3","issue":"September","issued":{"date-parts":[["2016"]]},"title":"University Knowledge Exchange ( KE ) Framework : good practice in technology transfer Report to the UK higher education sector and HEFCE by the McMillan group","type":"article-journal"},"uris":["http://www.mendeley.com/documents/?uuid=e01e49b0-972c-4051-9586-9f43880fda49"]}],"mendeley":{"formattedCitation":"(HEFCE, 2016; Sánchez-Barrioluengo, 2014; Siegel and Wright, 2015a)","plainTextFormattedCitation":"(HEFCE, 2016; Sánchez-Barrioluengo, 2014; Siegel and Wright, 2015a)","previouslyFormattedCitation":"(HEFCE, 2016; Sánchez-Barrioluengo, 2014; Siegel and Wright, 2015a)"},"properties":{"noteIndex":0},"schema":"https://github.com/citation-style-language/schema/raw/master/csl-citation.json"}</w:instrText>
      </w:r>
      <w:r w:rsidR="00BB56CB">
        <w:rPr>
          <w:rFonts w:ascii="Times New Roman" w:hAnsi="Times New Roman" w:cs="Times New Roman"/>
        </w:rPr>
        <w:fldChar w:fldCharType="separate"/>
      </w:r>
      <w:r w:rsidR="005C76D1" w:rsidRPr="005C76D1">
        <w:rPr>
          <w:rFonts w:ascii="Times New Roman" w:hAnsi="Times New Roman" w:cs="Times New Roman"/>
          <w:noProof/>
        </w:rPr>
        <w:t>(HEFCE, 2016; Sánchez-Barrioluengo, 2014; Siegel and Wright, 2015a)</w:t>
      </w:r>
      <w:r w:rsidR="00BB56CB">
        <w:rPr>
          <w:rFonts w:ascii="Times New Roman" w:hAnsi="Times New Roman" w:cs="Times New Roman"/>
        </w:rPr>
        <w:fldChar w:fldCharType="end"/>
      </w:r>
      <w:r w:rsidRPr="00EF66BB">
        <w:rPr>
          <w:rFonts w:ascii="Times New Roman" w:hAnsi="Times New Roman" w:cs="Times New Roman"/>
        </w:rPr>
        <w:t xml:space="preserve">, the specific role that strategic choices play in impacting the effectiveness of technology transfer activity remains unclear. </w:t>
      </w:r>
      <w:r w:rsidRPr="00EF66BB">
        <w:rPr>
          <w:rFonts w:ascii="Times New Roman" w:hAnsi="Times New Roman" w:cs="Times New Roman"/>
        </w:rPr>
        <w:lastRenderedPageBreak/>
        <w:t xml:space="preserve">Here we contribute to existing debates </w:t>
      </w:r>
      <w:r w:rsidR="00D5780E" w:rsidRPr="00EF66BB">
        <w:rPr>
          <w:rFonts w:ascii="Times New Roman" w:hAnsi="Times New Roman" w:cs="Times New Roman"/>
        </w:rPr>
        <w:t xml:space="preserve">pertaining to technology transfer effectiveness by elaborating the roles that strategic choice and strategic planning play in contributing to the effectiveness of university technology transfer. </w:t>
      </w:r>
    </w:p>
    <w:p w14:paraId="736F465A" w14:textId="77777777" w:rsidR="000035D2" w:rsidRPr="00EF66BB" w:rsidRDefault="000035D2" w:rsidP="00141231">
      <w:pPr>
        <w:spacing w:line="360" w:lineRule="auto"/>
        <w:rPr>
          <w:rFonts w:ascii="Times New Roman" w:hAnsi="Times New Roman" w:cs="Times New Roman"/>
        </w:rPr>
      </w:pPr>
    </w:p>
    <w:p w14:paraId="5F3F49FA" w14:textId="0C75E329" w:rsidR="000035D2" w:rsidRPr="00EF66BB" w:rsidRDefault="00877F8E" w:rsidP="00141231">
      <w:pPr>
        <w:spacing w:line="360" w:lineRule="auto"/>
        <w:rPr>
          <w:rFonts w:ascii="Times New Roman" w:hAnsi="Times New Roman" w:cs="Times New Roman"/>
        </w:rPr>
      </w:pPr>
      <w:r>
        <w:rPr>
          <w:rFonts w:ascii="Times New Roman" w:hAnsi="Times New Roman" w:cs="Times New Roman"/>
        </w:rPr>
        <w:t>R</w:t>
      </w:r>
      <w:r w:rsidR="000035D2" w:rsidRPr="00EF66BB">
        <w:rPr>
          <w:rFonts w:ascii="Times New Roman" w:hAnsi="Times New Roman" w:cs="Times New Roman"/>
        </w:rPr>
        <w:t>esearch into the effectiveness of university technology transfer has highlighted several organisational antecedents</w:t>
      </w:r>
      <w:r w:rsidR="004960E6">
        <w:rPr>
          <w:rFonts w:ascii="Times New Roman" w:hAnsi="Times New Roman" w:cs="Times New Roman"/>
        </w:rPr>
        <w:t xml:space="preserve"> or ‘agent characteristics’</w:t>
      </w:r>
      <w:r w:rsidR="00BB56CB">
        <w:rPr>
          <w:rFonts w:ascii="Times New Roman" w:hAnsi="Times New Roman" w:cs="Times New Roman"/>
        </w:rPr>
        <w:t xml:space="preserve"> </w:t>
      </w:r>
      <w:r w:rsidR="00BB56CB">
        <w:rPr>
          <w:rFonts w:ascii="Times New Roman" w:hAnsi="Times New Roman" w:cs="Times New Roman"/>
        </w:rPr>
        <w:fldChar w:fldCharType="begin" w:fldLock="1"/>
      </w:r>
      <w:r w:rsidR="00BB56CB">
        <w:rPr>
          <w:rFonts w:ascii="Times New Roman" w:hAnsi="Times New Roman" w:cs="Times New Roman"/>
        </w:rPr>
        <w:instrText>ADDIN CSL_CITATION {"citationItems":[{"id":"ITEM-1","itemData":{"DOI":"10.1016/j.respol.2014.06.008","ISBN":"00487333","ISSN":"00487333","PMID":"1478595","abstract":"The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Policy","id":"ITEM-1","issue":"1","issued":{"date-parts":[["2015"]]},"page":"34-49","publisher":"Elsevier B.V.","title":"The evolving state-of-the-art in technology transfer research: Revisiting the contingent effectiveness model","type":"article-journal","volume":"44"},"uris":["http://www.mendeley.com/documents/?uuid=245549ef-970b-4ea4-984e-4a869649a3c5"]}],"mendeley":{"formattedCitation":"(Bozeman et al., 2015)","plainTextFormattedCitation":"(Bozeman et al., 2015)","previouslyFormattedCitation":"(Bozeman et al., 2015)"},"properties":{"noteIndex":0},"schema":"https://github.com/citation-style-language/schema/raw/master/csl-citation.json"}</w:instrText>
      </w:r>
      <w:r w:rsidR="00BB56CB">
        <w:rPr>
          <w:rFonts w:ascii="Times New Roman" w:hAnsi="Times New Roman" w:cs="Times New Roman"/>
        </w:rPr>
        <w:fldChar w:fldCharType="separate"/>
      </w:r>
      <w:r w:rsidR="00BB56CB" w:rsidRPr="00BB56CB">
        <w:rPr>
          <w:rFonts w:ascii="Times New Roman" w:hAnsi="Times New Roman" w:cs="Times New Roman"/>
          <w:noProof/>
        </w:rPr>
        <w:t>(Bozeman et al., 2015)</w:t>
      </w:r>
      <w:r w:rsidR="00BB56CB">
        <w:rPr>
          <w:rFonts w:ascii="Times New Roman" w:hAnsi="Times New Roman" w:cs="Times New Roman"/>
        </w:rPr>
        <w:fldChar w:fldCharType="end"/>
      </w:r>
      <w:r w:rsidR="000035D2" w:rsidRPr="00EF66BB">
        <w:rPr>
          <w:rFonts w:ascii="Times New Roman" w:hAnsi="Times New Roman" w:cs="Times New Roman"/>
        </w:rPr>
        <w:t>. The role that technology transfer offices (TTOs) play in promoting technology transfer activity has been subject to extensive empirical analysis</w:t>
      </w:r>
      <w:r w:rsidR="00BB56CB">
        <w:rPr>
          <w:rFonts w:ascii="Times New Roman" w:hAnsi="Times New Roman" w:cs="Times New Roman"/>
        </w:rPr>
        <w:t xml:space="preserve"> </w:t>
      </w:r>
      <w:r w:rsidR="00BB56CB">
        <w:rPr>
          <w:rFonts w:ascii="Times New Roman" w:hAnsi="Times New Roman" w:cs="Times New Roman"/>
        </w:rPr>
        <w:fldChar w:fldCharType="begin" w:fldLock="1"/>
      </w:r>
      <w:r w:rsidR="005C76D1">
        <w:rPr>
          <w:rFonts w:ascii="Times New Roman" w:hAnsi="Times New Roman" w:cs="Times New Roman"/>
        </w:rPr>
        <w:instrText>ADDIN CSL_CITATION {"citationItems":[{"id":"ITEM-1","itemData":{"author":[{"dropping-particle":"","family":"Siegel","given":"Donald","non-dropping-particle":"","parse-names":false,"suffix":""},{"dropping-particle":"","family":"Wright","given":"Mike","non-dropping-particle":"","parse-names":false,"suffix":""}],"container-title":"The Chicago Handbook of University Technology Transfer and Academic Entrepreneurship","id":"ITEM-1","issued":{"date-parts":[["2015"]]},"page":"1-40","title":"University Technology Transfer Offices, Licensing and Start-Ups","type":"article-journal"},"uris":["http://www.mendeley.com/documents/?uuid=fe76100e-4794-40f5-abd9-8ecf8418b924"]},{"id":"ITEM-2","itemData":{"DOI":"10.1016/j.respol.2017.03.008","ISSN":"00487333","abstract":"This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Policy","id":"ITEM-2","issue":"5","issued":{"date-parts":[["2017"]]},"page":"881-897","publisher":"Elsevier B.V.","title":"University research and knowledge transfer: A dynamic view of ambidexterity in british universities","type":"article-journal","volume":"46"},"uris":["http://www.mendeley.com/documents/?uuid=1bae52b2-2b76-4a4b-9383-c1e21964cb01"]},{"id":"ITEM-3","itemData":{"DOI":"10.1016/j.respol.2011.02.001","ISBN":"0048-7333","ISSN":"00487333","PMID":"2891","abstract":"The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Policy","id":"ITEM-3","issue":"4","issued":{"date-parts":[["2011"]]},"page":"553-564","publisher":"Elsevier B.V.","title":"Entrepreneurial effectiveness of European universities: An empirical assessment of antecedents and trade-offs","type":"article-journal","volume":"40"},"uris":["http://www.mendeley.com/documents/?uuid=efca2164-cee4-4742-ab17-7b8416ace40b"]},{"id":"ITEM-4","itemData":{"DOI":"10.1016/j.respol.2010.05.016","ISBN":"00487333","ISSN":"00487333","PMID":"53969080","abstract":"This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Policy","id":"ITEM-4","issue":"9","issued":{"date-parts":[["2010"]]},"page":"1160-1173","publisher":"Elsevier B.V.","title":"Performance of Spanish universities in technology transfer: An empirical analysis","type":"article-journal","volume":"39"},"uris":["http://www.mendeley.com/documents/?uuid=d43816cf-2ca3-4387-aef7-64719dd222a6"]},{"id":"ITEM-5","itemData":{"DOI":"10.1093/icc/dtm023","ISBN":"0960-6491","ISSN":"09606491","abstract":"The literature on university entrepreneurship is rapidly expanding, in both the United States and Europe. Since the literature is also fairly fragmented, however, we submit that it is time to take stock of the current knowledge to provide directions for future research and guideposts for policy makers. To accomplish this, we present an unusually comprehensive and detailed literature analysis of the stream of research on university entrepreneurship, now encompassing 173 articles published in a variety of academic journals. Four major research streams emerge in this area of study: (i) entrepreneurial research university, (ii) productivity of technology transfer offices, (iii) new firm creation, and (iv) environmental context including networks of innovation. We inductively derive a framework describing the dynamic process of university entrepreneurship based on a synthesis of the literature. We submit that this framework is useful in guiding future research on this important, yet complex and under-researched topic.","author":[{"dropping-particle":"","family":"Rothaermel","given":"Frank T.","non-dropping-particle":"","parse-names":false,"suffix":""},{"dropping-particle":"","family":"Agung","given":"Shanti D.","non-dropping-particle":"","parse-names":false,"suffix":""},{"dropping-particle":"","family":"Jiang","given":"Lin","non-dropping-particle":"","parse-names":false,"suffix":""}],"container-title":"Industrial and Corporate Change","id":"ITEM-5","issue":"4","issued":{"date-parts":[["2007"]]},"page":"691-791","title":"University entrepreneurship: A taxonomy of the literature","type":"article-journal","volume":"16"},"uris":["http://www.mendeley.com/documents/?uuid=5357c8bd-4f94-4314-8ab0-1173b7db7f62"]},{"id":"ITEM-6","itemData":{"DOI":"10.1007/s10961-009-9129-z","ISBN":"1096100991","author":[{"dropping-particle":"","family":"Heisey","given":"Paul W","non-dropping-particle":"","parse-names":false,"suffix":""},{"dropping-particle":"","family":"Adelman","given":"Æ Sarah W","non-dropping-particle":"","parse-names":false,"suffix":""}],"id":"ITEM-6","issued":{"date-parts":[["2011"]]},"page":"38-60","title":"and university licensing revenue","type":"article-journal"},"uris":["http://www.mendeley.com/documents/?uuid=c4ddc740-e8bb-478b-be69-e1d8a02e8d39"]},{"id":"ITEM-7","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Policy","id":"ITEM-7","issue":"1","issued":{"date-parts":[["2003","1"]]},"page":"27-48","title":"Assessing the impact of organizational practices on the relative productivity of university technology transfer offices: an exploratory study","type":"article-journal","volume":"32"},"uris":["http://www.mendeley.com/documents/?uuid=e46987f6-89c5-3b6f-b14b-8fc764f55f9f"]}],"mendeley":{"formattedCitation":"(Caldera and Debande, 2010a; Heisey and Adelman, 2011; Rothaermel et al., 2007; Sengupta and Ray, 2017a; Siegel et al., 2003; Siegel and Wright, 2015b; Van Looy et al., 2011)","plainTextFormattedCitation":"(Caldera and Debande, 2010a; Heisey and Adelman, 2011; Rothaermel et al., 2007; Sengupta and Ray, 2017a; Siegel et al., 2003; Siegel and Wright, 2015b; Van Looy et al., 2011)","previouslyFormattedCitation":"(Caldera and Debande, 2010a; Heisey and Adelman, 2011; Rothaermel et al., 2007; Sengupta and Ray, 2017a; Siegel et al., 2003; Siegel and Wright, 2015b; Van Looy et al., 2011)"},"properties":{"noteIndex":0},"schema":"https://github.com/citation-style-language/schema/raw/master/csl-citation.json"}</w:instrText>
      </w:r>
      <w:r w:rsidR="00BB56CB">
        <w:rPr>
          <w:rFonts w:ascii="Times New Roman" w:hAnsi="Times New Roman" w:cs="Times New Roman"/>
        </w:rPr>
        <w:fldChar w:fldCharType="separate"/>
      </w:r>
      <w:r w:rsidR="005C76D1" w:rsidRPr="005C76D1">
        <w:rPr>
          <w:rFonts w:ascii="Times New Roman" w:hAnsi="Times New Roman" w:cs="Times New Roman"/>
          <w:noProof/>
        </w:rPr>
        <w:t>(Caldera and Debande, 2010a; Heisey and Adelman, 2011; Rothaermel et al., 2007; Sengupta and Ray, 2017a; Siegel et al., 2003; Siegel and Wright, 2015b; Van Looy et al., 2011)</w:t>
      </w:r>
      <w:r w:rsidR="00BB56CB">
        <w:rPr>
          <w:rFonts w:ascii="Times New Roman" w:hAnsi="Times New Roman" w:cs="Times New Roman"/>
        </w:rPr>
        <w:fldChar w:fldCharType="end"/>
      </w:r>
      <w:r w:rsidR="000035D2" w:rsidRPr="00EF66BB">
        <w:rPr>
          <w:rFonts w:ascii="Times New Roman" w:hAnsi="Times New Roman" w:cs="Times New Roman"/>
        </w:rPr>
        <w:t>. Another key organisational antecedent highlighted is the provision of incentives for staff to engage in commercialisation activity</w:t>
      </w:r>
      <w:r w:rsidR="00BB56CB">
        <w:rPr>
          <w:rFonts w:ascii="Times New Roman" w:hAnsi="Times New Roman" w:cs="Times New Roman"/>
        </w:rPr>
        <w:t xml:space="preserve"> </w:t>
      </w:r>
      <w:r w:rsidR="00BB56CB">
        <w:rPr>
          <w:rFonts w:ascii="Times New Roman" w:hAnsi="Times New Roman" w:cs="Times New Roman"/>
        </w:rPr>
        <w:fldChar w:fldCharType="begin" w:fldLock="1"/>
      </w:r>
      <w:r w:rsidR="00CD0532">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Spain","type":"article-journal","volume":"45"},"uris":["http://www.mendeley.com/documents/?uuid=9dc55724-30e7-4819-98fd-32f02e1caf8d"]},{"id":"ITEM-2","itemData":{"DOI":"10.1023/A:1021674618658","ISBN":"0892-9912","ISSN":"0892-9912","abstract":"University technology transfer activities are increasingly important as a source of regional economic development and revenue for the university. We use regression analysis, a two-stage model and the most recent data to examine the determinants of technology transfer. Our analysis strongly support four factors, not previously examined in the literature, enhancing university technology transfer: greater rewards for faculty involvement in technology transfer, location of the university in a region with a concentration of high technology firms, a clear university mission in support of technology transfer and the experience of the university's technology transfer office.","author":[{"dropping-particle":"","family":"Friedman","given":"Joseph","non-dropping-particle":"","parse-names":false,"suffix":""},{"dropping-particle":"","family":"Silberman","given":"Jonathan","non-dropping-particle":"","parse-names":false,"suffix":""}],"container-title":"The Journal of Technology Transfer","id":"ITEM-2","issue":"1","issued":{"date-parts":[["2003"]]},"page":"17-30","title":"University Technology Transfer: Do Incentives, Management, and Location Matter?","type":"article-journal","volume":"28"},"uris":["http://www.mendeley.com/documents/?uuid=374e8e75-56c8-4c4e-a6bd-e5796bfc2ca5"]},{"id":"ITEM-3","itemData":{"DOI":"10.1016/j.respol.2005.01.005","ISBN":"0048-7333","ISSN":"00487333","PMID":"599","abstract":"This article discusses salient trends in university-based technology initiatives in the United States and Europe, and it summarizes the papers contained in this special issue.","author":[{"dropping-particle":"","family":"Link","given":"Albert N.","non-dropping-particle":"","parse-names":false,"suffix":""},{"dropping-particle":"","family":"Siegel","given":"Donald","non-dropping-particle":"","parse-names":false,"suffix":""}],"container-title":"Research Policy","id":"ITEM-3","issue":"3","issued":{"date-parts":[["2005"]]},"page":"253-257","title":"University-based technology initiatives: Quantitative and qualitative evidence","type":"article-journal","volume":"34"},"uris":["http://www.mendeley.com/documents/?uuid=898545c9-834c-423a-aa3f-4da3b3627a38"]},{"id":"ITEM-4","itemData":{"DOI":"10.1016/j.respol.2010.05.016","ISBN":"00487333","ISSN":"00487333","PMID":"53969080","abstract":"This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Policy","id":"ITEM-4","issue":"9","issued":{"date-parts":[["2010"]]},"page":"1160-1173","publisher":"Elsevier B.V.","title":"Performance of Spanish universities in technology transfer: An empirical analysis","type":"article-journal","volume":"39"},"uris":["http://www.mendeley.com/documents/?uuid=d43816cf-2ca3-4387-aef7-64719dd222a6"]},{"id":"ITEM-5","itemData":{"DOI":"10.1016/j.respol.2011.09.002","ISBN":"00487333","ISSN":"00487333","PMID":"26053391","abstract":"This paper employs the three concepts of 'gold' (financial rewards), 'ribbon' (reputational/career rewards) and 'puzzle' (intrinsic satisfaction) to examine the extrinsic and intrinsic aspects of scientists' motivation for pursuing commercial activities. The study is based on 36 individual interviews and an on-line questionnaire survey of 735 scientists from five major UK research universities. It finds that there is a diversity of motivations for commercial engagement, and that many do so for reputational and intrinsic reasons and that financial rewards play a relatively small part. The paper draws on self-determination theory in social psychology to analyse the relationship between scientists' value orientations with regard to commercial engagement and their personal motivations. It finds that those with traditional beliefs about the separation of science from commerce are more likely to be extrinsically motivated, using commercialization as a means to obtain resources to support their quest for the 'ribbon'. In contrast, those identify closely with entrepreneurial norms are intrinsically motivated by the autonomy and 'puzzle-solving' involved in applied commercial research while also motivated by the 'gold'. The study highlights the primacy of scientists' self-motivation, and suggests that a fuller explanation of their commercial behaviour will need to consider a broader mix of motives to include the social and affective aspects of intrinsic motivation. In conclusion, the paper argues that policy to encourage commercial engagement should build on reputational and intrinsic rather than purely financial motivations. © 2011 Elsevier B.V. All rights reserved.","author":[{"dropping-particle":"","family":"Lam","given":"Alice","non-dropping-particle":"","parse-names":false,"suffix":""}],"container-title":"Research Policy","id":"ITEM-5","issue":"10","issued":{"date-parts":[["2011"]]},"page":"1354-1368","title":"What motivates academic scientists to engage in research commercialization: 'Gold', 'ribbon' or 'puzzle'?","type":"article-journal","volume":"40"},"uris":["http://www.mendeley.com/documents/?uuid=7ffd5fa0-3822-435f-8e79-8bf2dc7f9b34"]},{"id":"ITEM-6","itemData":{"DOI":"10.1111/j.0741-6261.2008.00020.x","ISBN":"0741-6261","ISSN":"07416261","PMID":"2877","abstract":"We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Economics","id":"ITEM-6","issue":"2","issued":{"date-parts":[["2008"]]},"page":"403-433","title":"Incentives and invention in universities","type":"article-journal","volume":"39"},"uris":["http://www.mendeley.com/documents/?uuid=5cc5deac-babe-4731-9ce4-35098d057334"]},{"id":"ITEM-7","itemData":{"DOI":"10.1162/154247604323067961","ISBN":"15424766","ISSN":"15424774","PMID":"2982","abstract":"Using data for 102 U.S. universities, we show that royalty-sharing arrangements (cash flow rights) vary substantially across universities and that they are largely unrelated to most observed university characteristics including faculty size, quality, research funding, technology mix of the faculty, and size of the technology licensing office. However, higher inventors' royalty shares are associated with higher licensing income at the university, controlling for other factors. The results suggest that monetary incentives from inventions have real effects in the university sector.","author":[{"dropping-particle":"","family":"Lach","given":"Saul","non-dropping-particle":"","parse-names":false,"suffix":""},{"dropping-particle":"","family":"Schankerman","given":"Mark","non-dropping-particle":"","parse-names":false,"suffix":""}],"container-title":"Journal of the European Economic Association","id":"ITEM-7","issue":"2-3","issued":{"date-parts":[["2004"]]},"page":"252-264","title":"Royalty sharing and technology licensing in universities","type":"article-journal","volume":"2"},"uris":["http://www.mendeley.com/documents/?uuid=e231f31f-4136-4996-9639-55e279210b67"]}],"mendeley":{"formattedCitation":"(Arqué-Castells et al., 2016; Caldera and Debande, 2010a; Friedman and Silberman, 2003; Lach and Schankerman, 2004, 2008; Lam, 2011; Link and Siegel, 2005)","plainTextFormattedCitation":"(Arqué-Castells et al., 2016; Caldera and Debande, 2010a; Friedman and Silberman, 2003; Lach and Schankerman, 2004, 2008; Lam, 2011; Link and Siegel, 2005)","previouslyFormattedCitation":"(Arqué-Castells et al., 2016; Caldera and Debande, 2010a; Friedman and Silberman, 2003; Lach and Schankerman, 2008, 2004; Lam, 2011; Link and Siegel, 2005)"},"properties":{"noteIndex":0},"schema":"https://github.com/citation-style-language/schema/raw/master/csl-citation.json"}</w:instrText>
      </w:r>
      <w:r w:rsidR="00BB56CB">
        <w:rPr>
          <w:rFonts w:ascii="Times New Roman" w:hAnsi="Times New Roman" w:cs="Times New Roman"/>
        </w:rPr>
        <w:fldChar w:fldCharType="separate"/>
      </w:r>
      <w:r w:rsidR="00CD0532" w:rsidRPr="00CD0532">
        <w:rPr>
          <w:rFonts w:ascii="Times New Roman" w:hAnsi="Times New Roman" w:cs="Times New Roman"/>
          <w:noProof/>
        </w:rPr>
        <w:t>(Arqué-Castells et al., 2016; Caldera and Debande, 2010a; Friedman and Silberman, 2003; Lach and Schankerman, 2004, 2008; Lam, 2011; Link and Siegel, 2005)</w:t>
      </w:r>
      <w:r w:rsidR="00BB56CB">
        <w:rPr>
          <w:rFonts w:ascii="Times New Roman" w:hAnsi="Times New Roman" w:cs="Times New Roman"/>
        </w:rPr>
        <w:fldChar w:fldCharType="end"/>
      </w:r>
      <w:r w:rsidR="000035D2" w:rsidRPr="00EF66BB">
        <w:rPr>
          <w:rFonts w:ascii="Times New Roman" w:hAnsi="Times New Roman" w:cs="Times New Roman"/>
        </w:rPr>
        <w:t xml:space="preserve">. </w:t>
      </w:r>
      <w:r w:rsidR="004E08FB" w:rsidRPr="00EF66BB">
        <w:rPr>
          <w:rFonts w:ascii="Times New Roman" w:hAnsi="Times New Roman" w:cs="Times New Roman"/>
        </w:rPr>
        <w:t>Interestingly, results from this existing research are ambiguous with regards to the effect of these organisational configurations on technology transfer effectiveness, with some demonstrating positive associations between TTO support, incentives and technology transfer effectiveness and others demonstrating inverse relationships.</w:t>
      </w:r>
    </w:p>
    <w:p w14:paraId="4900FC2F" w14:textId="77777777" w:rsidR="004A7BC7" w:rsidRPr="00EF66BB" w:rsidRDefault="004A7BC7" w:rsidP="00141231">
      <w:pPr>
        <w:spacing w:line="360" w:lineRule="auto"/>
        <w:rPr>
          <w:rFonts w:ascii="Times New Roman" w:hAnsi="Times New Roman" w:cs="Times New Roman"/>
        </w:rPr>
      </w:pPr>
    </w:p>
    <w:p w14:paraId="48DF05F9" w14:textId="526141C2" w:rsidR="004E08FB" w:rsidRPr="00EF66BB" w:rsidRDefault="004E08FB" w:rsidP="00141231">
      <w:pPr>
        <w:spacing w:line="360" w:lineRule="auto"/>
        <w:rPr>
          <w:rFonts w:ascii="Times New Roman" w:hAnsi="Times New Roman" w:cs="Times New Roman"/>
        </w:rPr>
      </w:pPr>
      <w:r w:rsidRPr="00EF66BB">
        <w:rPr>
          <w:rFonts w:ascii="Times New Roman" w:hAnsi="Times New Roman" w:cs="Times New Roman"/>
        </w:rPr>
        <w:t xml:space="preserve">This research builds on the logic of Child’s </w:t>
      </w:r>
      <w:r w:rsidR="00BB56CB">
        <w:rPr>
          <w:rFonts w:ascii="Times New Roman" w:hAnsi="Times New Roman" w:cs="Times New Roman"/>
        </w:rPr>
        <w:fldChar w:fldCharType="begin" w:fldLock="1"/>
      </w:r>
      <w:r w:rsidR="0033458D">
        <w:rPr>
          <w:rFonts w:ascii="Times New Roman" w:hAnsi="Times New Roman" w:cs="Times New Roman"/>
        </w:rPr>
        <w:instrText>ADDIN CSL_CITATION {"citationItems":[{"id":"ITEM-1","itemData":{"DOI":"10.1177/017084069701800104","ISBN":"0170840697","ISSN":"0170-8406","PMID":"9709106242","abstract":"This paper examines the place of the strategic choice perspective in the study of organizations and considers its contemporary contribution. The main features of the original analysis are summarized, followed by a review of the key issues which arise from it. The paper discusses the integrative potential of strategic choice theory within organization studies and examines its contribution to an evolutionary perspective on the subject. [ABSTRACT FROM AUTHOR]","author":[{"dropping-particle":"","family":"Child","given":"John","non-dropping-particle":"","parse-names":false,"suffix":""}],"container-title":"Organization Studies","id":"ITEM-1","issue":"1","issued":{"date-parts":[["1997"]]},"page":"43-76","title":"Strategic Choice in the Analysis of Action, Structure, Organizations and Environment: Retrospect and Prospect","type":"article-journal","volume":"18"},"uris":["http://www.mendeley.com/documents/?uuid=567c0ecc-17f0-4a38-9892-c98cb98a9e33"]},{"id":"ITEM-2","itemData":{"author":[{"dropping-particle":"","family":"Child","given":"John","non-dropping-particle":"","parse-names":false,"suffix":""}],"container-title":"Sociology","id":"ITEM-2","issue":"1","issued":{"date-parts":[["1972"]]},"page":"1-22","title":"Organizational Structure, Environment and Performance: The Role of Strategic Choice","type":"article-journal","volume":"6"},"uris":["http://www.mendeley.com/documents/?uuid=8d8d803e-eaf2-4353-8bda-269822284514"]}],"mendeley":{"formattedCitation":"(Child, 1997, 1972)","manualFormatting":"(1997, 1972)","plainTextFormattedCitation":"(Child, 1997, 1972)","previouslyFormattedCitation":"(Child, 1997, 1972)"},"properties":{"noteIndex":0},"schema":"https://github.com/citation-style-language/schema/raw/master/csl-citation.json"}</w:instrText>
      </w:r>
      <w:r w:rsidR="00BB56CB">
        <w:rPr>
          <w:rFonts w:ascii="Times New Roman" w:hAnsi="Times New Roman" w:cs="Times New Roman"/>
        </w:rPr>
        <w:fldChar w:fldCharType="separate"/>
      </w:r>
      <w:r w:rsidR="00BB56CB">
        <w:rPr>
          <w:rFonts w:ascii="Times New Roman" w:hAnsi="Times New Roman" w:cs="Times New Roman"/>
          <w:noProof/>
        </w:rPr>
        <w:t>(</w:t>
      </w:r>
      <w:r w:rsidR="00BB56CB" w:rsidRPr="00BB56CB">
        <w:rPr>
          <w:rFonts w:ascii="Times New Roman" w:hAnsi="Times New Roman" w:cs="Times New Roman"/>
          <w:noProof/>
        </w:rPr>
        <w:t>1997, 1972)</w:t>
      </w:r>
      <w:r w:rsidR="00BB56CB">
        <w:rPr>
          <w:rFonts w:ascii="Times New Roman" w:hAnsi="Times New Roman" w:cs="Times New Roman"/>
        </w:rPr>
        <w:fldChar w:fldCharType="end"/>
      </w:r>
      <w:r w:rsidRPr="00EF66BB">
        <w:rPr>
          <w:rFonts w:ascii="Times New Roman" w:hAnsi="Times New Roman" w:cs="Times New Roman"/>
        </w:rPr>
        <w:t xml:space="preserve"> strategic choice theory to </w:t>
      </w:r>
      <w:r w:rsidR="007A1C70" w:rsidRPr="00EF66BB">
        <w:rPr>
          <w:rFonts w:ascii="Times New Roman" w:hAnsi="Times New Roman" w:cs="Times New Roman"/>
        </w:rPr>
        <w:t>explain inconsistencies in these results. Specifically, following Child’s prop</w:t>
      </w:r>
      <w:r w:rsidR="00DD1771" w:rsidRPr="00EF66BB">
        <w:rPr>
          <w:rFonts w:ascii="Times New Roman" w:hAnsi="Times New Roman" w:cs="Times New Roman"/>
        </w:rPr>
        <w:t xml:space="preserve">osal that it is the alignment between strategic choices and organisational configurations that determine operational effectiveness, we suggest that </w:t>
      </w:r>
      <w:r w:rsidR="00A96CB3">
        <w:rPr>
          <w:rFonts w:ascii="Times New Roman" w:hAnsi="Times New Roman" w:cs="Times New Roman"/>
        </w:rPr>
        <w:t>u</w:t>
      </w:r>
      <w:r w:rsidR="00DD1771" w:rsidRPr="00EF66BB">
        <w:rPr>
          <w:rFonts w:ascii="Times New Roman" w:hAnsi="Times New Roman" w:cs="Times New Roman"/>
        </w:rPr>
        <w:t xml:space="preserve">niversity strategic choices play a critical mediating role in determining the effectiveness of technology transfer activity. Therefore, our primary research question is “What role do strategic choices play in determining the effectiveness of university technology transfer activity?”. Recognising the significance of strategic planning in the role of strategy realisation, we also ask “What impact does strategic planning have on the effectiveness of technology transfer activity?”. </w:t>
      </w:r>
    </w:p>
    <w:p w14:paraId="39567D74" w14:textId="77777777" w:rsidR="00DD1771" w:rsidRPr="00EF66BB" w:rsidRDefault="00DD1771" w:rsidP="00141231">
      <w:pPr>
        <w:spacing w:line="360" w:lineRule="auto"/>
        <w:rPr>
          <w:rFonts w:ascii="Times New Roman" w:hAnsi="Times New Roman" w:cs="Times New Roman"/>
        </w:rPr>
      </w:pPr>
    </w:p>
    <w:p w14:paraId="6BBB7171" w14:textId="70BB50C6" w:rsidR="00B2280B" w:rsidRPr="00EF66BB" w:rsidRDefault="00DD1771" w:rsidP="00141231">
      <w:pPr>
        <w:spacing w:line="360" w:lineRule="auto"/>
        <w:rPr>
          <w:rFonts w:ascii="Times New Roman" w:hAnsi="Times New Roman" w:cs="Times New Roman"/>
        </w:rPr>
      </w:pPr>
      <w:r w:rsidRPr="00EF66BB">
        <w:rPr>
          <w:rFonts w:ascii="Times New Roman" w:hAnsi="Times New Roman" w:cs="Times New Roman"/>
        </w:rPr>
        <w:t xml:space="preserve">We draw upon data from 115 UK universities to answer these questions. The </w:t>
      </w:r>
      <w:r w:rsidR="004A7BC7" w:rsidRPr="00EF66BB">
        <w:rPr>
          <w:rFonts w:ascii="Times New Roman" w:hAnsi="Times New Roman" w:cs="Times New Roman"/>
        </w:rPr>
        <w:t>c</w:t>
      </w:r>
      <w:r w:rsidRPr="00EF66BB">
        <w:rPr>
          <w:rFonts w:ascii="Times New Roman" w:hAnsi="Times New Roman" w:cs="Times New Roman"/>
        </w:rPr>
        <w:t>ontext is significant since there is a large body of li</w:t>
      </w:r>
      <w:r w:rsidR="00AA0DA8" w:rsidRPr="00EF66BB">
        <w:rPr>
          <w:rFonts w:ascii="Times New Roman" w:hAnsi="Times New Roman" w:cs="Times New Roman"/>
        </w:rPr>
        <w:t>terature suggest</w:t>
      </w:r>
      <w:r w:rsidR="004A7BC7" w:rsidRPr="00EF66BB">
        <w:rPr>
          <w:rFonts w:ascii="Times New Roman" w:hAnsi="Times New Roman" w:cs="Times New Roman"/>
        </w:rPr>
        <w:t>ing</w:t>
      </w:r>
      <w:r w:rsidR="00AA0DA8" w:rsidRPr="00EF66BB">
        <w:rPr>
          <w:rFonts w:ascii="Times New Roman" w:hAnsi="Times New Roman" w:cs="Times New Roman"/>
        </w:rPr>
        <w:t xml:space="preserve"> that UK u</w:t>
      </w:r>
      <w:r w:rsidRPr="00EF66BB">
        <w:rPr>
          <w:rFonts w:ascii="Times New Roman" w:hAnsi="Times New Roman" w:cs="Times New Roman"/>
        </w:rPr>
        <w:t>n</w:t>
      </w:r>
      <w:r w:rsidR="00B2280B" w:rsidRPr="00EF66BB">
        <w:rPr>
          <w:rFonts w:ascii="Times New Roman" w:hAnsi="Times New Roman" w:cs="Times New Roman"/>
        </w:rPr>
        <w:t>iversities have</w:t>
      </w:r>
      <w:r w:rsidR="005F2294" w:rsidRPr="00EF66BB">
        <w:rPr>
          <w:rFonts w:ascii="Times New Roman" w:hAnsi="Times New Roman" w:cs="Times New Roman"/>
        </w:rPr>
        <w:t xml:space="preserve"> increasingly</w:t>
      </w:r>
      <w:r w:rsidR="00B2280B" w:rsidRPr="00EF66BB">
        <w:rPr>
          <w:rFonts w:ascii="Times New Roman" w:hAnsi="Times New Roman" w:cs="Times New Roman"/>
        </w:rPr>
        <w:t xml:space="preserve"> adopted managerial structures from the private sector over the past 30 years </w:t>
      </w:r>
      <w:r w:rsidR="0033458D">
        <w:rPr>
          <w:rFonts w:ascii="Times New Roman" w:hAnsi="Times New Roman" w:cs="Times New Roman"/>
        </w:rPr>
        <w:fldChar w:fldCharType="begin" w:fldLock="1"/>
      </w:r>
      <w:r w:rsidR="0033458D">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century","type":"article-journal","volume":"39"},"uris":["http://www.mendeley.com/documents/?uuid=24152560-a926-4d23-9fe1-dc68becea4bb"]},{"id":"ITEM-2","itemData":{"DOI":"10.1080/1360080X.2017.1354754","ISSN":"14699508","abstract":"This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Management","id":"ITEM-2","issue":"5","issued":{"date-parts":[["2017"]]},"page":"540-558","publisher":"Routledge","title":"Management and leadership in UK universities: exploring the possibilities of change","type":"article-journal","volume":"39"},"uris":["http://www.mendeley.com/documents/?uuid=53ffff0f-fb1a-477d-aae5-a1036f8cdc58"]}],"mendeley":{"formattedCitation":"(Burnes et al., 2014; Waring, 2017)","plainTextFormattedCitation":"(Burnes et al., 2014; Waring, 2017)","previouslyFormattedCitation":"(Burnes et al., 2014; Waring, 2017)"},"properties":{"noteIndex":0},"schema":"https://github.com/citation-style-language/schema/raw/master/csl-citation.json"}</w:instrText>
      </w:r>
      <w:r w:rsidR="0033458D">
        <w:rPr>
          <w:rFonts w:ascii="Times New Roman" w:hAnsi="Times New Roman" w:cs="Times New Roman"/>
        </w:rPr>
        <w:fldChar w:fldCharType="separate"/>
      </w:r>
      <w:r w:rsidR="0033458D" w:rsidRPr="0033458D">
        <w:rPr>
          <w:rFonts w:ascii="Times New Roman" w:hAnsi="Times New Roman" w:cs="Times New Roman"/>
          <w:noProof/>
        </w:rPr>
        <w:t>(Burnes et al., 2014; Waring, 2017)</w:t>
      </w:r>
      <w:r w:rsidR="0033458D">
        <w:rPr>
          <w:rFonts w:ascii="Times New Roman" w:hAnsi="Times New Roman" w:cs="Times New Roman"/>
        </w:rPr>
        <w:fldChar w:fldCharType="end"/>
      </w:r>
      <w:r w:rsidR="00B2280B" w:rsidRPr="00EF66BB">
        <w:rPr>
          <w:rFonts w:ascii="Times New Roman" w:hAnsi="Times New Roman" w:cs="Times New Roman"/>
        </w:rPr>
        <w:t>. In sum, our paper offer</w:t>
      </w:r>
      <w:r w:rsidR="00450A76">
        <w:rPr>
          <w:rFonts w:ascii="Times New Roman" w:hAnsi="Times New Roman" w:cs="Times New Roman"/>
        </w:rPr>
        <w:t>s the following contributions: F</w:t>
      </w:r>
      <w:r w:rsidR="00B2280B" w:rsidRPr="00EF66BB">
        <w:rPr>
          <w:rFonts w:ascii="Times New Roman" w:hAnsi="Times New Roman" w:cs="Times New Roman"/>
        </w:rPr>
        <w:t xml:space="preserve">irst, we show that it is the alignment between strategic choice and the scale of TTO support that determines technology transfer effectiveness. Second, we show that the relationship </w:t>
      </w:r>
      <w:r w:rsidR="00B2280B" w:rsidRPr="00EF66BB">
        <w:rPr>
          <w:rFonts w:ascii="Times New Roman" w:hAnsi="Times New Roman" w:cs="Times New Roman"/>
        </w:rPr>
        <w:lastRenderedPageBreak/>
        <w:t>between incentives and technology transfer effectiveness is partially contingent on the alignment between incentives and organisational strategic priorities</w:t>
      </w:r>
      <w:r w:rsidR="009D53F4">
        <w:rPr>
          <w:rFonts w:ascii="Times New Roman" w:hAnsi="Times New Roman" w:cs="Times New Roman"/>
        </w:rPr>
        <w:t xml:space="preserve"> </w:t>
      </w:r>
      <w:r w:rsidR="0033458D">
        <w:rPr>
          <w:rFonts w:ascii="Times New Roman" w:hAnsi="Times New Roman" w:cs="Times New Roman"/>
        </w:rPr>
        <w:fldChar w:fldCharType="begin" w:fldLock="1"/>
      </w:r>
      <w:r w:rsidR="00CD0532">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Spain","type":"article-journal","volume":"45"},"uris":["http://www.mendeley.com/documents/?uuid=9dc55724-30e7-4819-98fd-32f02e1caf8d"]}],"mendeley":{"formattedCitation":"(Arqué-Castells et al., 2016)","manualFormatting":"(see Arqué-Castells et al., 2016)","plainTextFormattedCitation":"(Arqué-Castells et al., 2016)","previouslyFormattedCitation":"(Arqué-Castells et al., 2016)"},"properties":{"noteIndex":0},"schema":"https://github.com/citation-style-language/schema/raw/master/csl-citation.json"}</w:instrText>
      </w:r>
      <w:r w:rsidR="0033458D">
        <w:rPr>
          <w:rFonts w:ascii="Times New Roman" w:hAnsi="Times New Roman" w:cs="Times New Roman"/>
        </w:rPr>
        <w:fldChar w:fldCharType="separate"/>
      </w:r>
      <w:r w:rsidR="0033458D" w:rsidRPr="0033458D">
        <w:rPr>
          <w:rFonts w:ascii="Times New Roman" w:hAnsi="Times New Roman" w:cs="Times New Roman"/>
          <w:noProof/>
        </w:rPr>
        <w:t>(</w:t>
      </w:r>
      <w:r w:rsidR="00D84A9D">
        <w:rPr>
          <w:rFonts w:ascii="Times New Roman" w:hAnsi="Times New Roman" w:cs="Times New Roman"/>
          <w:noProof/>
        </w:rPr>
        <w:t xml:space="preserve">see </w:t>
      </w:r>
      <w:r w:rsidR="0033458D" w:rsidRPr="0033458D">
        <w:rPr>
          <w:rFonts w:ascii="Times New Roman" w:hAnsi="Times New Roman" w:cs="Times New Roman"/>
          <w:noProof/>
        </w:rPr>
        <w:t>Arqué-Castells et al., 2016)</w:t>
      </w:r>
      <w:r w:rsidR="0033458D">
        <w:rPr>
          <w:rFonts w:ascii="Times New Roman" w:hAnsi="Times New Roman" w:cs="Times New Roman"/>
        </w:rPr>
        <w:fldChar w:fldCharType="end"/>
      </w:r>
      <w:r w:rsidR="0033458D">
        <w:rPr>
          <w:rFonts w:ascii="Times New Roman" w:hAnsi="Times New Roman" w:cs="Times New Roman"/>
        </w:rPr>
        <w:t>.</w:t>
      </w:r>
      <w:r w:rsidR="006651B0" w:rsidRPr="00EF66BB">
        <w:rPr>
          <w:rFonts w:ascii="Times New Roman" w:hAnsi="Times New Roman" w:cs="Times New Roman"/>
        </w:rPr>
        <w:t xml:space="preserve"> In combination</w:t>
      </w:r>
      <w:r w:rsidR="00D84A9D">
        <w:rPr>
          <w:rFonts w:ascii="Times New Roman" w:hAnsi="Times New Roman" w:cs="Times New Roman"/>
        </w:rPr>
        <w:t>,</w:t>
      </w:r>
      <w:r w:rsidR="006651B0" w:rsidRPr="00EF66BB">
        <w:rPr>
          <w:rFonts w:ascii="Times New Roman" w:hAnsi="Times New Roman" w:cs="Times New Roman"/>
        </w:rPr>
        <w:t xml:space="preserve"> these two contributions broadly demonstrate that investment in technology transfer infrastructure is </w:t>
      </w:r>
      <w:r w:rsidR="006651B0" w:rsidRPr="00EF66BB">
        <w:rPr>
          <w:rFonts w:ascii="Times New Roman" w:hAnsi="Times New Roman" w:cs="Times New Roman"/>
          <w:i/>
        </w:rPr>
        <w:t xml:space="preserve">necessary but not sufficient </w:t>
      </w:r>
      <w:r w:rsidR="006651B0" w:rsidRPr="00EF66BB">
        <w:rPr>
          <w:rFonts w:ascii="Times New Roman" w:hAnsi="Times New Roman" w:cs="Times New Roman"/>
        </w:rPr>
        <w:t xml:space="preserve">to enhance the effectiveness of university technology transfer activity. </w:t>
      </w:r>
      <w:r w:rsidR="00D84A9D">
        <w:rPr>
          <w:rFonts w:ascii="Times New Roman" w:hAnsi="Times New Roman" w:cs="Times New Roman"/>
        </w:rPr>
        <w:t>E</w:t>
      </w:r>
      <w:r w:rsidR="006651B0" w:rsidRPr="00EF66BB">
        <w:rPr>
          <w:rFonts w:ascii="Times New Roman" w:hAnsi="Times New Roman" w:cs="Times New Roman"/>
        </w:rPr>
        <w:t>ffectiveness is</w:t>
      </w:r>
      <w:r w:rsidR="00D84A9D">
        <w:rPr>
          <w:rFonts w:ascii="Times New Roman" w:hAnsi="Times New Roman" w:cs="Times New Roman"/>
        </w:rPr>
        <w:t xml:space="preserve"> determined by</w:t>
      </w:r>
      <w:r w:rsidR="006651B0" w:rsidRPr="00EF66BB">
        <w:rPr>
          <w:rFonts w:ascii="Times New Roman" w:hAnsi="Times New Roman" w:cs="Times New Roman"/>
        </w:rPr>
        <w:t xml:space="preserve"> the degree of </w:t>
      </w:r>
      <w:r w:rsidR="006651B0" w:rsidRPr="00EF66BB">
        <w:rPr>
          <w:rFonts w:ascii="Times New Roman" w:hAnsi="Times New Roman" w:cs="Times New Roman"/>
          <w:i/>
        </w:rPr>
        <w:t xml:space="preserve">alignment </w:t>
      </w:r>
      <w:r w:rsidR="006651B0" w:rsidRPr="00EF66BB">
        <w:rPr>
          <w:rFonts w:ascii="Times New Roman" w:hAnsi="Times New Roman" w:cs="Times New Roman"/>
        </w:rPr>
        <w:t>between technology transfer resources and university strategic priorities.</w:t>
      </w:r>
      <w:r w:rsidR="00A3738A" w:rsidRPr="00EF66BB">
        <w:rPr>
          <w:rFonts w:ascii="Times New Roman" w:hAnsi="Times New Roman" w:cs="Times New Roman"/>
        </w:rPr>
        <w:t xml:space="preserve"> </w:t>
      </w:r>
      <w:r w:rsidR="006651B0" w:rsidRPr="00EF66BB">
        <w:rPr>
          <w:rFonts w:ascii="Times New Roman" w:hAnsi="Times New Roman" w:cs="Times New Roman"/>
        </w:rPr>
        <w:t xml:space="preserve">Third, by integrating insights from </w:t>
      </w:r>
      <w:r w:rsidR="004A7BC7" w:rsidRPr="00EF66BB">
        <w:rPr>
          <w:rFonts w:ascii="Times New Roman" w:hAnsi="Times New Roman" w:cs="Times New Roman"/>
        </w:rPr>
        <w:t xml:space="preserve">the </w:t>
      </w:r>
      <w:r w:rsidR="006651B0" w:rsidRPr="00EF66BB">
        <w:rPr>
          <w:rFonts w:ascii="Times New Roman" w:hAnsi="Times New Roman" w:cs="Times New Roman"/>
        </w:rPr>
        <w:t xml:space="preserve">strategic planning literature, we show that the impact of strategic alignment is accentuated when strategic plans are developed with input </w:t>
      </w:r>
      <w:r w:rsidR="006651B0" w:rsidRPr="00EF66BB">
        <w:rPr>
          <w:rFonts w:ascii="Times New Roman" w:hAnsi="Times New Roman" w:cs="Times New Roman"/>
          <w:i/>
        </w:rPr>
        <w:t xml:space="preserve">across </w:t>
      </w:r>
      <w:r w:rsidR="006651B0" w:rsidRPr="00EF66BB">
        <w:rPr>
          <w:rFonts w:ascii="Times New Roman" w:hAnsi="Times New Roman" w:cs="Times New Roman"/>
        </w:rPr>
        <w:t xml:space="preserve">the </w:t>
      </w:r>
      <w:r w:rsidR="00A66AB9">
        <w:rPr>
          <w:rFonts w:ascii="Times New Roman" w:hAnsi="Times New Roman" w:cs="Times New Roman"/>
        </w:rPr>
        <w:t>u</w:t>
      </w:r>
      <w:r w:rsidR="006651B0" w:rsidRPr="00EF66BB">
        <w:rPr>
          <w:rFonts w:ascii="Times New Roman" w:hAnsi="Times New Roman" w:cs="Times New Roman"/>
        </w:rPr>
        <w:t xml:space="preserve">niversity. If no strategic planning is conducted or is conducted with limited engagement across faculties then the impact that strategic alignment has on technology transfer effectiveness is attenuated. This is the first study, to the best of our knowledge, that explicitly </w:t>
      </w:r>
      <w:r w:rsidR="00A3738A" w:rsidRPr="00EF66BB">
        <w:rPr>
          <w:rFonts w:ascii="Times New Roman" w:hAnsi="Times New Roman" w:cs="Times New Roman"/>
        </w:rPr>
        <w:t xml:space="preserve">examines the relationship between strategic planning and technology transfer effectiveness. By highlighting the significance of strategic choice and strategic planning in technology transfer, we </w:t>
      </w:r>
      <w:r w:rsidR="00D84A9D">
        <w:rPr>
          <w:rFonts w:ascii="Times New Roman" w:hAnsi="Times New Roman" w:cs="Times New Roman"/>
        </w:rPr>
        <w:t>suggest</w:t>
      </w:r>
      <w:r w:rsidR="00A3738A" w:rsidRPr="00EF66BB">
        <w:rPr>
          <w:rFonts w:ascii="Times New Roman" w:hAnsi="Times New Roman" w:cs="Times New Roman"/>
        </w:rPr>
        <w:t xml:space="preserve"> that this paper </w:t>
      </w:r>
      <w:r w:rsidR="00D84A9D">
        <w:rPr>
          <w:rFonts w:ascii="Times New Roman" w:hAnsi="Times New Roman" w:cs="Times New Roman"/>
        </w:rPr>
        <w:t>will</w:t>
      </w:r>
      <w:r w:rsidR="00A3738A" w:rsidRPr="00EF66BB">
        <w:rPr>
          <w:rFonts w:ascii="Times New Roman" w:hAnsi="Times New Roman" w:cs="Times New Roman"/>
        </w:rPr>
        <w:t xml:space="preserve"> form the basis </w:t>
      </w:r>
      <w:r w:rsidR="00812451">
        <w:rPr>
          <w:rFonts w:ascii="Times New Roman" w:hAnsi="Times New Roman" w:cs="Times New Roman"/>
        </w:rPr>
        <w:t>for</w:t>
      </w:r>
      <w:r w:rsidR="00A3738A" w:rsidRPr="00EF66BB">
        <w:rPr>
          <w:rFonts w:ascii="Times New Roman" w:hAnsi="Times New Roman" w:cs="Times New Roman"/>
        </w:rPr>
        <w:t xml:space="preserve"> future research that integrates constructs from broader strategy research with </w:t>
      </w:r>
      <w:r w:rsidR="00812451">
        <w:rPr>
          <w:rFonts w:ascii="Times New Roman" w:hAnsi="Times New Roman" w:cs="Times New Roman"/>
        </w:rPr>
        <w:t xml:space="preserve">the </w:t>
      </w:r>
      <w:r w:rsidR="00A3738A" w:rsidRPr="00EF66BB">
        <w:rPr>
          <w:rFonts w:ascii="Times New Roman" w:hAnsi="Times New Roman" w:cs="Times New Roman"/>
        </w:rPr>
        <w:t xml:space="preserve">technology transfer literature. </w:t>
      </w:r>
    </w:p>
    <w:p w14:paraId="642E17DB" w14:textId="77777777" w:rsidR="00EF17B1" w:rsidRPr="00EF66BB" w:rsidRDefault="00EF17B1" w:rsidP="00141231">
      <w:pPr>
        <w:spacing w:line="360" w:lineRule="auto"/>
        <w:rPr>
          <w:rFonts w:ascii="Times New Roman" w:hAnsi="Times New Roman" w:cs="Times New Roman"/>
        </w:rPr>
      </w:pPr>
    </w:p>
    <w:p w14:paraId="0A648ACD" w14:textId="63B8D3B8" w:rsidR="00EF66BB" w:rsidRPr="00EF66BB" w:rsidRDefault="001A3E4C" w:rsidP="00141231">
      <w:pPr>
        <w:pStyle w:val="Heading2"/>
        <w:spacing w:line="360" w:lineRule="auto"/>
        <w:rPr>
          <w:rFonts w:ascii="Times New Roman" w:hAnsi="Times New Roman" w:cs="Times New Roman"/>
          <w:sz w:val="24"/>
          <w:szCs w:val="24"/>
        </w:rPr>
      </w:pPr>
      <w:r w:rsidRPr="00EF66BB">
        <w:rPr>
          <w:rFonts w:ascii="Times New Roman" w:hAnsi="Times New Roman" w:cs="Times New Roman"/>
          <w:sz w:val="24"/>
          <w:szCs w:val="24"/>
        </w:rPr>
        <w:t>2.0 Theory Development</w:t>
      </w:r>
    </w:p>
    <w:p w14:paraId="421D64CF" w14:textId="3121CBE0" w:rsidR="001A3E4C" w:rsidRPr="00EF66BB" w:rsidRDefault="001A3E4C" w:rsidP="00141231">
      <w:pPr>
        <w:pStyle w:val="Heading3"/>
        <w:spacing w:line="360" w:lineRule="auto"/>
        <w:rPr>
          <w:rFonts w:ascii="Times New Roman" w:hAnsi="Times New Roman" w:cs="Times New Roman"/>
        </w:rPr>
      </w:pPr>
      <w:r w:rsidRPr="00EF66BB">
        <w:rPr>
          <w:rFonts w:ascii="Times New Roman" w:hAnsi="Times New Roman" w:cs="Times New Roman"/>
        </w:rPr>
        <w:t xml:space="preserve">2.1 Technology </w:t>
      </w:r>
      <w:r w:rsidR="00414FA4">
        <w:rPr>
          <w:rFonts w:ascii="Times New Roman" w:hAnsi="Times New Roman" w:cs="Times New Roman"/>
        </w:rPr>
        <w:t>T</w:t>
      </w:r>
      <w:r w:rsidRPr="00EF66BB">
        <w:rPr>
          <w:rFonts w:ascii="Times New Roman" w:hAnsi="Times New Roman" w:cs="Times New Roman"/>
        </w:rPr>
        <w:t xml:space="preserve">ransfer </w:t>
      </w:r>
      <w:r w:rsidR="00414FA4">
        <w:rPr>
          <w:rFonts w:ascii="Times New Roman" w:hAnsi="Times New Roman" w:cs="Times New Roman"/>
        </w:rPr>
        <w:t>E</w:t>
      </w:r>
      <w:r w:rsidRPr="00EF66BB">
        <w:rPr>
          <w:rFonts w:ascii="Times New Roman" w:hAnsi="Times New Roman" w:cs="Times New Roman"/>
        </w:rPr>
        <w:t xml:space="preserve">ffectiveness, </w:t>
      </w:r>
      <w:r w:rsidR="00414FA4">
        <w:rPr>
          <w:rFonts w:ascii="Times New Roman" w:hAnsi="Times New Roman" w:cs="Times New Roman"/>
        </w:rPr>
        <w:t>I</w:t>
      </w:r>
      <w:r w:rsidRPr="00EF66BB">
        <w:rPr>
          <w:rFonts w:ascii="Times New Roman" w:hAnsi="Times New Roman" w:cs="Times New Roman"/>
        </w:rPr>
        <w:t xml:space="preserve">ncentives and </w:t>
      </w:r>
      <w:r w:rsidR="00414FA4">
        <w:rPr>
          <w:rFonts w:ascii="Times New Roman" w:hAnsi="Times New Roman" w:cs="Times New Roman"/>
        </w:rPr>
        <w:t>O</w:t>
      </w:r>
      <w:r w:rsidRPr="00EF66BB">
        <w:rPr>
          <w:rFonts w:ascii="Times New Roman" w:hAnsi="Times New Roman" w:cs="Times New Roman"/>
        </w:rPr>
        <w:t xml:space="preserve">rganisational </w:t>
      </w:r>
      <w:r w:rsidR="00414FA4">
        <w:rPr>
          <w:rFonts w:ascii="Times New Roman" w:hAnsi="Times New Roman" w:cs="Times New Roman"/>
        </w:rPr>
        <w:t>S</w:t>
      </w:r>
      <w:r w:rsidRPr="00EF66BB">
        <w:rPr>
          <w:rFonts w:ascii="Times New Roman" w:hAnsi="Times New Roman" w:cs="Times New Roman"/>
        </w:rPr>
        <w:t xml:space="preserve">upport </w:t>
      </w:r>
      <w:r w:rsidR="00414FA4">
        <w:rPr>
          <w:rFonts w:ascii="Times New Roman" w:hAnsi="Times New Roman" w:cs="Times New Roman"/>
        </w:rPr>
        <w:t>S</w:t>
      </w:r>
      <w:r w:rsidRPr="00EF66BB">
        <w:rPr>
          <w:rFonts w:ascii="Times New Roman" w:hAnsi="Times New Roman" w:cs="Times New Roman"/>
        </w:rPr>
        <w:t>tructures</w:t>
      </w:r>
    </w:p>
    <w:p w14:paraId="23317AEF" w14:textId="659DD3BD" w:rsidR="001A3E4C" w:rsidRPr="00EF66BB" w:rsidRDefault="001A3E4C" w:rsidP="00141231">
      <w:pPr>
        <w:spacing w:line="360" w:lineRule="auto"/>
        <w:rPr>
          <w:rFonts w:ascii="Times New Roman" w:hAnsi="Times New Roman" w:cs="Times New Roman"/>
        </w:rPr>
      </w:pPr>
      <w:r w:rsidRPr="00EF66BB">
        <w:rPr>
          <w:rFonts w:ascii="Times New Roman" w:hAnsi="Times New Roman" w:cs="Times New Roman"/>
        </w:rPr>
        <w:t xml:space="preserve">The Contingent Effectiveness Model of Technology Transfer (CEMTT) </w:t>
      </w:r>
      <w:r w:rsidR="0033458D">
        <w:rPr>
          <w:rFonts w:ascii="Times New Roman" w:hAnsi="Times New Roman" w:cs="Times New Roman"/>
        </w:rPr>
        <w:fldChar w:fldCharType="begin" w:fldLock="1"/>
      </w:r>
      <w:r w:rsidR="0033458D">
        <w:rPr>
          <w:rFonts w:ascii="Times New Roman" w:hAnsi="Times New Roman" w:cs="Times New Roman"/>
        </w:rPr>
        <w:instrText>ADDIN CSL_CITATION {"citationItems":[{"id":"ITEM-1","itemData":{"DOI":"10.1016/S0048-7333(99)00093-1","ISBN":"0958-2029","ISSN":"00487333","PMID":"15868165","abstract":"My purpose is to review, synthesize and criticize the voluminous, multidisciplinary literature on technology transfer. To reduce the literature to manageable proportions, I focus chiefly (not exclusively) on recent literature on domestic technology transfer from universities and government laboratories. I begin by examining a set of fundamental conceptual issues, especially the ways in which the analytical ambiguities surrounding technology transfer concepts affect research and theory. My literature review follows and I emphasize technology transfer's impact and effectiveness. I employ a “Contingent Effectiveness Model of Technology Transfer” to organize the literature. As the model's name implies, it assumes that technology effectiveness can take a variety of forms. In addition to examining the more traditional effectiveness criteria- those rooted in market impacts- the model considers a number of alternative effectiveness criteria, including political effectiveness, capacity-building.","author":[{"dropping-particle":"","family":"Bozeman","given":"Barry","non-dropping-particle":"","parse-names":false,"suffix":""}],"container-title":"Research Policy","id":"ITEM-1","issue":"4-5","issued":{"date-parts":[["2000"]]},"page":"627-655","title":"Technology transfer and public policy: a review of research and theory","type":"article-journal","volume":"29"},"uris":["http://www.mendeley.com/documents/?uuid=1e4bfa8c-dddd-49c8-ad44-13fd6406019f"]},{"id":"ITEM-2","itemData":{"DOI":"10.1016/j.respol.2014.06.008","ISBN":"00487333","ISSN":"00487333","PMID":"1478595","abstract":"The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Policy","id":"ITEM-2","issue":"1","issued":{"date-parts":[["2015"]]},"page":"34-49","publisher":"Elsevier B.V.","title":"The evolving state-of-the-art in technology transfer research: Revisiting the contingent effectiveness model","type":"article-journal","volume":"44"},"uris":["http://www.mendeley.com/documents/?uuid=245549ef-970b-4ea4-984e-4a869649a3c5"]}],"mendeley":{"formattedCitation":"(Bozeman, 2000; Bozeman et al., 2015)","plainTextFormattedCitation":"(Bozeman, 2000; Bozeman et al., 2015)","previouslyFormattedCitation":"(Bozeman, 2000; Bozeman et al., 2015)"},"properties":{"noteIndex":0},"schema":"https://github.com/citation-style-language/schema/raw/master/csl-citation.json"}</w:instrText>
      </w:r>
      <w:r w:rsidR="0033458D">
        <w:rPr>
          <w:rFonts w:ascii="Times New Roman" w:hAnsi="Times New Roman" w:cs="Times New Roman"/>
        </w:rPr>
        <w:fldChar w:fldCharType="separate"/>
      </w:r>
      <w:r w:rsidR="0033458D" w:rsidRPr="0033458D">
        <w:rPr>
          <w:rFonts w:ascii="Times New Roman" w:hAnsi="Times New Roman" w:cs="Times New Roman"/>
          <w:noProof/>
        </w:rPr>
        <w:t>(Bozeman, 2000; Bozeman et al., 2015)</w:t>
      </w:r>
      <w:r w:rsidR="0033458D">
        <w:rPr>
          <w:rFonts w:ascii="Times New Roman" w:hAnsi="Times New Roman" w:cs="Times New Roman"/>
        </w:rPr>
        <w:fldChar w:fldCharType="end"/>
      </w:r>
      <w:r w:rsidR="00C93899">
        <w:rPr>
          <w:rFonts w:ascii="Times New Roman" w:hAnsi="Times New Roman" w:cs="Times New Roman"/>
        </w:rPr>
        <w:t xml:space="preserve"> </w:t>
      </w:r>
      <w:r w:rsidRPr="00EF66BB">
        <w:rPr>
          <w:rFonts w:ascii="Times New Roman" w:hAnsi="Times New Roman" w:cs="Times New Roman"/>
        </w:rPr>
        <w:t>provides a</w:t>
      </w:r>
      <w:r w:rsidR="00B24626" w:rsidRPr="00EF66BB">
        <w:rPr>
          <w:rFonts w:ascii="Times New Roman" w:hAnsi="Times New Roman" w:cs="Times New Roman"/>
        </w:rPr>
        <w:t xml:space="preserve"> cohesive</w:t>
      </w:r>
      <w:r w:rsidRPr="00EF66BB">
        <w:rPr>
          <w:rFonts w:ascii="Times New Roman" w:hAnsi="Times New Roman" w:cs="Times New Roman"/>
        </w:rPr>
        <w:t xml:space="preserve"> theoretical framework that</w:t>
      </w:r>
      <w:r w:rsidR="00FE6495" w:rsidRPr="00EF66BB">
        <w:rPr>
          <w:rFonts w:ascii="Times New Roman" w:hAnsi="Times New Roman" w:cs="Times New Roman"/>
        </w:rPr>
        <w:t xml:space="preserve"> identifies</w:t>
      </w:r>
      <w:r w:rsidRPr="00EF66BB">
        <w:rPr>
          <w:rFonts w:ascii="Times New Roman" w:hAnsi="Times New Roman" w:cs="Times New Roman"/>
        </w:rPr>
        <w:t xml:space="preserve"> the key contingencies on which </w:t>
      </w:r>
      <w:r w:rsidR="00FE6495" w:rsidRPr="00EF66BB">
        <w:rPr>
          <w:rFonts w:ascii="Times New Roman" w:hAnsi="Times New Roman" w:cs="Times New Roman"/>
        </w:rPr>
        <w:t xml:space="preserve">technology transfer effectiveness </w:t>
      </w:r>
      <w:r w:rsidRPr="00EF66BB">
        <w:rPr>
          <w:rFonts w:ascii="Times New Roman" w:hAnsi="Times New Roman" w:cs="Times New Roman"/>
        </w:rPr>
        <w:t>depends. Specifically, this framework draws attention to the characteristics of the transfer agent</w:t>
      </w:r>
      <w:r w:rsidR="00432AEA" w:rsidRPr="00EF66BB">
        <w:rPr>
          <w:rFonts w:ascii="Times New Roman" w:hAnsi="Times New Roman" w:cs="Times New Roman"/>
        </w:rPr>
        <w:t>;</w:t>
      </w:r>
      <w:r w:rsidRPr="00EF66BB">
        <w:rPr>
          <w:rFonts w:ascii="Times New Roman" w:hAnsi="Times New Roman" w:cs="Times New Roman"/>
        </w:rPr>
        <w:t xml:space="preserve"> the receiver</w:t>
      </w:r>
      <w:r w:rsidR="00432AEA" w:rsidRPr="00EF66BB">
        <w:rPr>
          <w:rFonts w:ascii="Times New Roman" w:hAnsi="Times New Roman" w:cs="Times New Roman"/>
        </w:rPr>
        <w:t>;</w:t>
      </w:r>
      <w:r w:rsidRPr="00EF66BB">
        <w:rPr>
          <w:rFonts w:ascii="Times New Roman" w:hAnsi="Times New Roman" w:cs="Times New Roman"/>
        </w:rPr>
        <w:t xml:space="preserve"> the transfer channel</w:t>
      </w:r>
      <w:r w:rsidR="00432AEA" w:rsidRPr="00EF66BB">
        <w:rPr>
          <w:rFonts w:ascii="Times New Roman" w:hAnsi="Times New Roman" w:cs="Times New Roman"/>
        </w:rPr>
        <w:t>;</w:t>
      </w:r>
      <w:r w:rsidRPr="00EF66BB">
        <w:rPr>
          <w:rFonts w:ascii="Times New Roman" w:hAnsi="Times New Roman" w:cs="Times New Roman"/>
        </w:rPr>
        <w:t xml:space="preserve"> and the transfer object. </w:t>
      </w:r>
      <w:r w:rsidR="00B24626" w:rsidRPr="00EF66BB">
        <w:rPr>
          <w:rFonts w:ascii="Times New Roman" w:hAnsi="Times New Roman" w:cs="Times New Roman"/>
        </w:rPr>
        <w:t xml:space="preserve">As well as defining the contingencies that underpin technology transfer effectiveness, </w:t>
      </w:r>
      <w:r w:rsidRPr="00EF66BB">
        <w:rPr>
          <w:rFonts w:ascii="Times New Roman" w:hAnsi="Times New Roman" w:cs="Times New Roman"/>
        </w:rPr>
        <w:t>Bozeman et al (2015)</w:t>
      </w:r>
      <w:r w:rsidR="00B24626" w:rsidRPr="00EF66BB">
        <w:rPr>
          <w:rFonts w:ascii="Times New Roman" w:hAnsi="Times New Roman" w:cs="Times New Roman"/>
        </w:rPr>
        <w:t xml:space="preserve"> offer several ‘effectiveness’ </w:t>
      </w:r>
      <w:r w:rsidR="001A25F9" w:rsidRPr="00EF66BB">
        <w:rPr>
          <w:rFonts w:ascii="Times New Roman" w:hAnsi="Times New Roman" w:cs="Times New Roman"/>
        </w:rPr>
        <w:t>principle</w:t>
      </w:r>
      <w:r w:rsidR="001A25F9">
        <w:rPr>
          <w:rFonts w:ascii="Times New Roman" w:hAnsi="Times New Roman" w:cs="Times New Roman"/>
        </w:rPr>
        <w:t>s</w:t>
      </w:r>
      <w:r w:rsidR="00B24626" w:rsidRPr="00EF66BB">
        <w:rPr>
          <w:rFonts w:ascii="Times New Roman" w:hAnsi="Times New Roman" w:cs="Times New Roman"/>
        </w:rPr>
        <w:t xml:space="preserve">. </w:t>
      </w:r>
      <w:r w:rsidR="00FE6495" w:rsidRPr="00EF66BB">
        <w:rPr>
          <w:rFonts w:ascii="Times New Roman" w:hAnsi="Times New Roman" w:cs="Times New Roman"/>
        </w:rPr>
        <w:t xml:space="preserve"> </w:t>
      </w:r>
      <w:r w:rsidR="00B24626" w:rsidRPr="00EF66BB">
        <w:rPr>
          <w:rFonts w:ascii="Times New Roman" w:hAnsi="Times New Roman" w:cs="Times New Roman"/>
        </w:rPr>
        <w:t>Specifically, they propose</w:t>
      </w:r>
      <w:r w:rsidR="00FE6495" w:rsidRPr="00EF66BB">
        <w:rPr>
          <w:rFonts w:ascii="Times New Roman" w:hAnsi="Times New Roman" w:cs="Times New Roman"/>
        </w:rPr>
        <w:t xml:space="preserve"> </w:t>
      </w:r>
      <w:r w:rsidRPr="00EF66BB">
        <w:rPr>
          <w:rFonts w:ascii="Times New Roman" w:hAnsi="Times New Roman" w:cs="Times New Roman"/>
        </w:rPr>
        <w:t>‘out-the-door’, ‘market impact’, ‘scientific and human capital’, ‘political’ and ‘public value’</w:t>
      </w:r>
      <w:r w:rsidR="00FE6495" w:rsidRPr="00EF66BB">
        <w:rPr>
          <w:rFonts w:ascii="Times New Roman" w:hAnsi="Times New Roman" w:cs="Times New Roman"/>
        </w:rPr>
        <w:t xml:space="preserve"> </w:t>
      </w:r>
      <w:r w:rsidR="00B24626" w:rsidRPr="00EF66BB">
        <w:rPr>
          <w:rFonts w:ascii="Times New Roman" w:hAnsi="Times New Roman" w:cs="Times New Roman"/>
        </w:rPr>
        <w:t>as</w:t>
      </w:r>
      <w:r w:rsidR="00FE6495" w:rsidRPr="00EF66BB">
        <w:rPr>
          <w:rFonts w:ascii="Times New Roman" w:hAnsi="Times New Roman" w:cs="Times New Roman"/>
        </w:rPr>
        <w:t xml:space="preserve"> key technology transfer</w:t>
      </w:r>
      <w:r w:rsidRPr="00EF66BB">
        <w:rPr>
          <w:rFonts w:ascii="Times New Roman" w:hAnsi="Times New Roman" w:cs="Times New Roman"/>
        </w:rPr>
        <w:t xml:space="preserve"> effectiveness criteri</w:t>
      </w:r>
      <w:r w:rsidR="00FE6495" w:rsidRPr="00EF66BB">
        <w:rPr>
          <w:rFonts w:ascii="Times New Roman" w:hAnsi="Times New Roman" w:cs="Times New Roman"/>
        </w:rPr>
        <w:t>a</w:t>
      </w:r>
      <w:r w:rsidRPr="00EF66BB">
        <w:rPr>
          <w:rFonts w:ascii="Times New Roman" w:hAnsi="Times New Roman" w:cs="Times New Roman"/>
        </w:rPr>
        <w:t xml:space="preserve">. Most published research pertaining to the effectiveness of university technology transfer operationalises the ‘out-the-door’ effectiveness criterion </w:t>
      </w:r>
      <w:r w:rsidR="0033458D">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{"citationItems":[{"id":"ITEM-1","itemData":{"DOI":"10.1016/j.respol.2012.09.007","ISBN":"0048-7333","ISSN":"00487333","abstract":"A considerable body of work highlights the relevance of collaborative research, contract research, consulting and informal relationships for university-industry knowledge transfer. We present a systematic review of research on academic scientists' involvement in these activities to which we refer as 'academic engagement'. Apart from extracting findings that are generalisable across studies, we ask how academic engagement differs from commercialisation, defined as intellectual property creation and academic entrepreneurship. We identify the individual, organisational and institutional antecedents and consequences of academic engagement, and then compare these findings with the antecedents and consequences of commercialisation. Apart from being more widely practiced, academic engagement is distinct from commercialisation in that it is closely aligned with traditional academic research activities, and pursued by academics to access resources supporting their research agendas. We conclude by identifying future research needs, opportunities for methodological improvement and policy interventions. © 2012 Elsevier B.V.","author":[{"dropping-particle":"","family":"Perkmann","given":"Markus","non-dropping-particle":"","parse-names":false,"suffix":""},{"dropping-particle":"","family":"Tartari","given":"Valentina","non-dropping-particle":"","parse-names":false,"suffix":""},{"dropping-particle":"","family":"McKelvey","given":"Maureen","non-dropping-particle":"","parse-names":false,"suffix":""},{"dropping-particle":"","family":"Autio","given":"Erkko","non-dropping-particle":"","parse-names":false,"suffix":""},{"dropping-particle":"","family":"Broström","given":"Anders","non-dropping-particle":"","parse-names":false,"suffix":""},{"dropping-particle":"","family":"D'Este","given":"Pablo","non-dropping-particle":"","parse-names":false,"suffix":""},{"dropping-particle":"","family":"Fini","given":"Riccardo","non-dropping-particle":"","parse-names":false,"suffix":""},{"dropping-particle":"","family":"Geuna","given":"Aldo","non-dropping-particle":"","parse-names":false,"suffix":""},{"dropping-particle":"","family":"Grimaldi","given":"Rosa","non-dropping-particle":"","parse-names":false,"suffix":""},{"dropping-particle":"","family":"Hughes","given":"Alan","non-dropping-particle":"","parse-names":false,"suffix":""},{"dropping-particle":"","family":"Krabel","given":"Stefan","non-dropping-particle":"","parse-names":false,"suffix":""},{"dropping-particle":"","family":"Kitson","given":"Michael","non-dropping-particle":"","parse-names":false,"suffix":""},{"dropping-particle":"","family":"Llerena","given":"Patrick","non-dropping-particle":"","parse-names":false,"suffix":""},{"dropping-particle":"","family":"Lissoni","given":"Franceso","non-dropping-particle":"","parse-names":false,"suffix":""},{"dropping-particle":"","family":"Salter","given":"Ammon","non-dropping-particle":"","parse-names":false,"suffix":""},{"dropping-particle":"","family":"Sobrero","given":"Maurizio","non-dropping-particle":"","parse-names":false,"suffix":""}],"container-title":"Research Policy","id":"ITEM-1","issue":"2","issued":{"date-parts":[["2013"]]},"page":"423-442","publisher":"Elsevier B.V.","title":"Academic engagement and commercialisation: A review of the literature on university-industry relations","type":"article-journal","volume":"42"},"uris":["http://www.mendeley.com/documents/?uuid=f40c6ec3-7d7a-4995-902e-d99cab391c98"]},{"id":"ITEM-2","itemData":{"DOI":"10.1016/j.respol.2014.06.008","ISBN":"00487333","ISSN":"00487333","PMID":"1478595","abstract":"The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Policy","id":"ITEM-2","issue":"1","issued":{"date-parts":[["2015"]]},"page":"34-49","publisher":"Elsevier B.V.","title":"The evolving state-of-the-art in technology transfer research: Revisiting the contingent effectiveness model","type":"article-journal","volume":"44"},"uris":["http://www.mendeley.com/documents/?uuid=245549ef-970b-4ea4-984e-4a869649a3c5"]},{"id":"ITEM-3","itemData":{"author":[{"dropping-particle":"","family":"Siegel","given":"Donald","non-dropping-particle":"","parse-names":false,"suffix":""},{"dropping-particle":"","family":"Wright","given":"Mike","non-dropping-particle":"","parse-names":false,"suffix":""}],"container-title":"The Chicago Handbook of University Technology Transfer and Academic Entrepreneurship","id":"ITEM-3","issued":{"date-parts":[["2015"]]},"page":"1-40","title":"University Technology Transfer Offices, Licensing and Start-Ups","type":"article-journal"},"uris":["http://www.mendeley.com/documents/?uuid=fe76100e-4794-40f5-abd9-8ecf8418b924"]},{"id":"ITEM-4","itemData":{"DOI":"10.1016/j.respol.2005.01.005","ISBN":"0048-7333","ISSN":"00487333","PMID":"599","abstract":"This article discusses salient trends in university-based technology initiatives in the United States and Europe, and it summarizes the papers contained in this special issue.","author":[{"dropping-particle":"","family":"Link","given":"Albert N.","non-dropping-particle":"","parse-names":false,"suffix":""},{"dropping-particle":"","family":"Siegel","given":"Donald","non-dropping-particle":"","parse-names":false,"suffix":""}],"container-title":"Research Policy","id":"ITEM-4","issue":"3","issued":{"date-parts":[["2005"]]},"page":"253-257","title":"University-based technology initiatives: Quantitative and qualitative evidence","type":"article-journal","volume":"34"},"uris":["http://www.mendeley.com/documents/?uuid=898545c9-834c-423a-aa3f-4da3b3627a38"]},{"id":"ITEM-5","itemData":{"DOI":"10.1016/j.respol.2010.05.016","ISBN":"00487333","ISSN":"00487333","PMID":"53969080","abstract":"This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Policy","id":"ITEM-5","issue":"9","issued":{"date-parts":[["2010"]]},"page":"1160-1173","publisher":"Elsevier B.V.","title":"Performance of Spanish universities in technology transfer: An empirical analysis","type":"article-journal","volume":"39"},"uris":["http://www.mendeley.com/documents/?uuid=d43816cf-2ca3-4387-aef7-64719dd222a6"]},{"id":"ITEM-6","itemData":{"DOI":"10.1016/j.respol.2004.12.003","ISBN":"0048-7333","ISSN":"00487333","abstract":"The transfer of scientific and technological know-how into valuable economic activity has become a high priority on many policy agendas. Industry Science Links (ISLs) are an important dimension of this policy orientation. Over the last decades, multiple insights have been gained (both theoretical and empirical) as to how \"effective\" ISLs can be fostered through the design and the development of university-based technology transfer organizations (TTOs). In this paper, we document and analyze the evolution of \"effective\" university-based technology transfer mechanisms. We describe how decentralized organizational approaches and incentives that stimulate the active involvement of the research groups in the exploitation of their research findings might be combined with specialized central services offering intellectual property management and spin-off support. More particularly, we analyze how the creation of:an appropriate balance between centralization and decentralization within academia;the design of appropriate incentive structures for academic research groups;the implementation of appropriate decision and monitoring processes within the TTOhas brought about critical elements in fostering an \"effective\" commercialization of the academic science base. © 2005 Elsevier B.V. All rights reserved.","author":[{"dropping-particle":"","family":"Debackere","given":"Koenraad","non-dropping-particle":"","parse-names":false,"suffix":""},{"dropping-particle":"","family":"Veugelers","given":"Reinhilde","non-dropping-particle":"","parse-names":false,"suffix":""}],"container-title":"Research Policy","id":"ITEM-6","issue":"3","issued":{"date-parts":[["2005"]]},"page":"321-342","title":"The role of academic technology transfer organizations in improving industry science links","type":"article-journal","volume":"34"},"uris":["http://www.mendeley.com/documents/?uuid=b5a14a0c-13b9-4989-9bde-f10ce2613421"]},{"id":"ITEM-7","itemData":{"DOI":"10.1016/j.technovation.2006.10.003","ISBN":"01664972","ISSN":"01664972","PMID":"24862342","abstract":"Universities provide education as well as innovations resulting from their research. This paper focuses on the service of transferring research results into other sectors. Many stakeholders such as academic researchers, technology transfer offices (TTOs) and private industry are involved in technology transfer which calls for a comprehensive approach. A data envelopment analysis (DEA) approach is used as a productivity evaluation tool applied to university technology transfer. The methodology included weight restrictions providing a more comprehensive metric. The results include an examination of efficiency targets for specific universities as well as peer count of inefficient universities. Evidence of significant efficiency in university technology transfer is found in many leading universities. An examination of differences between public versus private universities and those with medical schools and those without indicated that universities with medical schools are less efficient than those without. © 2006 Elsevier Ltd. All rights reserved.","author":[{"dropping-particle":"","family":"Anderson","given":"Timothy R.","non-dropping-particle":"","parse-names":false,"suffix":""},{"dropping-particle":"","family":"Daim","given":"Tugrul U.","non-dropping-particle":"","parse-names":false,"suffix":""},{"dropping-particle":"","family":"Lavoie","given":"Francois F.","non-dropping-particle":"","parse-names":false,"suffix":""}],"container-title":"Technovation","id":"ITEM-7","issue":"5","issued":{"date-parts":[["2007"]]},"page":"306-318","title":"Measuring the efficiency of university technology transfer","type":"article-journal","volume":"27"},"uris":["http://www.mendeley.com/documents/?uuid=23c59cfc-5683-4eb4-8927-1edf2329f7ee"]},{"id":"ITEM-8","itemData":{"DOI":"10.1111/j.1467-6486.2008.00804.x","ISBN":"1467-6486","ISSN":"00222380","abstract":"We examine the tensions that make it difficult for a research-oriented university to achieve commercial outcomes. Building on the organizational ambidexterity literature, we specify the nature of the tensions (between academic and commercially-oriented activities) at both organizational and individual levels of analysis, and how these can be resolved. We develop hypotheses linking specific aspects of the organization and the individual researcher to the likelihood of their research projects generating commercial outcomes, and we test them using a novel dataset of 207 Research Council-funded projects, combining objective data on project outcomes with the perceptions of principal investigators. We show that the tension between academic and commercial demands is more salient at the level of the individual researcher than at the level of the organization. Universities show evidence that they are able to manage the tensions between academic and commercial demands, through for example their creation of dual structures. At the individual level, on the other hand, the tensions are more acute, so that the people who deliver commercial outcomes tend to be rather different to those who are accustomed to producing academic outcomes","author":[{"dropping-particle":"","family":"Ambos","given":"T","non-dropping-particle":"","parse-names":false,"suffix":""},{"dropping-particle":"","family":"Mäkelä","given":"K","non-dropping-particle":"","parse-names":false,"suffix":""},{"dropping-particle":"","family":"Birkinshaw","given":"J","non-dropping-particle":"","parse-names":false,"suffix":""},{"dropping-particle":"","family":"D'Este","given":"P","non-dropping-particle":"","parse-names":false,"suffix":""}],"container-title":"Journal of Management Studies","id":"ITEM-8","issue":"December","issued":{"date-parts":[["2008"]]},"page":"1424-1447","title":"When Does University Research Get Commercialized? Creating Ambidexterity in Research Institutions","type":"article-journal","volume":"45"},"uris":["http://www.mendeley.com/documents/?uuid=2ff1c384-f348-444d-ac90-c33544cf7338"]},{"id":"ITEM-9","itemData":{"DOI":"10.1016/j.respol.2017.03.008","ISSN":"00487333","abstract":"This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Policy","id":"ITEM-9","issue":"5","issued":{"date-parts":[["2017"]]},"page":"881-897","publisher":"Elsevier B.V.","title":"University research and knowledge transfer: A dynamic view of ambidexterity in british universities","type":"article-journal","volume":"46"},"uris":["http://www.mendeley.com/documents/?uuid=1bae52b2-2b76-4a4b-9383-c1e21964cb01"]},{"id":"ITEM-10","itemData":{"DOI":"10.1016/j.respol.2011.02.001","ISBN":"0048-7333","ISSN":"00487333","PMID":"2891","abstract":"The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Policy","id":"ITEM-10","issue":"4","issued":{"date-parts":[["2011"]]},"page":"553-564","publisher":"Elsevier B.V.","title":"Entrepreneurial effectiveness of European universities: An empirical assessment of antecedents and trade-offs","type":"article-journal","volume":"40"},"uris":["http://www.mendeley.com/documents/?uuid=efca2164-cee4-4742-ab17-7b8416ace40b"]},{"id":"ITEM-11","itemData":{"DOI":"10.1016/j.respol.2005.01.007","ISBN":"0048-7333","ISSN":"00487333","PMID":"2878","abstract":"We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Policy","id":"ITEM-11","issue":"3","issued":{"date-parts":[["2005"]]},"page":"369-384","title":"Assessing the relative performance of U.K. university technology transfer offices: Parametric and non-parametric evidence","type":"article-journal","volume":"34"},"uris":["http://www.mendeley.com/documents/?uuid=79f66bd1-a68a-42e0-a3e7-f5910e5a9097"]},{"id":"ITEM-12","itemData":{"DOI":"10.1111/j.0741-6261.2008.00020.x","ISBN":"0741-6261","ISSN":"07416261","PMID":"2877","abstract":"We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Economics","id":"ITEM-12","issue":"2","issued":{"date-parts":[["2008"]]},"page":"403-433","title":"Incentives and invention in universities","type":"article-journal","volume":"39"},"uris":["http://www.mendeley.com/documents/?uuid=5cc5deac-babe-4731-9ce4-35098d057334"]},{"id":"ITEM-13","itemData":{"author":[{"dropping-particle":"","family":"Powers","given":"J.B","non-dropping-particle":"","parse-names":false,"suffix":""}],"container-title":"Journal of Higher Education","id":"ITEM-13","issue":"1","issued":{"date-parts":[["2003"]]},"page":"1-24","title":"Commercializing Academic Research Results .","type":"article-journal","volume":"74"},"uris":["http://www.mendeley.com/documents/?uuid=3ff7db45-f14f-41f5-987c-834aa37afca1"]}],"mendeley":{"formattedCitation":"(Ambos et al., 2008; Anderson et al., 2007; Bozeman et al., 2015; Caldera and Debande, 2010a; Chapple et al., 2005; Debackere and Veugelers, 2005; Lach and Schankerman, 2008; Link and Siegel, 2005; Perkmann et al., 2013; Powers, 2003; Sengupta and Ray, 2017a; Siegel and Wright, 2015b; Van Looy et al., 2011)","plainTextFormattedCitation":"(Ambos et al., 2008; Anderson et al., 2007; Bozeman et al., 2015; Caldera and Debande, 2010a; Chapple et al., 2005; Debackere and Veugelers, 2005; Lach and Schankerman, 2008; Link and Siegel, 2005; Perkmann et al., 2013; Powers, 2003; Sengupta and Ray, 2017a; Siegel and Wright, 2015b; Van Looy et al., 2011)","previouslyFormattedCitation":"(Ambos et al., 2008; Anderson et al., 2007; Bozeman et al., 2015; Caldera and Debande, 2010a; Chapple et al., 2005; Debackere and Veugelers, 2005; Lach and Schankerman, 2008; Link and Siegel, 2005; Perkmann et al., 2013; Powers, 2003; Sengupta and Ray, 2017a; Siegel and Wright, 2015b; Van Looy et al., 2011)"},"properties":{"noteIndex":0},"schema":"https://github.com/citation-style-language/schema/raw/master/csl-citation.json"}</w:instrText>
      </w:r>
      <w:r w:rsidR="0033458D">
        <w:rPr>
          <w:rFonts w:ascii="Times New Roman" w:hAnsi="Times New Roman" w:cs="Times New Roman"/>
        </w:rPr>
        <w:fldChar w:fldCharType="separate"/>
      </w:r>
      <w:r w:rsidR="005C76D1" w:rsidRPr="005C76D1">
        <w:rPr>
          <w:rFonts w:ascii="Times New Roman" w:hAnsi="Times New Roman" w:cs="Times New Roman"/>
          <w:noProof/>
        </w:rPr>
        <w:t>(Ambos et al., 2008; Anderson et al., 2007; Bozeman et al., 2015; Caldera and Debande, 2010a; Chapple et al., 2005; Debackere and Veugelers, 2005; Lach and Schankerman, 2008; Link and Siegel, 2005; Perkmann et al., 2013; Powers, 2003; Sengupta and Ray, 2017a; Siegel and Wright, 2015b; Van Looy et al., 2011)</w:t>
      </w:r>
      <w:r w:rsidR="0033458D">
        <w:rPr>
          <w:rFonts w:ascii="Times New Roman" w:hAnsi="Times New Roman" w:cs="Times New Roman"/>
        </w:rPr>
        <w:fldChar w:fldCharType="end"/>
      </w:r>
      <w:r w:rsidRPr="00EF66BB">
        <w:rPr>
          <w:rFonts w:ascii="Times New Roman" w:hAnsi="Times New Roman" w:cs="Times New Roman"/>
        </w:rPr>
        <w:t xml:space="preserve">. </w:t>
      </w:r>
      <w:r w:rsidR="00432AEA" w:rsidRPr="00EF66BB">
        <w:rPr>
          <w:rFonts w:ascii="Times New Roman" w:hAnsi="Times New Roman" w:cs="Times New Roman"/>
        </w:rPr>
        <w:t>‘</w:t>
      </w:r>
      <w:r w:rsidRPr="00EF66BB">
        <w:rPr>
          <w:rFonts w:ascii="Times New Roman" w:hAnsi="Times New Roman" w:cs="Times New Roman"/>
        </w:rPr>
        <w:t>Out-the-door</w:t>
      </w:r>
      <w:r w:rsidR="00432AEA" w:rsidRPr="00EF66BB">
        <w:rPr>
          <w:rFonts w:ascii="Times New Roman" w:hAnsi="Times New Roman" w:cs="Times New Roman"/>
        </w:rPr>
        <w:t>’</w:t>
      </w:r>
      <w:r w:rsidRPr="00EF66BB">
        <w:rPr>
          <w:rFonts w:ascii="Times New Roman" w:hAnsi="Times New Roman" w:cs="Times New Roman"/>
        </w:rPr>
        <w:t xml:space="preserve"> effectiveness refers to the capability of universit</w:t>
      </w:r>
      <w:r w:rsidR="007A0E5B" w:rsidRPr="00EF66BB">
        <w:rPr>
          <w:rFonts w:ascii="Times New Roman" w:hAnsi="Times New Roman" w:cs="Times New Roman"/>
        </w:rPr>
        <w:t>ies</w:t>
      </w:r>
      <w:r w:rsidRPr="00EF66BB">
        <w:rPr>
          <w:rFonts w:ascii="Times New Roman" w:hAnsi="Times New Roman" w:cs="Times New Roman"/>
        </w:rPr>
        <w:t xml:space="preserve"> to transfer technology to external partners through formal or informal mechanisms. </w:t>
      </w:r>
      <w:r w:rsidR="002E12F1">
        <w:rPr>
          <w:rFonts w:ascii="Times New Roman" w:hAnsi="Times New Roman" w:cs="Times New Roman"/>
        </w:rPr>
        <w:t>However, t</w:t>
      </w:r>
      <w:r w:rsidRPr="00EF66BB">
        <w:rPr>
          <w:rFonts w:ascii="Times New Roman" w:hAnsi="Times New Roman" w:cs="Times New Roman"/>
        </w:rPr>
        <w:t>h</w:t>
      </w:r>
      <w:r w:rsidR="00432AEA" w:rsidRPr="00EF66BB">
        <w:rPr>
          <w:rFonts w:ascii="Times New Roman" w:hAnsi="Times New Roman" w:cs="Times New Roman"/>
        </w:rPr>
        <w:t>is</w:t>
      </w:r>
      <w:r w:rsidR="002E12F1">
        <w:rPr>
          <w:rFonts w:ascii="Times New Roman" w:hAnsi="Times New Roman" w:cs="Times New Roman"/>
        </w:rPr>
        <w:t xml:space="preserve"> </w:t>
      </w:r>
      <w:r w:rsidR="002E12F1">
        <w:rPr>
          <w:rFonts w:ascii="Times New Roman" w:hAnsi="Times New Roman" w:cs="Times New Roman"/>
        </w:rPr>
        <w:lastRenderedPageBreak/>
        <w:t>measure</w:t>
      </w:r>
      <w:r w:rsidR="00432AEA" w:rsidRPr="00EF66BB">
        <w:rPr>
          <w:rFonts w:ascii="Times New Roman" w:hAnsi="Times New Roman" w:cs="Times New Roman"/>
        </w:rPr>
        <w:t xml:space="preserve"> </w:t>
      </w:r>
      <w:r w:rsidRPr="00EF66BB">
        <w:rPr>
          <w:rFonts w:ascii="Times New Roman" w:hAnsi="Times New Roman" w:cs="Times New Roman"/>
        </w:rPr>
        <w:t>essentially reflects level</w:t>
      </w:r>
      <w:r w:rsidR="007A0E5B" w:rsidRPr="00EF66BB">
        <w:rPr>
          <w:rFonts w:ascii="Times New Roman" w:hAnsi="Times New Roman" w:cs="Times New Roman"/>
        </w:rPr>
        <w:t>s</w:t>
      </w:r>
      <w:r w:rsidRPr="00EF66BB">
        <w:rPr>
          <w:rFonts w:ascii="Times New Roman" w:hAnsi="Times New Roman" w:cs="Times New Roman"/>
        </w:rPr>
        <w:t xml:space="preserve"> of activity rather than downstream outcome</w:t>
      </w:r>
      <w:r w:rsidR="007A0E5B" w:rsidRPr="00EF66BB">
        <w:rPr>
          <w:rFonts w:ascii="Times New Roman" w:hAnsi="Times New Roman" w:cs="Times New Roman"/>
        </w:rPr>
        <w:t>s</w:t>
      </w:r>
      <w:r w:rsidRPr="00EF66BB">
        <w:rPr>
          <w:rFonts w:ascii="Times New Roman" w:hAnsi="Times New Roman" w:cs="Times New Roman"/>
        </w:rPr>
        <w:t xml:space="preserve"> of technology transfer (</w:t>
      </w:r>
      <w:proofErr w:type="spellStart"/>
      <w:r w:rsidRPr="00EF66BB">
        <w:rPr>
          <w:rFonts w:ascii="Times New Roman" w:hAnsi="Times New Roman" w:cs="Times New Roman"/>
        </w:rPr>
        <w:t>eg</w:t>
      </w:r>
      <w:proofErr w:type="spellEnd"/>
      <w:r w:rsidRPr="00EF66BB">
        <w:rPr>
          <w:rFonts w:ascii="Times New Roman" w:hAnsi="Times New Roman" w:cs="Times New Roman"/>
        </w:rPr>
        <w:t xml:space="preserve"> economic impact</w:t>
      </w:r>
      <w:r w:rsidR="00F04BF2">
        <w:rPr>
          <w:rFonts w:ascii="Times New Roman" w:hAnsi="Times New Roman" w:cs="Times New Roman"/>
          <w:strike/>
        </w:rPr>
        <w:t>).</w:t>
      </w:r>
      <w:r w:rsidRPr="00F04BF2">
        <w:rPr>
          <w:rFonts w:ascii="Times New Roman" w:hAnsi="Times New Roman" w:cs="Times New Roman"/>
          <w:strike/>
        </w:rPr>
        <w:t xml:space="preserve"> </w:t>
      </w:r>
    </w:p>
    <w:p w14:paraId="3C45EAE8" w14:textId="77777777" w:rsidR="001A3E4C" w:rsidRPr="00EF66BB" w:rsidRDefault="001A3E4C" w:rsidP="00141231">
      <w:pPr>
        <w:spacing w:line="360" w:lineRule="auto"/>
        <w:rPr>
          <w:rFonts w:ascii="Times New Roman" w:hAnsi="Times New Roman" w:cs="Times New Roman"/>
        </w:rPr>
      </w:pPr>
    </w:p>
    <w:p w14:paraId="61519614" w14:textId="5CCF6AF1" w:rsidR="001A3E4C" w:rsidRPr="00EF66BB" w:rsidRDefault="001A3E4C" w:rsidP="00141231">
      <w:pPr>
        <w:spacing w:line="360" w:lineRule="auto"/>
        <w:rPr>
          <w:rFonts w:ascii="Times New Roman" w:hAnsi="Times New Roman" w:cs="Times New Roman"/>
        </w:rPr>
      </w:pPr>
      <w:r w:rsidRPr="00EF66BB">
        <w:rPr>
          <w:rFonts w:ascii="Times New Roman" w:hAnsi="Times New Roman" w:cs="Times New Roman"/>
        </w:rPr>
        <w:t xml:space="preserve">One variant that has been adopted is termed the </w:t>
      </w:r>
      <w:r w:rsidRPr="00EF66BB">
        <w:rPr>
          <w:rFonts w:ascii="Times New Roman" w:hAnsi="Times New Roman" w:cs="Times New Roman"/>
          <w:i/>
        </w:rPr>
        <w:t xml:space="preserve">out-the-door with agent impacts </w:t>
      </w:r>
      <w:r w:rsidRPr="00EF66BB">
        <w:rPr>
          <w:rFonts w:ascii="Times New Roman" w:hAnsi="Times New Roman" w:cs="Times New Roman"/>
        </w:rPr>
        <w:t xml:space="preserve">effectiveness criterion </w:t>
      </w:r>
      <w:r w:rsidR="0033458D">
        <w:rPr>
          <w:rFonts w:ascii="Times New Roman" w:hAnsi="Times New Roman" w:cs="Times New Roman"/>
        </w:rPr>
        <w:fldChar w:fldCharType="begin" w:fldLock="1"/>
      </w:r>
      <w:r w:rsidR="0033458D">
        <w:rPr>
          <w:rFonts w:ascii="Times New Roman" w:hAnsi="Times New Roman" w:cs="Times New Roman"/>
        </w:rPr>
        <w:instrText>ADDIN CSL_CITATION {"citationItems":[{"id":"ITEM-1","itemData":{"DOI":"10.1016/j.respol.2014.06.008","ISBN":"00487333","ISSN":"00487333","PMID":"1478595","abstract":"The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Policy","id":"ITEM-1","issue":"1","issued":{"date-parts":[["2015"]]},"page":"34-49","publisher":"Elsevier B.V.","title":"The evolving state-of-the-art in technology transfer research: Revisiting the contingent effectiveness model","type":"article-journal","volume":"44"},"uris":["http://www.mendeley.com/documents/?uuid=245549ef-970b-4ea4-984e-4a869649a3c5"]}],"mendeley":{"formattedCitation":"(Bozeman et al., 2015)","plainTextFormattedCitation":"(Bozeman et al., 2015)","previouslyFormattedCitation":"(Bozeman et al., 2015)"},"properties":{"noteIndex":0},"schema":"https://github.com/citation-style-language/schema/raw/master/csl-citation.json"}</w:instrText>
      </w:r>
      <w:r w:rsidR="0033458D">
        <w:rPr>
          <w:rFonts w:ascii="Times New Roman" w:hAnsi="Times New Roman" w:cs="Times New Roman"/>
        </w:rPr>
        <w:fldChar w:fldCharType="separate"/>
      </w:r>
      <w:r w:rsidR="0033458D" w:rsidRPr="0033458D">
        <w:rPr>
          <w:rFonts w:ascii="Times New Roman" w:hAnsi="Times New Roman" w:cs="Times New Roman"/>
          <w:noProof/>
        </w:rPr>
        <w:t>(Bozeman et al., 2015)</w:t>
      </w:r>
      <w:r w:rsidR="0033458D">
        <w:rPr>
          <w:rFonts w:ascii="Times New Roman" w:hAnsi="Times New Roman" w:cs="Times New Roman"/>
        </w:rPr>
        <w:fldChar w:fldCharType="end"/>
      </w:r>
      <w:r w:rsidR="0033458D">
        <w:rPr>
          <w:rFonts w:ascii="Times New Roman" w:hAnsi="Times New Roman" w:cs="Times New Roman"/>
        </w:rPr>
        <w:t>.</w:t>
      </w:r>
      <w:r w:rsidRPr="00EF66BB">
        <w:rPr>
          <w:rFonts w:ascii="Times New Roman" w:hAnsi="Times New Roman" w:cs="Times New Roman"/>
        </w:rPr>
        <w:t xml:space="preserve"> For example, when a university transfers technology to an external party in exchange for a licence fee, then the revenue received constitute</w:t>
      </w:r>
      <w:r w:rsidR="002E12F1">
        <w:rPr>
          <w:rFonts w:ascii="Times New Roman" w:hAnsi="Times New Roman" w:cs="Times New Roman"/>
        </w:rPr>
        <w:t>s</w:t>
      </w:r>
      <w:r w:rsidRPr="00EF66BB">
        <w:rPr>
          <w:rFonts w:ascii="Times New Roman" w:hAnsi="Times New Roman" w:cs="Times New Roman"/>
        </w:rPr>
        <w:t xml:space="preserve"> an impact to the transfer agent. </w:t>
      </w:r>
      <w:r w:rsidR="0055392B" w:rsidRPr="00EF66BB">
        <w:rPr>
          <w:rFonts w:ascii="Times New Roman" w:hAnsi="Times New Roman" w:cs="Times New Roman"/>
        </w:rPr>
        <w:t>Following previous research that has adopted monetary value of technology transfer as an indicator of technology transfer success</w:t>
      </w:r>
      <w:r w:rsidR="00432AEA" w:rsidRPr="00EF66BB">
        <w:rPr>
          <w:rFonts w:ascii="Times New Roman" w:hAnsi="Times New Roman" w:cs="Times New Roman"/>
        </w:rPr>
        <w:t xml:space="preserve">, </w:t>
      </w:r>
      <w:r w:rsidRPr="00EF66BB">
        <w:rPr>
          <w:rFonts w:ascii="Times New Roman" w:hAnsi="Times New Roman" w:cs="Times New Roman"/>
        </w:rPr>
        <w:t xml:space="preserve">we adopt the ‘out-the-door with agent impacts’ criterion of effectiveness </w:t>
      </w:r>
      <w:r w:rsidR="0033458D">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{"citationItems":[{"id":"ITEM-1","itemData":{"DOI":"10.1007/s10961-009-9129-z","ISBN":"1096100991","author":[{"dropping-particle":"","family":"Heisey","given":"Paul W","non-dropping-particle":"","parse-names":false,"suffix":""},{"dropping-particle":"","family":"Adelman","given":"Æ Sarah W","non-dropping-particle":"","parse-names":false,"suffix":""}],"id":"ITEM-1","issued":{"date-parts":[["2011"]]},"page":"38-60","title":"and university licensing revenue","type":"article-journal"},"uris":["http://www.mendeley.com/documents/?uuid=c4ddc740-e8bb-478b-be69-e1d8a02e8d39"]},{"id":"ITEM-2","itemData":{"DOI":"10.1016/j.respol.2010.05.016","ISBN":"00487333","ISSN":"00487333","PMID":"53969080","abstract":"This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Policy","id":"ITEM-2","issue":"9","issued":{"date-parts":[["2010"]]},"page":"1160-1173","publisher":"Elsevier B.V.","title":"Performance of Spanish universities in technology transfer: An empirical analysis","type":"article-journal","volume":"39"},"uris":["http://www.mendeley.com/documents/?uuid=d43816cf-2ca3-4387-aef7-64719dd222a6"]},{"id":"ITEM-3","itemData":{"DOI":"10.1111/j.0741-6261.2008.00020.x","ISBN":"0741-6261","ISSN":"07416261","PMID":"2877","abstract":"We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Economics","id":"ITEM-3","issue":"2","issued":{"date-parts":[["2008"]]},"page":"403-433","title":"Incentives and invention in universities","type":"article-journal","volume":"39"},"uris":["http://www.mendeley.com/documents/?uuid=5cc5deac-babe-4731-9ce4-35098d057334"]},{"id":"ITEM-4","itemData":{"DOI":"10.1016/j.respol.2016.06.006","ISBN":"00487333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Policy","id":"ITEM-4","issue":"9","issued":{"date-parts":[["2016"]]},"page":"1858-1872","publisher":"Elsevier B.V.","title":"Royalty sharing, effort and invention in universities: Evidence from Portugal and Spain","type":"article-journal","volume":"45"},"uris":["http://www.mendeley.com/documents/?uuid=9dc55724-30e7-4819-98fd-32f02e1caf8d"]},{"id":"ITEM-5","itemData":{"DOI":"10.1016/j.respol.2017.03.008","ISSN":"00487333","abstract":"This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Policy","id":"ITEM-5","issue":"5","issued":{"date-parts":[["2017"]]},"page":"881-897","publisher":"Elsevier B.V.","title":"University research and knowledge transfer: A dynamic view of ambidexterity in british universities","type":"article-journal","volume":"46"},"uris":["http://www.mendeley.com/documents/?uuid=1bae52b2-2b76-4a4b-9383-c1e21964cb01"]},{"id":"ITEM-6","itemData":{"DOI":"10.1016/j.respol.2005.01.005","ISBN":"0048-7333","ISSN":"00487333","PMID":"599","abstract":"This article discusses salient trends in university-based technology initiatives in the United States and Europe, and it summarizes the papers contained in this special issue.","author":[{"dropping-particle":"","family":"Link","given":"Albert N.","non-dropping-particle":"","parse-names":false,"suffix":""},{"dropping-particle":"","family":"Siegel","given":"Donald","non-dropping-particle":"","parse-names":false,"suffix":""}],"container-title":"Research Policy","id":"ITEM-6","issue":"3","issued":{"date-parts":[["2005"]]},"page":"253-257","title":"University-based technology initiatives: Quantitative and qualitative evidence","type":"article-journal","volume":"34"},"uris":["http://www.mendeley.com/documents/?uuid=898545c9-834c-423a-aa3f-4da3b3627a38"]},{"id":"ITEM-7","itemData":{"DOI":"10.1016/j.respol.2011.02.001","ISBN":"0048-7333","ISSN":"00487333","PMID":"2891","abstract":"The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Policy","id":"ITEM-7","issue":"4","issued":{"date-parts":[["2011"]]},"page":"553-564","publisher":"Elsevier B.V.","title":"Entrepreneurial effectiveness of European universities: An empirical assessment of antecedents and trade-offs","type":"article-journal","volume":"40"},"uris":["http://www.mendeley.com/documents/?uuid=efca2164-cee4-4742-ab17-7b8416ace40b"]},{"id":"ITEM-8","itemData":{"DOI":"10.1016/j.respol.2005.01.007","ISBN":"0048-7333","ISSN":"00487333","PMID":"2878","abstract":"We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Policy","id":"ITEM-8","issue":"3","issued":{"date-parts":[["2005"]]},"page":"369-384","title":"Assessing the relative performance of U.K. university technology transfer offices: Parametric and non-parametric evidence","type":"article-journal","volume":"34"},"uris":["http://www.mendeley.com/documents/?uuid=79f66bd1-a68a-42e0-a3e7-f5910e5a9097"]},{"id":"ITEM-9","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Policy","id":"ITEM-9","issue":"1","issued":{"date-parts":[["2003","1"]]},"page":"27-48","title":"Assessing the impact of organizational practices on the relative productivity of university technology transfer offices: an exploratory study","type":"article-journal","volume":"32"},"uris":["http://www.mendeley.com/documents/?uuid=e46987f6-89c5-3b6f-b14b-8fc764f55f9f"]},{"id":"ITEM-10","itemData":{"author":[{"dropping-particle":"","family":"Powers","given":"J.B","non-dropping-particle":"","parse-names":false,"suffix":""}],"container-title":"Journal of Higher Education","id":"ITEM-10","issue":"1","issued":{"date-parts":[["2003"]]},"page":"1-24","title":"Commercializing Academic Research Results .","type":"article-journal","volume":"74"},"uris":["http://www.mendeley.com/documents/?uuid=3ff7db45-f14f-41f5-987c-834aa37afca1"]}],"mendeley":{"formattedCitation":"(Arqué-Castells et al., 2016; Caldera and Debande, 2010a; Chapple et al., 2005; Heisey and Adelman, 2011; Lach and Schankerman, 2008; Link and Siegel, 2005; Powers, 2003; Sengupta and Ray, 2017a; Siegel et al., 2003; Van Looy et al., 2011)","plainTextFormattedCitation":"(Arqué-Castells et al., 2016; Caldera and Debande, 2010a; Chapple et al., 2005; Heisey and Adelman, 2011; Lach and Schankerman, 2008; Link and Siegel, 2005; Powers, 2003; Sengupta and Ray, 2017a; Siegel et al., 2003; Van Looy et al., 2011)","previouslyFormattedCitation":"(Arqué-Castells et al., 2016; Caldera and Debande, 2010a; Chapple et al., 2005; Heisey and Adelman, 2011; Lach and Schankerman, 2008; Link and Siegel, 2005; Powers, 2003; Sengupta and Ray, 2017a; Siegel et al., 2003; Van Looy et al., 2011)"},"properties":{"noteIndex":0},"schema":"https://github.com/citation-style-language/schema/raw/master/csl-citation.json"}</w:instrText>
      </w:r>
      <w:r w:rsidR="0033458D">
        <w:rPr>
          <w:rFonts w:ascii="Times New Roman" w:hAnsi="Times New Roman" w:cs="Times New Roman"/>
        </w:rPr>
        <w:fldChar w:fldCharType="separate"/>
      </w:r>
      <w:r w:rsidR="008F2687" w:rsidRPr="008F2687">
        <w:rPr>
          <w:rFonts w:ascii="Times New Roman" w:hAnsi="Times New Roman" w:cs="Times New Roman"/>
          <w:noProof/>
        </w:rPr>
        <w:t>(Arqué-Castells et al., 2016; Caldera and Debande, 2010a; Chapple et al., 2005; Heisey and Adelman, 2011; Lach and Schankerman, 2008; Link and Siegel, 2005; Powers, 2003; Sengupta and Ray, 2017a; Siegel et al., 2003; Van Looy et al., 2011)</w:t>
      </w:r>
      <w:r w:rsidR="0033458D">
        <w:rPr>
          <w:rFonts w:ascii="Times New Roman" w:hAnsi="Times New Roman" w:cs="Times New Roman"/>
        </w:rPr>
        <w:fldChar w:fldCharType="end"/>
      </w:r>
      <w:r w:rsidR="0033458D">
        <w:rPr>
          <w:rFonts w:ascii="Times New Roman" w:hAnsi="Times New Roman" w:cs="Times New Roman"/>
        </w:rPr>
        <w:t>.</w:t>
      </w:r>
      <w:r w:rsidRPr="00EF66BB">
        <w:rPr>
          <w:rFonts w:ascii="Times New Roman" w:hAnsi="Times New Roman" w:cs="Times New Roman"/>
        </w:rPr>
        <w:t xml:space="preserve"> This effectiveness criterion is adopted over alternative effectiveness criteri</w:t>
      </w:r>
      <w:r w:rsidR="000676BB">
        <w:rPr>
          <w:rFonts w:ascii="Times New Roman" w:hAnsi="Times New Roman" w:cs="Times New Roman"/>
        </w:rPr>
        <w:t xml:space="preserve">a </w:t>
      </w:r>
      <w:r w:rsidRPr="00EF66BB">
        <w:rPr>
          <w:rFonts w:ascii="Times New Roman" w:hAnsi="Times New Roman" w:cs="Times New Roman"/>
        </w:rPr>
        <w:t xml:space="preserve">for both empirical practicality and theoretical coherence. </w:t>
      </w:r>
    </w:p>
    <w:p w14:paraId="11F76844" w14:textId="77777777" w:rsidR="001A3E4C" w:rsidRPr="00EF66BB" w:rsidRDefault="001A3E4C" w:rsidP="00141231">
      <w:pPr>
        <w:spacing w:line="360" w:lineRule="auto"/>
        <w:rPr>
          <w:rFonts w:ascii="Times New Roman" w:hAnsi="Times New Roman" w:cs="Times New Roman"/>
        </w:rPr>
      </w:pPr>
    </w:p>
    <w:p w14:paraId="5B67BADD" w14:textId="72D0F3CA" w:rsidR="001A3E4C" w:rsidRPr="00EF66BB" w:rsidRDefault="00432AEA" w:rsidP="00141231">
      <w:pPr>
        <w:spacing w:line="360" w:lineRule="auto"/>
        <w:rPr>
          <w:rFonts w:ascii="Times New Roman" w:hAnsi="Times New Roman" w:cs="Times New Roman"/>
        </w:rPr>
      </w:pPr>
      <w:r w:rsidRPr="00EF66BB">
        <w:rPr>
          <w:rFonts w:ascii="Times New Roman" w:hAnsi="Times New Roman" w:cs="Times New Roman"/>
        </w:rPr>
        <w:t>A</w:t>
      </w:r>
      <w:r w:rsidR="001A3E4C" w:rsidRPr="00EF66BB">
        <w:rPr>
          <w:rFonts w:ascii="Times New Roman" w:hAnsi="Times New Roman" w:cs="Times New Roman"/>
        </w:rPr>
        <w:t>lternative conceptualisations of technology transfer effectiveness including market impact</w:t>
      </w:r>
      <w:r w:rsidRPr="00EF66BB">
        <w:rPr>
          <w:rFonts w:ascii="Times New Roman" w:hAnsi="Times New Roman" w:cs="Times New Roman"/>
        </w:rPr>
        <w:t>;</w:t>
      </w:r>
      <w:r w:rsidR="001A3E4C" w:rsidRPr="00EF66BB">
        <w:rPr>
          <w:rFonts w:ascii="Times New Roman" w:hAnsi="Times New Roman" w:cs="Times New Roman"/>
        </w:rPr>
        <w:t xml:space="preserve"> political reward</w:t>
      </w:r>
      <w:r w:rsidRPr="00EF66BB">
        <w:rPr>
          <w:rFonts w:ascii="Times New Roman" w:hAnsi="Times New Roman" w:cs="Times New Roman"/>
        </w:rPr>
        <w:t>;</w:t>
      </w:r>
      <w:r w:rsidR="001A3E4C" w:rsidRPr="00EF66BB">
        <w:rPr>
          <w:rFonts w:ascii="Times New Roman" w:hAnsi="Times New Roman" w:cs="Times New Roman"/>
        </w:rPr>
        <w:t xml:space="preserve"> opportunity cost</w:t>
      </w:r>
      <w:r w:rsidRPr="00EF66BB">
        <w:rPr>
          <w:rFonts w:ascii="Times New Roman" w:hAnsi="Times New Roman" w:cs="Times New Roman"/>
        </w:rPr>
        <w:t>;</w:t>
      </w:r>
      <w:r w:rsidR="001A3E4C" w:rsidRPr="00EF66BB">
        <w:rPr>
          <w:rFonts w:ascii="Times New Roman" w:hAnsi="Times New Roman" w:cs="Times New Roman"/>
        </w:rPr>
        <w:t xml:space="preserve"> development of scientific and technical human capital</w:t>
      </w:r>
      <w:r w:rsidRPr="00EF66BB">
        <w:rPr>
          <w:rFonts w:ascii="Times New Roman" w:hAnsi="Times New Roman" w:cs="Times New Roman"/>
        </w:rPr>
        <w:t>;</w:t>
      </w:r>
      <w:r w:rsidR="001A3E4C" w:rsidRPr="00EF66BB">
        <w:rPr>
          <w:rFonts w:ascii="Times New Roman" w:hAnsi="Times New Roman" w:cs="Times New Roman"/>
        </w:rPr>
        <w:t xml:space="preserve"> and public value</w:t>
      </w:r>
      <w:r w:rsidRPr="00EF66BB">
        <w:rPr>
          <w:rFonts w:ascii="Times New Roman" w:hAnsi="Times New Roman" w:cs="Times New Roman"/>
        </w:rPr>
        <w:t>;</w:t>
      </w:r>
      <w:r w:rsidR="001A3E4C" w:rsidRPr="00EF66BB">
        <w:rPr>
          <w:rFonts w:ascii="Times New Roman" w:hAnsi="Times New Roman" w:cs="Times New Roman"/>
        </w:rPr>
        <w:t xml:space="preserve"> </w:t>
      </w:r>
      <w:r w:rsidR="0055392B" w:rsidRPr="00EF66BB">
        <w:rPr>
          <w:rFonts w:ascii="Times New Roman" w:hAnsi="Times New Roman" w:cs="Times New Roman"/>
        </w:rPr>
        <w:t>are all extremely challenging to operationalise empirically</w:t>
      </w:r>
      <w:r w:rsidR="001A3E4C" w:rsidRPr="00EF66BB">
        <w:rPr>
          <w:rFonts w:ascii="Times New Roman" w:hAnsi="Times New Roman" w:cs="Times New Roman"/>
        </w:rPr>
        <w:t xml:space="preserve"> </w:t>
      </w:r>
      <w:r w:rsidR="00BE3AB4">
        <w:rPr>
          <w:rFonts w:ascii="Times New Roman" w:hAnsi="Times New Roman" w:cs="Times New Roman"/>
        </w:rPr>
        <w:fldChar w:fldCharType="begin" w:fldLock="1"/>
      </w:r>
      <w:r w:rsidR="00BE3AB4">
        <w:rPr>
          <w:rFonts w:ascii="Times New Roman" w:hAnsi="Times New Roman" w:cs="Times New Roman"/>
        </w:rPr>
        <w:instrText>ADDIN CSL_CITATION {"citationItems":[{"id":"ITEM-1","itemData":{"DOI":"10.1016/j.respol.2014.06.008","ISBN":"00487333","ISSN":"00487333","PMID":"1478595","abstract":"The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Policy","id":"ITEM-1","issue":"1","issued":{"date-parts":[["2015"]]},"page":"34-49","publisher":"Elsevier B.V.","title":"The evolving state-of-the-art in technology transfer research: Revisiting the contingent effectiveness model","type":"article-journal","volume":"44"},"uris":["http://www.mendeley.com/documents/?uuid=245549ef-970b-4ea4-984e-4a869649a3c5"]}],"mendeley":{"formattedCitation":"(Bozeman et al., 2015)","plainTextFormattedCitation":"(Bozeman et al., 2015)","previouslyFormattedCitation":"(Bozeman et al., 2015)"},"properties":{"noteIndex":0},"schema":"https://github.com/citation-style-language/schema/raw/master/csl-citation.json"}</w:instrText>
      </w:r>
      <w:r w:rsidR="00BE3AB4">
        <w:rPr>
          <w:rFonts w:ascii="Times New Roman" w:hAnsi="Times New Roman" w:cs="Times New Roman"/>
        </w:rPr>
        <w:fldChar w:fldCharType="separate"/>
      </w:r>
      <w:r w:rsidR="00BE3AB4" w:rsidRPr="00BE3AB4">
        <w:rPr>
          <w:rFonts w:ascii="Times New Roman" w:hAnsi="Times New Roman" w:cs="Times New Roman"/>
          <w:noProof/>
        </w:rPr>
        <w:t>(Bozeman et al., 2015)</w:t>
      </w:r>
      <w:r w:rsidR="00BE3AB4">
        <w:rPr>
          <w:rFonts w:ascii="Times New Roman" w:hAnsi="Times New Roman" w:cs="Times New Roman"/>
        </w:rPr>
        <w:fldChar w:fldCharType="end"/>
      </w:r>
      <w:r w:rsidR="00BE3AB4">
        <w:rPr>
          <w:rFonts w:ascii="Times New Roman" w:hAnsi="Times New Roman" w:cs="Times New Roman"/>
        </w:rPr>
        <w:t>.</w:t>
      </w:r>
      <w:r w:rsidR="001A3E4C" w:rsidRPr="00EF66BB">
        <w:rPr>
          <w:rFonts w:ascii="Times New Roman" w:hAnsi="Times New Roman" w:cs="Times New Roman"/>
        </w:rPr>
        <w:t xml:space="preserve"> For example, it is very difficult to systematically examine political rewards as outcomes of technology transfer activity. Likewise, it is very difficult to work on the basis of counterfactual reasoning to ascertain the value of technology transfer in relation to opportunity costs. The public value criterion, </w:t>
      </w:r>
      <w:r w:rsidR="00437B5E" w:rsidRPr="00EF66BB">
        <w:rPr>
          <w:rFonts w:ascii="Times New Roman" w:hAnsi="Times New Roman" w:cs="Times New Roman"/>
        </w:rPr>
        <w:t xml:space="preserve">which </w:t>
      </w:r>
      <w:r w:rsidR="001A3E4C" w:rsidRPr="00EF66BB">
        <w:rPr>
          <w:rFonts w:ascii="Times New Roman" w:hAnsi="Times New Roman" w:cs="Times New Roman"/>
        </w:rPr>
        <w:t xml:space="preserve">considers technology transfer </w:t>
      </w:r>
      <w:r w:rsidR="00437B5E" w:rsidRPr="00EF66BB">
        <w:rPr>
          <w:rFonts w:ascii="Times New Roman" w:hAnsi="Times New Roman" w:cs="Times New Roman"/>
        </w:rPr>
        <w:t xml:space="preserve">as </w:t>
      </w:r>
      <w:r w:rsidR="001A3E4C" w:rsidRPr="00EF66BB">
        <w:rPr>
          <w:rFonts w:ascii="Times New Roman" w:hAnsi="Times New Roman" w:cs="Times New Roman"/>
        </w:rPr>
        <w:t>effective only when it enhances ‘the collective good’ and contributes to socially shared values</w:t>
      </w:r>
      <w:r w:rsidR="00437B5E" w:rsidRPr="00EF66BB">
        <w:rPr>
          <w:rFonts w:ascii="Times New Roman" w:hAnsi="Times New Roman" w:cs="Times New Roman"/>
        </w:rPr>
        <w:t>,</w:t>
      </w:r>
      <w:r w:rsidR="001A3E4C" w:rsidRPr="00EF66BB">
        <w:rPr>
          <w:rFonts w:ascii="Times New Roman" w:hAnsi="Times New Roman" w:cs="Times New Roman"/>
        </w:rPr>
        <w:t xml:space="preserve"> is even less amenable to systematic evaluation, given the difficulties in objective</w:t>
      </w:r>
      <w:r w:rsidR="00437B5E" w:rsidRPr="00EF66BB">
        <w:rPr>
          <w:rFonts w:ascii="Times New Roman" w:hAnsi="Times New Roman" w:cs="Times New Roman"/>
        </w:rPr>
        <w:t>ly</w:t>
      </w:r>
      <w:r w:rsidR="001A3E4C" w:rsidRPr="00EF66BB">
        <w:rPr>
          <w:rFonts w:ascii="Times New Roman" w:hAnsi="Times New Roman" w:cs="Times New Roman"/>
        </w:rPr>
        <w:t xml:space="preserve"> evaluati</w:t>
      </w:r>
      <w:r w:rsidR="00437B5E" w:rsidRPr="00EF66BB">
        <w:rPr>
          <w:rFonts w:ascii="Times New Roman" w:hAnsi="Times New Roman" w:cs="Times New Roman"/>
        </w:rPr>
        <w:t>ng</w:t>
      </w:r>
      <w:r w:rsidR="001A3E4C" w:rsidRPr="00EF66BB">
        <w:rPr>
          <w:rFonts w:ascii="Times New Roman" w:hAnsi="Times New Roman" w:cs="Times New Roman"/>
        </w:rPr>
        <w:t xml:space="preserve"> </w:t>
      </w:r>
      <w:r w:rsidR="00437B5E" w:rsidRPr="00EF66BB">
        <w:rPr>
          <w:rFonts w:ascii="Times New Roman" w:hAnsi="Times New Roman" w:cs="Times New Roman"/>
        </w:rPr>
        <w:t>‘</w:t>
      </w:r>
      <w:r w:rsidR="001A3E4C" w:rsidRPr="00EF66BB">
        <w:rPr>
          <w:rFonts w:ascii="Times New Roman" w:hAnsi="Times New Roman" w:cs="Times New Roman"/>
        </w:rPr>
        <w:t>social value</w:t>
      </w:r>
      <w:r w:rsidR="00437B5E" w:rsidRPr="00EF66BB">
        <w:rPr>
          <w:rFonts w:ascii="Times New Roman" w:hAnsi="Times New Roman" w:cs="Times New Roman"/>
        </w:rPr>
        <w:t>’</w:t>
      </w:r>
      <w:r w:rsidR="001A3E4C" w:rsidRPr="00EF66BB">
        <w:rPr>
          <w:rFonts w:ascii="Times New Roman" w:hAnsi="Times New Roman" w:cs="Times New Roman"/>
        </w:rPr>
        <w:t xml:space="preserve">. Thus, whilst the </w:t>
      </w:r>
      <w:r w:rsidR="00437B5E" w:rsidRPr="00EF66BB">
        <w:rPr>
          <w:rFonts w:ascii="Times New Roman" w:hAnsi="Times New Roman" w:cs="Times New Roman"/>
        </w:rPr>
        <w:t>‘</w:t>
      </w:r>
      <w:r w:rsidR="001A3E4C" w:rsidRPr="00EF66BB">
        <w:rPr>
          <w:rFonts w:ascii="Times New Roman" w:hAnsi="Times New Roman" w:cs="Times New Roman"/>
        </w:rPr>
        <w:t>out-the-door</w:t>
      </w:r>
      <w:r w:rsidR="00437B5E" w:rsidRPr="00EF66BB">
        <w:rPr>
          <w:rFonts w:ascii="Times New Roman" w:hAnsi="Times New Roman" w:cs="Times New Roman"/>
        </w:rPr>
        <w:t>;</w:t>
      </w:r>
      <w:r w:rsidR="001A3E4C" w:rsidRPr="00EF66BB">
        <w:rPr>
          <w:rFonts w:ascii="Times New Roman" w:hAnsi="Times New Roman" w:cs="Times New Roman"/>
        </w:rPr>
        <w:t xml:space="preserve"> criterion is limited </w:t>
      </w:r>
      <w:r w:rsidR="00437B5E" w:rsidRPr="00EF66BB">
        <w:rPr>
          <w:rFonts w:ascii="Times New Roman" w:hAnsi="Times New Roman" w:cs="Times New Roman"/>
        </w:rPr>
        <w:t xml:space="preserve">as it does not </w:t>
      </w:r>
      <w:r w:rsidR="001A3E4C" w:rsidRPr="00EF66BB">
        <w:rPr>
          <w:rFonts w:ascii="Times New Roman" w:hAnsi="Times New Roman" w:cs="Times New Roman"/>
        </w:rPr>
        <w:t>adequately capture the downstream effects of technology transfer, it remains</w:t>
      </w:r>
      <w:r w:rsidR="00FE552D">
        <w:rPr>
          <w:rFonts w:ascii="Times New Roman" w:hAnsi="Times New Roman" w:cs="Times New Roman"/>
        </w:rPr>
        <w:t xml:space="preserve"> </w:t>
      </w:r>
      <w:r w:rsidR="001A3E4C" w:rsidRPr="00EF66BB">
        <w:rPr>
          <w:rFonts w:ascii="Times New Roman" w:hAnsi="Times New Roman" w:cs="Times New Roman"/>
        </w:rPr>
        <w:t xml:space="preserve">the most commonly employed conceptualisation of effectiveness within university technology transfer research (Bozeman et al, 2015). </w:t>
      </w:r>
    </w:p>
    <w:p w14:paraId="35789909" w14:textId="77777777" w:rsidR="001A3E4C" w:rsidRPr="00EF66BB" w:rsidRDefault="001A3E4C" w:rsidP="00141231">
      <w:pPr>
        <w:spacing w:line="360" w:lineRule="auto"/>
        <w:rPr>
          <w:rFonts w:ascii="Times New Roman" w:hAnsi="Times New Roman" w:cs="Times New Roman"/>
        </w:rPr>
      </w:pPr>
    </w:p>
    <w:p w14:paraId="6E93C58F" w14:textId="3189183D" w:rsidR="001A3E4C" w:rsidRPr="00EF66BB" w:rsidRDefault="008C656A" w:rsidP="00141231">
      <w:pPr>
        <w:spacing w:line="360" w:lineRule="auto"/>
        <w:rPr>
          <w:rFonts w:ascii="Times New Roman" w:hAnsi="Times New Roman" w:cs="Times New Roman"/>
        </w:rPr>
      </w:pPr>
      <w:r>
        <w:rPr>
          <w:rFonts w:ascii="Times New Roman" w:hAnsi="Times New Roman" w:cs="Times New Roman"/>
        </w:rPr>
        <w:t xml:space="preserve">The primary concern of this research lies in </w:t>
      </w:r>
      <w:r w:rsidR="002E12F1">
        <w:rPr>
          <w:rFonts w:ascii="Times New Roman" w:hAnsi="Times New Roman" w:cs="Times New Roman"/>
        </w:rPr>
        <w:t xml:space="preserve">understanding </w:t>
      </w:r>
      <w:r>
        <w:rPr>
          <w:rFonts w:ascii="Times New Roman" w:hAnsi="Times New Roman" w:cs="Times New Roman"/>
        </w:rPr>
        <w:t>the relationship between</w:t>
      </w:r>
      <w:r w:rsidR="00FE552D">
        <w:rPr>
          <w:rFonts w:ascii="Times New Roman" w:hAnsi="Times New Roman" w:cs="Times New Roman"/>
        </w:rPr>
        <w:t xml:space="preserve"> certain</w:t>
      </w:r>
      <w:r>
        <w:rPr>
          <w:rFonts w:ascii="Times New Roman" w:hAnsi="Times New Roman" w:cs="Times New Roman"/>
        </w:rPr>
        <w:t xml:space="preserve"> agent characteristics and effectiveness. Since our focus is on </w:t>
      </w:r>
      <w:r w:rsidR="001A3E4C" w:rsidRPr="00EF66BB">
        <w:rPr>
          <w:rFonts w:ascii="Times New Roman" w:hAnsi="Times New Roman" w:cs="Times New Roman"/>
        </w:rPr>
        <w:t>the role of managerial agency in technology transfer effectiveness, it would be inappropriate to adopt effectiveness criteri</w:t>
      </w:r>
      <w:r w:rsidR="00437B5E" w:rsidRPr="00EF66BB">
        <w:rPr>
          <w:rFonts w:ascii="Times New Roman" w:hAnsi="Times New Roman" w:cs="Times New Roman"/>
        </w:rPr>
        <w:t>a</w:t>
      </w:r>
      <w:r w:rsidR="001A3E4C" w:rsidRPr="00EF66BB">
        <w:rPr>
          <w:rFonts w:ascii="Times New Roman" w:hAnsi="Times New Roman" w:cs="Times New Roman"/>
        </w:rPr>
        <w:t xml:space="preserve"> that are concerned with the downstream impact, since university managers’ locus of influence is largely constrained </w:t>
      </w:r>
      <w:r w:rsidR="00F44B59" w:rsidRPr="00EF66BB">
        <w:rPr>
          <w:rFonts w:ascii="Times New Roman" w:hAnsi="Times New Roman" w:cs="Times New Roman"/>
        </w:rPr>
        <w:t>by</w:t>
      </w:r>
      <w:r w:rsidR="001A3E4C" w:rsidRPr="00EF66BB">
        <w:rPr>
          <w:rFonts w:ascii="Times New Roman" w:hAnsi="Times New Roman" w:cs="Times New Roman"/>
        </w:rPr>
        <w:t xml:space="preserve"> their</w:t>
      </w:r>
      <w:r w:rsidR="00437B5E" w:rsidRPr="00EF66BB">
        <w:rPr>
          <w:rFonts w:ascii="Times New Roman" w:hAnsi="Times New Roman" w:cs="Times New Roman"/>
        </w:rPr>
        <w:t xml:space="preserve"> </w:t>
      </w:r>
      <w:r w:rsidR="00C93899">
        <w:rPr>
          <w:rFonts w:ascii="Times New Roman" w:hAnsi="Times New Roman" w:cs="Times New Roman"/>
        </w:rPr>
        <w:t>organisational</w:t>
      </w:r>
      <w:r w:rsidR="00437B5E" w:rsidRPr="00EF66BB">
        <w:rPr>
          <w:rFonts w:ascii="Times New Roman" w:hAnsi="Times New Roman" w:cs="Times New Roman"/>
        </w:rPr>
        <w:t xml:space="preserve"> </w:t>
      </w:r>
      <w:r w:rsidR="002E12F1">
        <w:rPr>
          <w:rFonts w:ascii="Times New Roman" w:hAnsi="Times New Roman" w:cs="Times New Roman"/>
        </w:rPr>
        <w:t>boundaries</w:t>
      </w:r>
      <w:r w:rsidR="001A3E4C" w:rsidRPr="00EF66BB">
        <w:rPr>
          <w:rFonts w:ascii="Times New Roman" w:hAnsi="Times New Roman" w:cs="Times New Roman"/>
        </w:rPr>
        <w:t xml:space="preserve">. In other words, it would be unreasonable to adopt the ‘market impact’ effectiveness criterion to explore the influence of </w:t>
      </w:r>
      <w:r w:rsidR="001A3E4C" w:rsidRPr="00EF66BB">
        <w:rPr>
          <w:rFonts w:ascii="Times New Roman" w:hAnsi="Times New Roman" w:cs="Times New Roman"/>
        </w:rPr>
        <w:lastRenderedPageBreak/>
        <w:t xml:space="preserve">managerial </w:t>
      </w:r>
      <w:r w:rsidR="000C0C13" w:rsidRPr="00EF66BB">
        <w:rPr>
          <w:rFonts w:ascii="Times New Roman" w:hAnsi="Times New Roman" w:cs="Times New Roman"/>
        </w:rPr>
        <w:t>choices</w:t>
      </w:r>
      <w:r w:rsidR="001A3E4C" w:rsidRPr="00EF66BB">
        <w:rPr>
          <w:rFonts w:ascii="Times New Roman" w:hAnsi="Times New Roman" w:cs="Times New Roman"/>
        </w:rPr>
        <w:t xml:space="preserve"> on university technology transfer effectiveness, since there are </w:t>
      </w:r>
      <w:r w:rsidR="00F44B59" w:rsidRPr="00EF66BB">
        <w:rPr>
          <w:rFonts w:ascii="Times New Roman" w:hAnsi="Times New Roman" w:cs="Times New Roman"/>
        </w:rPr>
        <w:t xml:space="preserve">factors </w:t>
      </w:r>
      <w:r w:rsidR="001A3E4C" w:rsidRPr="00EF66BB">
        <w:rPr>
          <w:rFonts w:ascii="Times New Roman" w:hAnsi="Times New Roman" w:cs="Times New Roman"/>
        </w:rPr>
        <w:t>that influence market impact (</w:t>
      </w:r>
      <w:r w:rsidR="00437B5E" w:rsidRPr="00EF66BB">
        <w:rPr>
          <w:rFonts w:ascii="Times New Roman" w:hAnsi="Times New Roman" w:cs="Times New Roman"/>
        </w:rPr>
        <w:t xml:space="preserve">e.g. </w:t>
      </w:r>
      <w:r w:rsidR="001A3E4C" w:rsidRPr="00EF66BB">
        <w:rPr>
          <w:rFonts w:ascii="Times New Roman" w:hAnsi="Times New Roman" w:cs="Times New Roman"/>
        </w:rPr>
        <w:t xml:space="preserve">strategy and capabilities of </w:t>
      </w:r>
      <w:r w:rsidR="00437B5E" w:rsidRPr="00EF66BB">
        <w:rPr>
          <w:rFonts w:ascii="Times New Roman" w:hAnsi="Times New Roman" w:cs="Times New Roman"/>
        </w:rPr>
        <w:t xml:space="preserve">the </w:t>
      </w:r>
      <w:r w:rsidR="001A3E4C" w:rsidRPr="00EF66BB">
        <w:rPr>
          <w:rFonts w:ascii="Times New Roman" w:hAnsi="Times New Roman" w:cs="Times New Roman"/>
        </w:rPr>
        <w:t xml:space="preserve">partnering firm) that are beyond the </w:t>
      </w:r>
      <w:r w:rsidR="00F44B59" w:rsidRPr="00EF66BB">
        <w:rPr>
          <w:rFonts w:ascii="Times New Roman" w:hAnsi="Times New Roman" w:cs="Times New Roman"/>
        </w:rPr>
        <w:t>control</w:t>
      </w:r>
      <w:r w:rsidR="001A3E4C" w:rsidRPr="00EF66BB">
        <w:rPr>
          <w:rFonts w:ascii="Times New Roman" w:hAnsi="Times New Roman" w:cs="Times New Roman"/>
        </w:rPr>
        <w:t xml:space="preserve"> of university managers. However, university managers do have the capacity to reconfigure internal organisational arrangements that impact on the effectiveness of technology transfer (as highlighted below).</w:t>
      </w:r>
      <w:r w:rsidR="000D57A9">
        <w:rPr>
          <w:rFonts w:ascii="Times New Roman" w:hAnsi="Times New Roman" w:cs="Times New Roman"/>
        </w:rPr>
        <w:t xml:space="preserve"> The CEMTT model suggests that </w:t>
      </w:r>
      <w:r w:rsidR="00FE552D">
        <w:rPr>
          <w:rFonts w:ascii="Times New Roman" w:hAnsi="Times New Roman" w:cs="Times New Roman"/>
        </w:rPr>
        <w:t>‘</w:t>
      </w:r>
      <w:r w:rsidR="000D57A9">
        <w:rPr>
          <w:rFonts w:ascii="Times New Roman" w:hAnsi="Times New Roman" w:cs="Times New Roman"/>
        </w:rPr>
        <w:t>organisational design</w:t>
      </w:r>
      <w:r w:rsidR="00FE552D">
        <w:rPr>
          <w:rFonts w:ascii="Times New Roman" w:hAnsi="Times New Roman" w:cs="Times New Roman"/>
        </w:rPr>
        <w:t>’</w:t>
      </w:r>
      <w:r w:rsidR="000D57A9">
        <w:rPr>
          <w:rFonts w:ascii="Times New Roman" w:hAnsi="Times New Roman" w:cs="Times New Roman"/>
        </w:rPr>
        <w:t xml:space="preserve"> and </w:t>
      </w:r>
      <w:r w:rsidR="00FE552D">
        <w:rPr>
          <w:rFonts w:ascii="Times New Roman" w:hAnsi="Times New Roman" w:cs="Times New Roman"/>
        </w:rPr>
        <w:t>‘</w:t>
      </w:r>
      <w:r w:rsidR="000D57A9">
        <w:rPr>
          <w:rFonts w:ascii="Times New Roman" w:hAnsi="Times New Roman" w:cs="Times New Roman"/>
        </w:rPr>
        <w:t>technical human capital</w:t>
      </w:r>
      <w:r w:rsidR="00CE0F15">
        <w:rPr>
          <w:rFonts w:ascii="Times New Roman" w:hAnsi="Times New Roman" w:cs="Times New Roman"/>
        </w:rPr>
        <w:t>’</w:t>
      </w:r>
      <w:r w:rsidR="000D57A9">
        <w:rPr>
          <w:rFonts w:ascii="Times New Roman" w:hAnsi="Times New Roman" w:cs="Times New Roman"/>
        </w:rPr>
        <w:t xml:space="preserve"> are important agent characteristics that influence the effectiveness of technology transfer</w:t>
      </w:r>
      <w:r w:rsidR="00F55438">
        <w:rPr>
          <w:rFonts w:ascii="Times New Roman" w:hAnsi="Times New Roman" w:cs="Times New Roman"/>
        </w:rPr>
        <w:t xml:space="preserve"> (Bozeman et al, 2015)</w:t>
      </w:r>
      <w:r w:rsidR="000D57A9">
        <w:rPr>
          <w:rFonts w:ascii="Times New Roman" w:hAnsi="Times New Roman" w:cs="Times New Roman"/>
        </w:rPr>
        <w:t>.</w:t>
      </w:r>
      <w:r w:rsidR="00DE1ED4">
        <w:rPr>
          <w:rFonts w:ascii="Times New Roman" w:hAnsi="Times New Roman" w:cs="Times New Roman"/>
        </w:rPr>
        <w:t xml:space="preserve"> Consistent with this model,  r</w:t>
      </w:r>
      <w:r w:rsidR="000D57A9">
        <w:rPr>
          <w:rFonts w:ascii="Times New Roman" w:hAnsi="Times New Roman" w:cs="Times New Roman"/>
        </w:rPr>
        <w:t>esearch in the context of university technology transfer has established</w:t>
      </w:r>
      <w:r w:rsidR="001A3E4C" w:rsidRPr="00EF66BB">
        <w:rPr>
          <w:rFonts w:ascii="Times New Roman" w:hAnsi="Times New Roman" w:cs="Times New Roman"/>
        </w:rPr>
        <w:t xml:space="preserve"> that</w:t>
      </w:r>
      <w:r w:rsidR="000D57A9">
        <w:rPr>
          <w:rFonts w:ascii="Times New Roman" w:hAnsi="Times New Roman" w:cs="Times New Roman"/>
        </w:rPr>
        <w:t xml:space="preserve"> </w:t>
      </w:r>
      <w:r w:rsidR="001A3E4C" w:rsidRPr="00EF66BB">
        <w:rPr>
          <w:rFonts w:ascii="Times New Roman" w:hAnsi="Times New Roman" w:cs="Times New Roman"/>
        </w:rPr>
        <w:t>supporting organisational infrastructure, namely technology transfer offices</w:t>
      </w:r>
      <w:r w:rsidR="000D57A9">
        <w:rPr>
          <w:rFonts w:ascii="Times New Roman" w:hAnsi="Times New Roman" w:cs="Times New Roman"/>
        </w:rPr>
        <w:t xml:space="preserve"> (</w:t>
      </w:r>
      <w:r w:rsidR="002E12F1">
        <w:rPr>
          <w:rFonts w:ascii="Times New Roman" w:hAnsi="Times New Roman" w:cs="Times New Roman"/>
        </w:rPr>
        <w:t>t</w:t>
      </w:r>
      <w:r w:rsidR="000D57A9">
        <w:rPr>
          <w:rFonts w:ascii="Times New Roman" w:hAnsi="Times New Roman" w:cs="Times New Roman"/>
        </w:rPr>
        <w:t xml:space="preserve">echnical human capital) </w:t>
      </w:r>
      <w:r w:rsidR="001A3E4C" w:rsidRPr="00EF66BB">
        <w:rPr>
          <w:rFonts w:ascii="Times New Roman" w:hAnsi="Times New Roman" w:cs="Times New Roman"/>
        </w:rPr>
        <w:t xml:space="preserve"> </w:t>
      </w:r>
      <w:r w:rsidR="00BE3AB4">
        <w:rPr>
          <w:rFonts w:ascii="Times New Roman" w:hAnsi="Times New Roman" w:cs="Times New Roman"/>
        </w:rPr>
        <w:fldChar w:fldCharType="begin" w:fldLock="1"/>
      </w:r>
      <w:r w:rsidR="005C76D1">
        <w:rPr>
          <w:rFonts w:ascii="Times New Roman" w:hAnsi="Times New Roman" w:cs="Times New Roman"/>
        </w:rPr>
        <w:instrText>ADDIN CSL_CITATION {"citationItems":[{"id":"ITEM-1","itemData":{"author":[{"dropping-particle":"","family":"Siegel","given":"Donald","non-dropping-particle":"","parse-names":false,"suffix":""},{"dropping-particle":"","family":"Wright","given":"Mike","non-dropping-particle":"","parse-names":false,"suffix":""}],"container-title":"The Chicago Handbook of University Technology Transfer and Academic Entrepreneurship","id":"ITEM-1","issued":{"date-parts":[["2015"]]},"page":"1-40","title":"University Technology Transfer Offices, Licensing and Start-Ups","type":"article-journal"},"uris":["http://www.mendeley.com/documents/?uuid=fe76100e-4794-40f5-abd9-8ecf8418b924"]},{"id":"ITEM-2","itemData":{"DOI":"10.1016/j.respol.2017.03.008","ISSN":"00487333","abstract":"This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Policy","id":"ITEM-2","issue":"5","issued":{"date-parts":[["2017"]]},"page":"881-897","publisher":"Elsevier B.V.","title":"University research and knowledge transfer: A dynamic view of ambidexterity in british universities","type":"article-journal","volume":"46"},"uris":["http://www.mendeley.com/documents/?uuid=1bae52b2-2b76-4a4b-9383-c1e21964cb01"]},{"id":"ITEM-3","itemData":{"DOI":"10.1016/j.respol.2011.02.001","ISBN":"0048-7333","ISSN":"00487333","PMID":"2891","abstract":"The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Policy","id":"ITEM-3","issue":"4","issued":{"date-parts":[["2011"]]},"page":"553-564","publisher":"Elsevier B.V.","title":"Entrepreneurial effectiveness of European universities: An empirical assessment of antecedents and trade-offs","type":"article-journal","volume":"40"},"uris":["http://www.mendeley.com/documents/?uuid=efca2164-cee4-4742-ab17-7b8416ace40b"]},{"id":"ITEM-4","itemData":{"DOI":"10.1016/j.respol.2010.05.016","ISBN":"00487333","ISSN":"00487333","PMID":"53969080","abstract":"This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Policy","id":"ITEM-4","issue":"9","issued":{"date-parts":[["2010"]]},"page":"1160-1173","publisher":"Elsevier B.V.","title":"Performance of Spanish universities in technology transfer: An empirical analysis","type":"article-journal","volume":"39"},"uris":["http://www.mendeley.com/documents/?uuid=d43816cf-2ca3-4387-aef7-64719dd222a6"]},{"id":"ITEM-5","itemData":{"DOI":"10.1093/icc/dtm023","ISBN":"0960-6491","ISSN":"09606491","abstract":"The literature on university entrepreneurship is rapidly expanding, in both the United States and Europe. Since the literature is also fairly fragmented, however, we submit that it is time to take stock of the current knowledge to provide directions for future research and guideposts for policy makers. To accomplish this, we present an unusually comprehensive and detailed literature analysis of the stream of research on university entrepreneurship, now encompassing 173 articles published in a variety of academic journals. Four major research streams emerge in this area of study: (i) entrepreneurial research university, (ii) productivity of technology transfer offices, (iii) new firm creation, and (iv) environmental context including networks of innovation. We inductively derive a framework describing the dynamic process of university entrepreneurship based on a synthesis of the literature. We submit that this framework is useful in guiding future research on this important, yet complex and under-researched topic.","author":[{"dropping-particle":"","family":"Rothaermel","given":"Frank T.","non-dropping-particle":"","parse-names":false,"suffix":""},{"dropping-particle":"","family":"Agung","given":"Shanti D.","non-dropping-particle":"","parse-names":false,"suffix":""},{"dropping-particle":"","family":"Jiang","given":"Lin","non-dropping-particle":"","parse-names":false,"suffix":""}],"container-title":"Industrial and Corporate Change","id":"ITEM-5","issue":"4","issued":{"date-parts":[["2007"]]},"page":"691-791","title":"University entrepreneurship: A taxonomy of the literature","type":"article-journal","volume":"16"},"uris":["http://www.mendeley.com/documents/?uuid=5357c8bd-4f94-4314-8ab0-1173b7db7f62"]},{"id":"ITEM-6","itemData":{"DOI":"10.1007/s10961-009-9129-z","ISBN":"1096100991","author":[{"dropping-particle":"","family":"Heisey","given":"Paul W","non-dropping-particle":"","parse-names":false,"suffix":""},{"dropping-particle":"","family":"Adelman","given":"Æ Sarah W","non-dropping-particle":"","parse-names":false,"suffix":""}],"id":"ITEM-6","issued":{"date-parts":[["2011"]]},"page":"38-60","title":"and university licensing revenue","type":"article-journal"},"uris":["http://www.mendeley.com/documents/?uuid=c4ddc740-e8bb-478b-be69-e1d8a02e8d39"]},{"id":"ITEM-7","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Policy","id":"ITEM-7","issue":"1","issued":{"date-parts":[["2003","1"]]},"page":"27-48","title":"Assessing the impact of organizational practices on the relative productivity of university technology transfer offices: an exploratory study","type":"article-journal","volume":"32"},"uris":["http://www.mendeley.com/documents/?uuid=e46987f6-89c5-3b6f-b14b-8fc764f55f9f"]}],"mendeley":{"formattedCitation":"(Caldera and Debande, 2010a; Heisey and Adelman, 2011; Rothaermel et al., 2007; Sengupta and Ray, 2017a; Siegel et al., 2003; Siegel and Wright, 2015b; Van Looy et al., 2011)","plainTextFormattedCitation":"(Caldera and Debande, 2010a; Heisey and Adelman, 2011; Rothaermel et al., 2007; Sengupta and Ray, 2017a; Siegel et al., 2003; Siegel and Wright, 2015b; Van Looy et al., 2011)","previouslyFormattedCitation":"(Caldera and Debande, 2010a; Heisey and Adelman, 2011; Rothaermel et al., 2007; Sengupta and Ray, 2017a; Siegel et al., 2003; Siegel and Wright, 2015b; Van Looy et al., 2011)"},"properties":{"noteIndex":0},"schema":"https://github.com/citation-style-language/schema/raw/master/csl-citation.json"}</w:instrText>
      </w:r>
      <w:r w:rsidR="00BE3AB4">
        <w:rPr>
          <w:rFonts w:ascii="Times New Roman" w:hAnsi="Times New Roman" w:cs="Times New Roman"/>
        </w:rPr>
        <w:fldChar w:fldCharType="separate"/>
      </w:r>
      <w:r w:rsidR="005C76D1" w:rsidRPr="005C76D1">
        <w:rPr>
          <w:rFonts w:ascii="Times New Roman" w:hAnsi="Times New Roman" w:cs="Times New Roman"/>
          <w:noProof/>
        </w:rPr>
        <w:t>(Caldera and Debande, 2010a; Heisey and Adelman, 2011; Rothaermel et al., 2007; Sengupta and Ray, 2017a; Siegel et al., 2003; Siegel and Wright, 2015b; Van Looy et al., 2011)</w:t>
      </w:r>
      <w:r w:rsidR="00BE3AB4">
        <w:rPr>
          <w:rFonts w:ascii="Times New Roman" w:hAnsi="Times New Roman" w:cs="Times New Roman"/>
        </w:rPr>
        <w:fldChar w:fldCharType="end"/>
      </w:r>
      <w:r w:rsidR="001A3E4C" w:rsidRPr="00EF66BB">
        <w:rPr>
          <w:rFonts w:ascii="Times New Roman" w:hAnsi="Times New Roman" w:cs="Times New Roman"/>
        </w:rPr>
        <w:t xml:space="preserve"> and incentive structures</w:t>
      </w:r>
      <w:r w:rsidR="000D57A9">
        <w:rPr>
          <w:rFonts w:ascii="Times New Roman" w:hAnsi="Times New Roman" w:cs="Times New Roman"/>
        </w:rPr>
        <w:t xml:space="preserve"> (organi</w:t>
      </w:r>
      <w:r w:rsidR="00CE1EC1">
        <w:rPr>
          <w:rFonts w:ascii="Times New Roman" w:hAnsi="Times New Roman" w:cs="Times New Roman"/>
        </w:rPr>
        <w:t>s</w:t>
      </w:r>
      <w:r w:rsidR="000D57A9">
        <w:rPr>
          <w:rFonts w:ascii="Times New Roman" w:hAnsi="Times New Roman" w:cs="Times New Roman"/>
        </w:rPr>
        <w:t>ational design)</w:t>
      </w:r>
      <w:r w:rsidR="001A3E4C" w:rsidRPr="00EF66BB">
        <w:rPr>
          <w:rFonts w:ascii="Times New Roman" w:hAnsi="Times New Roman" w:cs="Times New Roman"/>
        </w:rPr>
        <w:t xml:space="preserve"> </w:t>
      </w:r>
      <w:r w:rsidR="00BE3AB4">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Spain","type":"article-journal","volume":"45"},"uris":["http://www.mendeley.com/documents/?uuid=9dc55724-30e7-4819-98fd-32f02e1caf8d"]},{"id":"ITEM-2","itemData":{"DOI":"10.1111/j.0741-6261.2008.00020.x","ISBN":"0741-6261","ISSN":"07416261","PMID":"2877","abstract":"We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Economics","id":"ITEM-2","issue":"2","issued":{"date-parts":[["2008"]]},"page":"403-433","title":"Incentives and invention in universities","type":"article-journal","volume":"39"},"uris":["http://www.mendeley.com/documents/?uuid=5cc5deac-babe-4731-9ce4-35098d057334"]},{"id":"ITEM-3","itemData":{"DOI":"10.1016/j.respol.2010.05.016","ISBN":"00487333","ISSN":"00487333","PMID":"53969080","abstract":"This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Policy","id":"ITEM-3","issue":"9","issued":{"date-parts":[["2010"]]},"page":"1160-1173","publisher":"Elsevier B.V.","title":"Performance of Spanish universities in technology transfer: An empirical analysis","type":"article-journal","volume":"39"},"uris":["http://www.mendeley.com/documents/?uuid=d43816cf-2ca3-4387-aef7-64719dd222a6"]},{"id":"ITEM-4","itemData":{"DOI":"10.1016/j.respol.2004.12.003","ISBN":"0048-7333","ISSN":"00487333","abstract":"The transfer of scientific and technological know-how into valuable economic activity has become a high priority on many policy agendas. Industry Science Links (ISLs) are an important dimension of this policy orientation. Over the last decades, multiple insights have been gained (both theoretical and empirical) as to how \"effective\" ISLs can be fostered through the design and the development of university-based technology transfer organizations (TTOs). In this paper, we document and analyze the evolution of \"effective\" university-based technology transfer mechanisms. We describe how decentralized organizational approaches and incentives that stimulate the active involvement of the research groups in the exploitation of their research findings might be combined with specialized central services offering intellectual property management and spin-off support. More particularly, we analyze how the creation of:an appropriate balance between centralization and decentralization within academia;the design of appropriate incentive structures for academic research groups;the implementation of appropriate decision and monitoring processes within the TTOhas brought about critical elements in fostering an \"effective\" commercialization of the academic science base. © 2005 Elsevier B.V. All rights reserved.","author":[{"dropping-particle":"","family":"Debackere","given":"Koenraad","non-dropping-particle":"","parse-names":false,"suffix":""},{"dropping-particle":"","family":"Veugelers","given":"Reinhilde","non-dropping-particle":"","parse-names":false,"suffix":""}],"container-title":"Research Policy","id":"ITEM-4","issue":"3","issued":{"date-parts":[["2005"]]},"page":"321-342","title":"The role of academic technology transfer organizations in improving industry science links","type":"article-journal","volume":"34"},"uris":["http://www.mendeley.com/documents/?uuid=b5a14a0c-13b9-4989-9bde-f10ce2613421"]},{"id":"ITEM-5","itemData":{"DOI":"10.1023/B:JOTT.0000034127.01889.86","ISBN":"0892-9912","ISSN":"0892-9912","PMID":"2873","abstract":"There has been a paucity of research to date that has explored whether incentive systems—in the form of monetary payments to inventors, their department or institution, or to university technology transfer office (UTTO) personnel—affect entrepreneurial activities at U.S. universities. To shed light on whether financial incentives to scientists, their departments, and UTTO personnel effect entrepreneurial activity, we used both qualitative data (structured interviews with 128 UTTO directors) and quantitative data from surveys and databases available on the web. Our results show surprisingly and opposite to our theoretical predictions that incentives to scientists and to their departments are negatively related to entrepreneurial activity. In addition and consistent with theory-based predictions, pay to UTTO personnel is positively related to entrepreneurial activity. We conclude with a discussion that offers some implications to research, practice, and theory in the field of technology transfer.","author":[{"dropping-particle":"","family":"Markman","given":"Gideon D.","non-dropping-particle":"","parse-names":false,"suffix":""},{"dropping-particle":"","family":"Gianiodis","given":"Peter T.","non-dropping-particle":"","parse-names":false,"suffix":""},{"dropping-particle":"","family":"Phan","given":"Phillip H.","non-dropping-particle":"","parse-names":false,"suffix":""},{"dropping-particle":"","family":"Balkin","given":"David B.","non-dropping-particle":"","parse-names":false,"suffix":""}],"container-title":"The Journal of Technology Transfer","id":"ITEM-5","issue":"3/4","issued":{"date-parts":[["2004"]]},"page":"353-364","title":"Entrepreneurship from the Ivory Tower: Do Incentive Systems Matter?","type":"article-journal","volume":"29"},"uris":["http://www.mendeley.com/documents/?uuid=c689f362-be7c-4b60-98da-458f4226733a"]},{"id":"ITEM-6","itemData":{"DOI":"10.1007/s10961-009-9116-4","ISBN":"0892-9912","ISSN":"08929912","abstract":"Research shows that there are important institutional underpinnings for building university-industry linkages. This paper aims to understand how China is developing the relevant organizational structures and incentives in its universities. What academic institutions shape the scope and channels of university-industry linkages? What incentives do universities provide to encourage and facilitate faculty engagement with industry? My analysis is accomplished through content analysis of university documents and in-depth interviews with personnel in two top institutions-Fudan University and Shanghai Jiaotong University, supplemented by official statistics. It shows that the hybrid organizational structure to manage technology transfer is a product of historical legacy and institutional learning-parts uniquely Chinese and parts adapted from the West. Faculty incentives also have varied effects. In spite of being enticed to disclose inventions and pursue commercialization, faculty remains keener on scholarly publications.","author":[{"dropping-particle":"","family":"Wu","given":"Weiping","non-dropping-particle":"","parse-names":false,"suffix":""}],"container-title":"Journal of Technology Transfer","id":"ITEM-6","issue":"2","issued":{"date-parts":[["2010"]]},"page":"203-224","title":"Managing and incentivizing research commercialization in Chinese Universities","type":"article-journal","volume":"35"},"uris":["http://www.mendeley.com/documents/?uuid=f4ff28ca-6744-4a73-8faf-de0670f21ecd"]}],"mendeley":{"formattedCitation":"(Arqué-Castells et al., 2016; Caldera and Debande, 2010a; Debackere and Veugelers, 2005; Lach and Schankerman, 2008; Markman et al., 2004; Wu, 2010)","plainTextFormattedCitation":"(Arqué-Castells et al., 2016; Caldera and Debande, 2010a; Debackere and Veugelers, 2005; Lach and Schankerman, 2008; Markman et al., 2004; Wu, 2010)","previouslyFormattedCitation":"(Arqué-Castells et al., 2016; Caldera and Debande, 2010a; Debackere and Veugelers, 2005; Lach and Schankerman, 2008; Markman et al., 2004; Wu, 2010)"},"properties":{"noteIndex":0},"schema":"https://github.com/citation-style-language/schema/raw/master/csl-citation.json"}</w:instrText>
      </w:r>
      <w:r w:rsidR="00BE3AB4">
        <w:rPr>
          <w:rFonts w:ascii="Times New Roman" w:hAnsi="Times New Roman" w:cs="Times New Roman"/>
        </w:rPr>
        <w:fldChar w:fldCharType="separate"/>
      </w:r>
      <w:r w:rsidR="008F2687" w:rsidRPr="008F2687">
        <w:rPr>
          <w:rFonts w:ascii="Times New Roman" w:hAnsi="Times New Roman" w:cs="Times New Roman"/>
          <w:noProof/>
        </w:rPr>
        <w:t>(Arqué-Castells et al., 2016; Caldera and Debande, 2010a; Debackere and Veugelers, 2005; Lach and Schankerman, 2008; Markman et al., 2004; Wu, 2010)</w:t>
      </w:r>
      <w:r w:rsidR="00BE3AB4">
        <w:rPr>
          <w:rFonts w:ascii="Times New Roman" w:hAnsi="Times New Roman" w:cs="Times New Roman"/>
        </w:rPr>
        <w:fldChar w:fldCharType="end"/>
      </w:r>
      <w:r w:rsidR="007C4C85">
        <w:rPr>
          <w:rFonts w:ascii="Times New Roman" w:hAnsi="Times New Roman" w:cs="Times New Roman"/>
        </w:rPr>
        <w:t xml:space="preserve"> </w:t>
      </w:r>
      <w:r w:rsidR="00437B5E" w:rsidRPr="00EF66BB">
        <w:rPr>
          <w:rFonts w:ascii="Times New Roman" w:hAnsi="Times New Roman" w:cs="Times New Roman"/>
        </w:rPr>
        <w:t xml:space="preserve">are </w:t>
      </w:r>
      <w:r w:rsidR="001A3E4C" w:rsidRPr="00EF66BB">
        <w:rPr>
          <w:rFonts w:ascii="Times New Roman" w:hAnsi="Times New Roman" w:cs="Times New Roman"/>
        </w:rPr>
        <w:t xml:space="preserve">important </w:t>
      </w:r>
      <w:r w:rsidR="002E12F1">
        <w:rPr>
          <w:rFonts w:ascii="Times New Roman" w:hAnsi="Times New Roman" w:cs="Times New Roman"/>
        </w:rPr>
        <w:t xml:space="preserve">influences on </w:t>
      </w:r>
      <w:r w:rsidR="001A3E4C" w:rsidRPr="00EF66BB">
        <w:rPr>
          <w:rFonts w:ascii="Times New Roman" w:hAnsi="Times New Roman" w:cs="Times New Roman"/>
        </w:rPr>
        <w:t>technology transfer activity.</w:t>
      </w:r>
      <w:r w:rsidR="000D57A9">
        <w:rPr>
          <w:rFonts w:ascii="Times New Roman" w:hAnsi="Times New Roman" w:cs="Times New Roman"/>
        </w:rPr>
        <w:t xml:space="preserve"> </w:t>
      </w:r>
    </w:p>
    <w:p w14:paraId="360EF03E" w14:textId="77777777" w:rsidR="001A3E4C" w:rsidRPr="00EF66BB" w:rsidRDefault="001A3E4C" w:rsidP="00141231">
      <w:pPr>
        <w:spacing w:line="360" w:lineRule="auto"/>
        <w:rPr>
          <w:rFonts w:ascii="Times New Roman" w:hAnsi="Times New Roman" w:cs="Times New Roman"/>
        </w:rPr>
      </w:pPr>
    </w:p>
    <w:p w14:paraId="76234693" w14:textId="09FAFEA8" w:rsidR="001A3E4C" w:rsidRPr="00EF66BB" w:rsidRDefault="005F604E" w:rsidP="00141231">
      <w:pPr>
        <w:spacing w:line="360" w:lineRule="auto"/>
        <w:rPr>
          <w:rFonts w:ascii="Times New Roman" w:hAnsi="Times New Roman" w:cs="Times New Roman"/>
        </w:rPr>
      </w:pPr>
      <w:r>
        <w:rPr>
          <w:rFonts w:ascii="Times New Roman" w:hAnsi="Times New Roman" w:cs="Times New Roman"/>
        </w:rPr>
        <w:t xml:space="preserve">Despite </w:t>
      </w:r>
      <w:r w:rsidRPr="00EF66BB">
        <w:rPr>
          <w:rFonts w:ascii="Times New Roman" w:hAnsi="Times New Roman" w:cs="Times New Roman"/>
        </w:rPr>
        <w:t xml:space="preserve">extensive empirical analysis, </w:t>
      </w:r>
      <w:r>
        <w:rPr>
          <w:rFonts w:ascii="Times New Roman" w:hAnsi="Times New Roman" w:cs="Times New Roman"/>
        </w:rPr>
        <w:t>the results</w:t>
      </w:r>
      <w:r w:rsidRPr="00EF66BB">
        <w:rPr>
          <w:rFonts w:ascii="Times New Roman" w:hAnsi="Times New Roman" w:cs="Times New Roman"/>
        </w:rPr>
        <w:t xml:space="preserve"> regard</w:t>
      </w:r>
      <w:r>
        <w:rPr>
          <w:rFonts w:ascii="Times New Roman" w:hAnsi="Times New Roman" w:cs="Times New Roman"/>
        </w:rPr>
        <w:t>ing</w:t>
      </w:r>
      <w:r w:rsidRPr="00EF66BB">
        <w:rPr>
          <w:rFonts w:ascii="Times New Roman" w:hAnsi="Times New Roman" w:cs="Times New Roman"/>
        </w:rPr>
        <w:t xml:space="preserve"> the capacity for incentives to influence technology transfer effectiveness</w:t>
      </w:r>
      <w:r>
        <w:rPr>
          <w:rFonts w:ascii="Times New Roman" w:hAnsi="Times New Roman" w:cs="Times New Roman"/>
        </w:rPr>
        <w:t xml:space="preserve"> remain ambiguous.</w:t>
      </w:r>
      <w:r w:rsidR="001A3E4C" w:rsidRPr="00EF66BB">
        <w:rPr>
          <w:rFonts w:ascii="Times New Roman" w:hAnsi="Times New Roman" w:cs="Times New Roman"/>
        </w:rPr>
        <w:t xml:space="preserve"> Some have shown that the provision of pecuniary incentives for staff, such as royalty sharing and equity sharing policies results in higher revenue from licenses </w:t>
      </w:r>
      <w:r w:rsidR="00577636">
        <w:rPr>
          <w:rFonts w:ascii="Times New Roman" w:hAnsi="Times New Roman" w:cs="Times New Roman"/>
        </w:rPr>
        <w:fldChar w:fldCharType="begin" w:fldLock="1"/>
      </w:r>
      <w:r w:rsidR="00CD0532">
        <w:rPr>
          <w:rFonts w:ascii="Times New Roman" w:hAnsi="Times New Roman" w:cs="Times New Roman"/>
        </w:rPr>
        <w:instrText>ADDIN CSL_CITATION {"citationItems":[{"id":"ITEM-1","itemData":{"DOI":"10.1111/j.0741-6261.2008.00020.x","ISBN":"0741-6261","ISSN":"07416261","PMID":"2877","abstract":"We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Economics","id":"ITEM-1","issue":"2","issued":{"date-parts":[["2008"]]},"page":"403-433","title":"Incentives and invention in universities","type":"article-journal","volume":"39"},"uris":["http://www.mendeley.com/documents/?uuid=5cc5deac-babe-4731-9ce4-35098d057334"]},{"id":"ITEM-2","itemData":{"DOI":"10.1162/154247604323067961","ISBN":"15424766","ISSN":"15424774","PMID":"2982","abstract":"Using data for 102 U.S. universities, we show that royalty-sharing arrangements (cash flow rights) vary substantially across universities and that they are largely unrelated to most observed university characteristics including faculty size, quality, research funding, technology mix of the faculty, and size of the technology licensing office. However, higher inventors' royalty shares are associated with higher licensing income at the university, controlling for other factors. The results suggest that monetary incentives from inventions have real effects in the university sector.","author":[{"dropping-particle":"","family":"Lach","given":"Saul","non-dropping-particle":"","parse-names":false,"suffix":""},{"dropping-particle":"","family":"Schankerman","given":"Mark","non-dropping-particle":"","parse-names":false,"suffix":""}],"container-title":"Journal of the European Economic Association","id":"ITEM-2","issue":"2-3","issued":{"date-parts":[["2004"]]},"page":"252-264","title":"Royalty sharing and technology licensing in universities","type":"article-journal","volume":"2"},"uris":["http://www.mendeley.com/documents/?uuid=e231f31f-4136-4996-9639-55e279210b67"]},{"id":"ITEM-3","itemData":{"DOI":"10.1023/A:1021674618658","ISBN":"0892-9912","ISSN":"0892-9912","abstract":"University technology transfer activities are increasingly important as a source of regional economic development and revenue for the university. We use regression analysis, a two-stage model and the most recent data to examine the determinants of technology transfer. Our analysis strongly support four factors, not previously examined in the literature, enhancing university technology transfer: greater rewards for faculty involvement in technology transfer, location of the university in a region with a concentration of high technology firms, a clear university mission in support of technology transfer and the experience of the university's technology transfer office.","author":[{"dropping-particle":"","family":"Friedman","given":"Joseph","non-dropping-particle":"","parse-names":false,"suffix":""},{"dropping-particle":"","family":"Silberman","given":"Jonathan","non-dropping-particle":"","parse-names":false,"suffix":""}],"container-title":"The Journal of Technology Transfer","id":"ITEM-3","issue":"1","issued":{"date-parts":[["2003"]]},"page":"17-30","title":"University Technology Transfer: Do Incentives, Management, and Location Matter?","type":"article-journal","volume":"28"},"uris":["http://www.mendeley.com/documents/?uuid=374e8e75-56c8-4c4e-a6bd-e5796bfc2ca5"]},{"id":"ITEM-4","itemData":{"DOI":"10.1016/j.respol.2005.01.005","ISBN":"0048-7333","ISSN":"00487333","PMID":"599","abstract":"This article discusses salient trends in university-based technology initiatives in the United States and Europe, and it summarizes the papers contained in this special issue.","author":[{"dropping-particle":"","family":"Link","given":"Albert N.","non-dropping-particle":"","parse-names":false,"suffix":""},{"dropping-particle":"","family":"Siegel","given":"Donald","non-dropping-particle":"","parse-names":false,"suffix":""}],"container-title":"Research Policy","id":"ITEM-4","issue":"3","issued":{"date-parts":[["2005"]]},"page":"253-257","title":"University-based technology initiatives: Quantitative and qualitative evidence","type":"article-journal","volume":"34"},"uris":["http://www.mendeley.com/documents/?uuid=898545c9-834c-423a-aa3f-4da3b3627a38"]},{"id":"ITEM-5","itemData":{"DOI":"10.1016/j.respol.2010.05.016","ISBN":"00487333","ISSN":"00487333","PMID":"53969080","abstract":"This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Policy","id":"ITEM-5","issue":"9","issued":{"date-parts":[["2010"]]},"page":"1160-1173","publisher":"Elsevier B.V.","title":"Performance of Spanish universities in technology transfer: An empirical analysis","type":"article-journal","volume":"39"},"uris":["http://www.mendeley.com/documents/?uuid=d43816cf-2ca3-4387-aef7-64719dd222a6"]}],"mendeley":{"formattedCitation":"(Caldera and Debande, 2010a; Friedman and Silberman, 2003; Lach and Schankerman, 2004, 2008; Link and Siegel, 2005)","plainTextFormattedCitation":"(Caldera and Debande, 2010a; Friedman and Silberman, 2003; Lach and Schankerman, 2004, 2008; Link and Siegel, 2005)","previouslyFormattedCitation":"(Caldera and Debande, 2010a; Friedman and Silberman, 2003; Lach and Schankerman, 2008, 2004; Link and Siegel, 2005)"},"properties":{"noteIndex":0},"schema":"https://github.com/citation-style-language/schema/raw/master/csl-citation.json"}</w:instrText>
      </w:r>
      <w:r w:rsidR="00577636">
        <w:rPr>
          <w:rFonts w:ascii="Times New Roman" w:hAnsi="Times New Roman" w:cs="Times New Roman"/>
        </w:rPr>
        <w:fldChar w:fldCharType="separate"/>
      </w:r>
      <w:r w:rsidR="00CD0532" w:rsidRPr="00CD0532">
        <w:rPr>
          <w:rFonts w:ascii="Times New Roman" w:hAnsi="Times New Roman" w:cs="Times New Roman"/>
          <w:noProof/>
        </w:rPr>
        <w:t>(Caldera and Debande, 2010a; Friedman and Silberman, 2003; Lach and Schankerman, 2004, 2008; Link and Siegel, 2005)</w:t>
      </w:r>
      <w:r w:rsidR="00577636">
        <w:rPr>
          <w:rFonts w:ascii="Times New Roman" w:hAnsi="Times New Roman" w:cs="Times New Roman"/>
        </w:rPr>
        <w:fldChar w:fldCharType="end"/>
      </w:r>
      <w:r w:rsidR="00577636">
        <w:rPr>
          <w:rFonts w:ascii="Times New Roman" w:hAnsi="Times New Roman" w:cs="Times New Roman"/>
        </w:rPr>
        <w:t>.</w:t>
      </w:r>
      <w:r w:rsidR="001A3E4C" w:rsidRPr="00EF66BB">
        <w:rPr>
          <w:rFonts w:ascii="Times New Roman" w:hAnsi="Times New Roman" w:cs="Times New Roman"/>
        </w:rPr>
        <w:t xml:space="preserve">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{"citationItems":[{"id":"ITEM-1","itemData":{"DOI":"10.1086/595763","ISBN":"0022-2186","ISSN":"0022-2186","PMID":"2889","abstract":"We study the impact of private ownership, incentive pay, and local development objectives on university licensing performance. We develop and test a simple contracting model of technology-licensing offices using new survey information together with panel data on U.S. universities for 1995–99. We find that private universities are much more likely to adopt incentive pay than public ones but that ownership does not affect licensing performance conditional on the use of incentive pay. Adopting incentive pay is associated with about 30–40 percent more income per license. Universities with strong local development objectives generate about 30 percent less income per license but are more likely to license to local (in-state) start-up companies. In addition, we show that government constraints on university licensing activity are costly in terms of forgone license income and the creation of start-up companies. These results are robust to controls for observed and unobserved heterogeneity. 1.","author":[{"dropping-particle":"","family":"Belenzon","given":"Sharon","non-dropping-particle":"","parse-names":false,"suffix":""},{"dropping-particle":"","family":"Schankerman","given":"Mark","non-dropping-particle":"","parse-names":false,"suffix":""}],"container-title":"Journal of Law and Economics","id":"ITEM-1","issue":"52","issued":{"date-parts":[["2009"]]},"page":"111-144","title":"University Knowledge Transfer: Private Ownership, Incentives, and Local Development Objectives","type":"article-journal","volume":"52"},"uris":["http://www.mendeley.com/documents/?uuid=7345fea5-4d57-47e5-8f88-6fa68b47799f"]}],"mendeley":{"formattedCitation":"(Belenzon and Schankerman, 2009)","manualFormatting":"Belenzon and Schankerman, (2009)","plainTextFormattedCitation":"(Belenzon and Schankerman, 2009)","previouslyFormattedCitation":"(Belenzon and Schankerman, 2009)"},"properties":{"noteIndex":0},"schema":"https://github.com/citation-style-language/schema/raw/master/csl-citation.json"}</w:instrText>
      </w:r>
      <w:r w:rsidR="00577636">
        <w:rPr>
          <w:rFonts w:ascii="Times New Roman" w:hAnsi="Times New Roman" w:cs="Times New Roman"/>
        </w:rPr>
        <w:fldChar w:fldCharType="separate"/>
      </w:r>
      <w:r w:rsidR="00577636" w:rsidRPr="00577636">
        <w:rPr>
          <w:rFonts w:ascii="Times New Roman" w:hAnsi="Times New Roman" w:cs="Times New Roman"/>
          <w:noProof/>
        </w:rPr>
        <w:t xml:space="preserve">Belenzon and Schankerman, </w:t>
      </w:r>
      <w:r w:rsidR="00577636">
        <w:rPr>
          <w:rFonts w:ascii="Times New Roman" w:hAnsi="Times New Roman" w:cs="Times New Roman"/>
          <w:noProof/>
        </w:rPr>
        <w:t>(</w:t>
      </w:r>
      <w:r w:rsidR="00577636" w:rsidRPr="00577636">
        <w:rPr>
          <w:rFonts w:ascii="Times New Roman" w:hAnsi="Times New Roman" w:cs="Times New Roman"/>
          <w:noProof/>
        </w:rPr>
        <w:t>2009)</w:t>
      </w:r>
      <w:r w:rsidR="00577636">
        <w:rPr>
          <w:rFonts w:ascii="Times New Roman" w:hAnsi="Times New Roman" w:cs="Times New Roman"/>
        </w:rPr>
        <w:fldChar w:fldCharType="end"/>
      </w:r>
      <w:r w:rsidR="001A3E4C" w:rsidRPr="00EF66BB">
        <w:rPr>
          <w:rFonts w:ascii="Times New Roman" w:hAnsi="Times New Roman" w:cs="Times New Roman"/>
        </w:rPr>
        <w:t xml:space="preserve"> draw on panel data from 86 US universities to show that adopting incentive pay is associated with a 30-40% increase in the average income per licence. Similarly, Caldera &amp; </w:t>
      </w:r>
      <w:proofErr w:type="spellStart"/>
      <w:r w:rsidR="001A3E4C" w:rsidRPr="00EF66BB">
        <w:rPr>
          <w:rFonts w:ascii="Times New Roman" w:hAnsi="Times New Roman" w:cs="Times New Roman"/>
        </w:rPr>
        <w:t>Debrande</w:t>
      </w:r>
      <w:proofErr w:type="spellEnd"/>
      <w:r w:rsidR="001A3E4C" w:rsidRPr="00EF66BB">
        <w:rPr>
          <w:rFonts w:ascii="Times New Roman" w:hAnsi="Times New Roman" w:cs="Times New Roman"/>
        </w:rPr>
        <w:t xml:space="preserve"> (2010)</w:t>
      </w:r>
      <w:r w:rsidR="00C30DC1">
        <w:rPr>
          <w:rFonts w:ascii="Times New Roman" w:hAnsi="Times New Roman" w:cs="Times New Roman"/>
        </w:rPr>
        <w:t xml:space="preserve"> draw</w:t>
      </w:r>
      <w:r w:rsidR="00A670C9" w:rsidRPr="00EF66BB">
        <w:rPr>
          <w:rFonts w:ascii="Times New Roman" w:hAnsi="Times New Roman" w:cs="Times New Roman"/>
        </w:rPr>
        <w:t xml:space="preserve"> </w:t>
      </w:r>
      <w:r w:rsidR="001A3E4C" w:rsidRPr="00EF66BB">
        <w:rPr>
          <w:rFonts w:ascii="Times New Roman" w:hAnsi="Times New Roman" w:cs="Times New Roman"/>
        </w:rPr>
        <w:t>on data from 52 Spanish universities</w:t>
      </w:r>
      <w:r w:rsidR="00C30DC1">
        <w:rPr>
          <w:rFonts w:ascii="Times New Roman" w:hAnsi="Times New Roman" w:cs="Times New Roman"/>
        </w:rPr>
        <w:t xml:space="preserve"> to</w:t>
      </w:r>
      <w:r w:rsidR="001A3E4C" w:rsidRPr="00EF66BB">
        <w:rPr>
          <w:rFonts w:ascii="Times New Roman" w:hAnsi="Times New Roman" w:cs="Times New Roman"/>
        </w:rPr>
        <w:t xml:space="preserve"> show that an increase in 10% of the inventor’s royalty share could yield up to an 80% increase in </w:t>
      </w:r>
      <w:r w:rsidR="00A670C9" w:rsidRPr="00EF66BB">
        <w:rPr>
          <w:rFonts w:ascii="Times New Roman" w:hAnsi="Times New Roman" w:cs="Times New Roman"/>
        </w:rPr>
        <w:t>licence</w:t>
      </w:r>
      <w:r w:rsidR="001A3E4C" w:rsidRPr="00EF66BB">
        <w:rPr>
          <w:rFonts w:ascii="Times New Roman" w:hAnsi="Times New Roman" w:cs="Times New Roman"/>
        </w:rPr>
        <w:t xml:space="preserve"> revenue</w:t>
      </w:r>
      <w:r w:rsidR="00A670C9" w:rsidRPr="00EF66BB">
        <w:rPr>
          <w:rFonts w:ascii="Times New Roman" w:hAnsi="Times New Roman" w:cs="Times New Roman"/>
        </w:rPr>
        <w:t>.</w:t>
      </w:r>
      <w:r w:rsidR="001A3E4C" w:rsidRPr="00EF66BB">
        <w:rPr>
          <w:rFonts w:ascii="Times New Roman" w:hAnsi="Times New Roman" w:cs="Times New Roman"/>
        </w:rPr>
        <w:t xml:space="preserve">  </w:t>
      </w:r>
      <w:proofErr w:type="spellStart"/>
      <w:r w:rsidR="001A3E4C" w:rsidRPr="00EF66BB">
        <w:rPr>
          <w:rFonts w:ascii="Times New Roman" w:hAnsi="Times New Roman" w:cs="Times New Roman"/>
        </w:rPr>
        <w:t>Lach</w:t>
      </w:r>
      <w:proofErr w:type="spellEnd"/>
      <w:r w:rsidR="001A3E4C" w:rsidRPr="00EF66BB">
        <w:rPr>
          <w:rFonts w:ascii="Times New Roman" w:hAnsi="Times New Roman" w:cs="Times New Roman"/>
        </w:rPr>
        <w:t xml:space="preserve"> </w:t>
      </w:r>
      <w:r w:rsidR="0040433E">
        <w:rPr>
          <w:rFonts w:ascii="Times New Roman" w:hAnsi="Times New Roman" w:cs="Times New Roman"/>
        </w:rPr>
        <w:t>and</w:t>
      </w:r>
      <w:r w:rsidR="0040433E" w:rsidRPr="00EF66BB">
        <w:rPr>
          <w:rFonts w:ascii="Times New Roman" w:hAnsi="Times New Roman" w:cs="Times New Roman"/>
        </w:rPr>
        <w:t xml:space="preserve"> </w:t>
      </w:r>
      <w:proofErr w:type="spellStart"/>
      <w:r w:rsidR="001A3E4C" w:rsidRPr="00EF66BB">
        <w:rPr>
          <w:rFonts w:ascii="Times New Roman" w:hAnsi="Times New Roman" w:cs="Times New Roman"/>
        </w:rPr>
        <w:t>Schankerman</w:t>
      </w:r>
      <w:proofErr w:type="spellEnd"/>
      <w:r w:rsidR="001A3E4C" w:rsidRPr="00EF66BB">
        <w:rPr>
          <w:rFonts w:ascii="Times New Roman" w:hAnsi="Times New Roman" w:cs="Times New Roman"/>
        </w:rPr>
        <w:t xml:space="preserve"> (2008) also provide </w:t>
      </w:r>
      <w:r w:rsidR="00365000" w:rsidRPr="00EF66BB">
        <w:rPr>
          <w:rFonts w:ascii="Times New Roman" w:hAnsi="Times New Roman" w:cs="Times New Roman"/>
        </w:rPr>
        <w:t>evidence confirming</w:t>
      </w:r>
      <w:r w:rsidR="001A3E4C" w:rsidRPr="00EF66BB">
        <w:rPr>
          <w:rFonts w:ascii="Times New Roman" w:hAnsi="Times New Roman" w:cs="Times New Roman"/>
        </w:rPr>
        <w:t xml:space="preserve"> that pecuniary incentives, in the form of royalty shares</w:t>
      </w:r>
      <w:r w:rsidR="00A670C9" w:rsidRPr="00EF66BB">
        <w:rPr>
          <w:rFonts w:ascii="Times New Roman" w:hAnsi="Times New Roman" w:cs="Times New Roman"/>
        </w:rPr>
        <w:t>,</w:t>
      </w:r>
      <w:r w:rsidR="001A3E4C" w:rsidRPr="00EF66BB">
        <w:rPr>
          <w:rFonts w:ascii="Times New Roman" w:hAnsi="Times New Roman" w:cs="Times New Roman"/>
        </w:rPr>
        <w:t xml:space="preserve"> strongly affect licensing outcomes when controlling for university characteristics including size, R&amp;D income, local demand environment and scientific composition. </w:t>
      </w:r>
    </w:p>
    <w:p w14:paraId="42575D41" w14:textId="77777777" w:rsidR="001A3E4C" w:rsidRPr="00EF66BB" w:rsidRDefault="001A3E4C" w:rsidP="00141231">
      <w:pPr>
        <w:spacing w:line="360" w:lineRule="auto"/>
        <w:rPr>
          <w:rFonts w:ascii="Times New Roman" w:hAnsi="Times New Roman" w:cs="Times New Roman"/>
        </w:rPr>
      </w:pPr>
    </w:p>
    <w:p w14:paraId="2CA1572A" w14:textId="1FD4E11D" w:rsidR="001A3E4C" w:rsidRPr="00EF66BB" w:rsidRDefault="00365000" w:rsidP="00141231">
      <w:pPr>
        <w:spacing w:line="360" w:lineRule="auto"/>
        <w:rPr>
          <w:rFonts w:ascii="Times New Roman" w:hAnsi="Times New Roman" w:cs="Times New Roman"/>
        </w:rPr>
      </w:pPr>
      <w:r w:rsidRPr="00EF66BB">
        <w:rPr>
          <w:rFonts w:ascii="Times New Roman" w:hAnsi="Times New Roman" w:cs="Times New Roman"/>
        </w:rPr>
        <w:t>Conversely, o</w:t>
      </w:r>
      <w:r w:rsidR="001A3E4C" w:rsidRPr="00EF66BB">
        <w:rPr>
          <w:rFonts w:ascii="Times New Roman" w:hAnsi="Times New Roman" w:cs="Times New Roman"/>
        </w:rPr>
        <w:t xml:space="preserve">thers highlight the limited impact that incentives have on technology transfer activity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Spain","type":"article-journal","volume":"45"},"uris":["http://www.mendeley.com/documents/?uuid=9dc55724-30e7-4819-98fd-32f02e1caf8d"]},{"id":"ITEM-2","itemData":{"DOI":"10.1023/B:JOTT.0000034127.01889.86","ISBN":"0892-9912","ISSN":"0892-9912","PMID":"2873","abstract":"There has been a paucity of research to date that has explored whether incentive systems—in the form of monetary payments to inventors, their department or institution, or to university technology transfer office (UTTO) personnel—affect entrepreneurial activities at U.S. universities. To shed light on whether financial incentives to scientists, their departments, and UTTO personnel effect entrepreneurial activity, we used both qualitative data (structured interviews with 128 UTTO directors) and quantitative data from surveys and databases available on the web. Our results show surprisingly and opposite to our theoretical predictions that incentives to scientists and to their departments are negatively related to entrepreneurial activity. In addition and consistent with theory-based predictions, pay to UTTO personnel is positively related to entrepreneurial activity. We conclude with a discussion that offers some implications to research, practice, and theory in the field of technology transfer.","author":[{"dropping-particle":"","family":"Markman","given":"Gideon D.","non-dropping-particle":"","parse-names":false,"suffix":""},{"dropping-particle":"","family":"Gianiodis","given":"Peter T.","non-dropping-particle":"","parse-names":false,"suffix":""},{"dropping-particle":"","family":"Phan","given":"Phillip H.","non-dropping-particle":"","parse-names":false,"suffix":""},{"dropping-particle":"","family":"Balkin","given":"David B.","non-dropping-particle":"","parse-names":false,"suffix":""}],"container-title":"The Journal of Technology Transfer","id":"ITEM-2","issue":"3/4","issued":{"date-parts":[["2004"]]},"page":"353-364","title":"Entrepreneurship from the Ivory Tower: Do Incentive Systems Matter?","type":"article-journal","volume":"29"},"uris":["http://www.mendeley.com/documents/?uuid=c689f362-be7c-4b60-98da-458f4226733a"]},{"id":"ITEM-3","itemData":{"DOI":"10.1016/j.respol.2011.09.002","ISBN":"00487333","ISSN":"00487333","PMID":"26053391","abstract":"This paper employs the three concepts of 'gold' (financial rewards), 'ribbon' (reputational/career rewards) and 'puzzle' (intrinsic satisfaction) to examine the extrinsic and intrinsic aspects of scientists' motivation for pursuing commercial activities. The study is based on 36 individual interviews and an on-line questionnaire survey of 735 scientists from five major UK research universities. It finds that there is a diversity of motivations for commercial engagement, and that many do so for reputational and intrinsic reasons and that financial rewards play a relatively small part. The paper draws on self-determination theory in social psychology to analyse the relationship between scientists' value orientations with regard to commercial engagement and their personal motivations. It finds that those with traditional beliefs about the separation of science from commerce are more likely to be extrinsically motivated, using commercialization as a means to obtain resources to support their quest for the 'ribbon'. In contrast, those identify closely with entrepreneurial norms are intrinsically motivated by the autonomy and 'puzzle-solving' involved in applied commercial research while also motivated by the 'gold'. The study highlights the primacy of scientists' self-motivation, and suggests that a fuller explanation of their commercial behaviour will need to consider a broader mix of motives to include the social and affective aspects of intrinsic motivation. In conclusion, the paper argues that policy to encourage commercial engagement should build on reputational and intrinsic rather than purely financial motivations. © 2011 Elsevier B.V. All rights reserved.","author":[{"dropping-particle":"","family":"Lam","given":"Alice","non-dropping-particle":"","parse-names":false,"suffix":""}],"container-title":"Research Policy","id":"ITEM-3","issue":"10","issued":{"date-parts":[["2011"]]},"page":"1354-1368","title":"What motivates academic scientists to engage in research commercialization: 'Gold', 'ribbon' or 'puzzle'?","type":"article-journal","volume":"40"},"uris":["http://www.mendeley.com/documents/?uuid=7ffd5fa0-3822-435f-8e79-8bf2dc7f9b34"]},{"id":"ITEM-4","itemData":{"DOI":"10.1007/s10961-010-9153-z","ISBN":"0892-9912","ISSN":"08929912","abstract":"The debate on the entrepreneurial university has raised questions about what motivates academic scientists to engage with industry. This paper provides evidence based on survey data for a large sample of UK investigators in the physical and engineering sciences. The results suggest that most academics engage with industry to further their research rather than to commercialize their knowledge. However, there are differences in terms of the channels of engagement. Patenting and spin-off company formation are motivated exclusively by commercialization whilst joint research, contract research and consulting are strongly informed by research-related motives. We conclude that policy should refrain from overly focusing on monetary incentives for industry engagement and consider a broader range of incentives for promoting interaction between academia and industry.","author":[{"dropping-particle":"","family":"D'Este","given":"Pablo","non-dropping-particle":"","parse-names":false,"suffix":""},{"dropping-particle":"","family":"Perkmann","given":"Markus","non-dropping-particle":"","parse-names":false,"suffix":""}],"container-title":"Journal of Technology Transfer","id":"ITEM-4","issue":"3","issued":{"date-parts":[["2011"]]},"page":"316-339","title":"Why do academics engage with industry? The entrepreneurial university and individual motivations","type":"article-journal","volume":"36"},"uris":["http://www.mendeley.com/documents/?uuid=47fcbd90-c6f5-4186-bfa4-f494688fac06"]},{"id":"ITEM-5","itemData":{"DOI":"10.1007/s10961-009-9126-2","ISBN":"1096100991262","ISSN":"08929912","abstract":"We propose that scientists use patents/invention disclosures as signals to gain reputation than financial benefits. Based on a newly created dataset on the commercial activities among 2,500 scientists affiliated with 67 institutes of the German Max Planck Society, we explore the relation between the expectations of scientists concerning the outcomes of commercial activities and the likelihood of their patenting and disclosure behaviors. We find that expectation of gaining financial benefits are not related with the patenting activities of scientists without industrial cooperation. Instead, their expectation to gain/increase reputation through commercial activities is correlated with their patenting and disclosures activities. This may in turn also increase the possibility to gain academic promotion, financial benefits through industrial collaboration etc., rather than the immediate personal financial gains.","author":[{"dropping-particle":"","family":"Göktepe-Hulten","given":"Devrim","non-dropping-particle":"","parse-names":false,"suffix":""},{"dropping-particle":"","family":"Mahagaonkar","given":"Prashanth","non-dropping-particle":"","parse-names":false,"suffix":""}],"container-title":"Journal of Technology Transfer","id":"ITEM-5","issue":"4","issued":{"date-parts":[["2010"]]},"page":"401-423","title":"Inventing and patenting activities of scientists: In the expectation of money or reputation?","type":"article-journal","volume":"35"},"uris":["http://www.mendeley.com/documents/?uuid=fe2c7b72-236f-463a-b4f2-70577be24d55"]}],"mendeley":{"formattedCitation":"(Arqué-Castells et al., 2016; D’Este and Perkmann, 2011; Göktepe-Hulten and Mahagaonkar, 2010; Lam, 2011; Markman et al., 2004)","plainTextFormattedCitation":"(Arqué-Castells et al., 2016; D’Este and Perkmann, 2011; Göktepe-Hulten and Mahagaonkar, 2010; Lam, 2011; Markman et al., 2004)","previouslyFormattedCitation":"(Arqué-Castells et al., 2016; D’Este and Perkmann, 2011; Göktepe-Hulten and Mahagaonkar, 2010; Lam, 2011; Markman et al., 2004)"},"properties":{"noteIndex":0},"schema":"https://github.com/citation-style-language/schema/raw/master/csl-citation.json"}</w:instrText>
      </w:r>
      <w:r w:rsidR="00577636">
        <w:rPr>
          <w:rFonts w:ascii="Times New Roman" w:hAnsi="Times New Roman" w:cs="Times New Roman"/>
        </w:rPr>
        <w:fldChar w:fldCharType="separate"/>
      </w:r>
      <w:r w:rsidR="00577636" w:rsidRPr="00577636">
        <w:rPr>
          <w:rFonts w:ascii="Times New Roman" w:hAnsi="Times New Roman" w:cs="Times New Roman"/>
          <w:noProof/>
        </w:rPr>
        <w:t>(Arqué-Castells et al., 2016; D’Este and Perkmann, 2011; Göktepe-Hulten and Mahagaonkar, 2010; Lam, 2011; Markman et al., 2004)</w:t>
      </w:r>
      <w:r w:rsidR="00577636">
        <w:rPr>
          <w:rFonts w:ascii="Times New Roman" w:hAnsi="Times New Roman" w:cs="Times New Roman"/>
        </w:rPr>
        <w:fldChar w:fldCharType="end"/>
      </w:r>
      <w:r w:rsidR="001A3E4C" w:rsidRPr="00EF66BB">
        <w:rPr>
          <w:rFonts w:ascii="Times New Roman" w:hAnsi="Times New Roman" w:cs="Times New Roman"/>
        </w:rPr>
        <w:t>. In an early study</w:t>
      </w:r>
      <w:r w:rsidR="00A670C9" w:rsidRPr="00EF66BB">
        <w:rPr>
          <w:rFonts w:ascii="Times New Roman" w:hAnsi="Times New Roman" w:cs="Times New Roman"/>
        </w:rPr>
        <w:t>,</w:t>
      </w:r>
      <w:r w:rsidR="001A3E4C" w:rsidRPr="00EF66BB">
        <w:rPr>
          <w:rFonts w:ascii="Times New Roman" w:hAnsi="Times New Roman" w:cs="Times New Roman"/>
        </w:rPr>
        <w:t xml:space="preserve"> Markman et al (2004) examined the impact that pay policies have on the number of licences granted </w:t>
      </w:r>
      <w:r w:rsidRPr="00EF66BB">
        <w:rPr>
          <w:rFonts w:ascii="Times New Roman" w:hAnsi="Times New Roman" w:cs="Times New Roman"/>
        </w:rPr>
        <w:t xml:space="preserve">by </w:t>
      </w:r>
      <w:r w:rsidR="001A3E4C" w:rsidRPr="00EF66BB">
        <w:rPr>
          <w:rFonts w:ascii="Times New Roman" w:hAnsi="Times New Roman" w:cs="Times New Roman"/>
        </w:rPr>
        <w:t>universities, drawing on qualitative and quantitative evidence from 128 US institutions</w:t>
      </w:r>
      <w:r w:rsidR="00A670C9" w:rsidRPr="00EF66BB">
        <w:rPr>
          <w:rFonts w:ascii="Times New Roman" w:hAnsi="Times New Roman" w:cs="Times New Roman"/>
        </w:rPr>
        <w:t>.</w:t>
      </w:r>
      <w:r w:rsidR="001A3E4C" w:rsidRPr="00EF66BB">
        <w:rPr>
          <w:rFonts w:ascii="Times New Roman" w:hAnsi="Times New Roman" w:cs="Times New Roman"/>
        </w:rPr>
        <w:t xml:space="preserve"> </w:t>
      </w:r>
      <w:r w:rsidR="00A670C9" w:rsidRPr="00EF66BB">
        <w:rPr>
          <w:rFonts w:ascii="Times New Roman" w:hAnsi="Times New Roman" w:cs="Times New Roman"/>
        </w:rPr>
        <w:t>T</w:t>
      </w:r>
      <w:r w:rsidR="001A3E4C" w:rsidRPr="00EF66BB">
        <w:rPr>
          <w:rFonts w:ascii="Times New Roman" w:hAnsi="Times New Roman" w:cs="Times New Roman"/>
        </w:rPr>
        <w:t xml:space="preserve">heir </w:t>
      </w:r>
      <w:r w:rsidR="001A3E4C" w:rsidRPr="00EF66BB">
        <w:rPr>
          <w:rFonts w:ascii="Times New Roman" w:hAnsi="Times New Roman" w:cs="Times New Roman"/>
        </w:rPr>
        <w:lastRenderedPageBreak/>
        <w:t xml:space="preserve">regression models show that monetary incentives provided to inventors of licenced </w:t>
      </w:r>
      <w:r w:rsidRPr="00EF66BB">
        <w:rPr>
          <w:rFonts w:ascii="Times New Roman" w:hAnsi="Times New Roman" w:cs="Times New Roman"/>
        </w:rPr>
        <w:t>technologies have</w:t>
      </w:r>
      <w:r w:rsidR="001A3E4C" w:rsidRPr="00EF66BB">
        <w:rPr>
          <w:rFonts w:ascii="Times New Roman" w:hAnsi="Times New Roman" w:cs="Times New Roman"/>
        </w:rPr>
        <w:t xml:space="preserve"> </w:t>
      </w:r>
      <w:r w:rsidRPr="00EF66BB">
        <w:rPr>
          <w:rFonts w:ascii="Times New Roman" w:hAnsi="Times New Roman" w:cs="Times New Roman"/>
        </w:rPr>
        <w:t xml:space="preserve">a </w:t>
      </w:r>
      <w:r w:rsidR="001A3E4C" w:rsidRPr="00EF66BB">
        <w:rPr>
          <w:rFonts w:ascii="Times New Roman" w:hAnsi="Times New Roman" w:cs="Times New Roman"/>
        </w:rPr>
        <w:t>significant negative</w:t>
      </w:r>
      <w:r w:rsidR="003B1FDA" w:rsidRPr="00EF66BB">
        <w:rPr>
          <w:rFonts w:ascii="Times New Roman" w:hAnsi="Times New Roman" w:cs="Times New Roman"/>
        </w:rPr>
        <w:t xml:space="preserve"> relationship</w:t>
      </w:r>
      <w:r w:rsidR="001A3E4C" w:rsidRPr="00EF66BB">
        <w:rPr>
          <w:rFonts w:ascii="Times New Roman" w:hAnsi="Times New Roman" w:cs="Times New Roman"/>
        </w:rPr>
        <w:t xml:space="preserve">.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{"citationItems":[{"id":"ITEM-1","itemData":{"DOI":"10.1023/B:JOTT.0000034127.01889.86","ISBN":"0892-9912","ISSN":"0892-9912","PMID":"2873","abstract":"There has been a paucity of research to date that has explored whether incentive systems—in the form of monetary payments to inventors, their department or institution, or to university technology transfer office (UTTO) personnel—affect entrepreneurial activities at U.S. universities. To shed light on whether financial incentives to scientists, their departments, and UTTO personnel effect entrepreneurial activity, we used both qualitative data (structured interviews with 128 UTTO directors) and quantitative data from surveys and databases available on the web. Our results show surprisingly and opposite to our theoretical predictions that incentives to scientists and to their departments are negatively related to entrepreneurial activity. In addition and consistent with theory-based predictions, pay to UTTO personnel is positively related to entrepreneurial activity. We conclude with a discussion that offers some implications to research, practice, and theory in the field of technology transfer.","author":[{"dropping-particle":"","family":"Markman","given":"Gideon D.","non-dropping-particle":"","parse-names":false,"suffix":""},{"dropping-particle":"","family":"Gianiodis","given":"Peter T.","non-dropping-particle":"","parse-names":false,"suffix":""},{"dropping-particle":"","family":"Phan","given":"Phillip H.","non-dropping-particle":"","parse-names":false,"suffix":""},{"dropping-particle":"","family":"Balkin","given":"David B.","non-dropping-particle":"","parse-names":false,"suffix":""}],"container-title":"The Journal of Technology Transfer","id":"ITEM-1","issue":"3/4","issued":{"date-parts":[["2004"]]},"page":"353-364","title":"Entrepreneurship from the Ivory Tower: Do Incentive Systems Matter?","type":"article-journal","volume":"29"},"uris":["http://www.mendeley.com/documents/?uuid=c689f362-be7c-4b60-98da-458f4226733a"]}],"mendeley":{"formattedCitation":"(Markman et al., 2004)","manualFormatting":"Markman et al (2004)","plainTextFormattedCitation":"(Markman et al., 2004)","previouslyFormattedCitation":"(Markman et al., 2004)"},"properties":{"noteIndex":0},"schema":"https://github.com/citation-style-language/schema/raw/master/csl-citation.json"}</w:instrText>
      </w:r>
      <w:r w:rsidR="00577636">
        <w:rPr>
          <w:rFonts w:ascii="Times New Roman" w:hAnsi="Times New Roman" w:cs="Times New Roman"/>
        </w:rPr>
        <w:fldChar w:fldCharType="separate"/>
      </w:r>
      <w:r w:rsidR="00577636">
        <w:rPr>
          <w:rFonts w:ascii="Times New Roman" w:hAnsi="Times New Roman" w:cs="Times New Roman"/>
          <w:noProof/>
        </w:rPr>
        <w:t>Markman et al</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2004)</w:t>
      </w:r>
      <w:r w:rsidR="00577636">
        <w:rPr>
          <w:rFonts w:ascii="Times New Roman" w:hAnsi="Times New Roman" w:cs="Times New Roman"/>
        </w:rPr>
        <w:fldChar w:fldCharType="end"/>
      </w:r>
      <w:r w:rsidRPr="00EF66BB">
        <w:rPr>
          <w:rFonts w:ascii="Times New Roman" w:hAnsi="Times New Roman" w:cs="Times New Roman"/>
        </w:rPr>
        <w:t xml:space="preserve"> </w:t>
      </w:r>
      <w:r w:rsidR="001A3E4C" w:rsidRPr="00EF66BB">
        <w:rPr>
          <w:rFonts w:ascii="Times New Roman" w:hAnsi="Times New Roman" w:cs="Times New Roman"/>
        </w:rPr>
        <w:t xml:space="preserve">suggest that this negative association indicates a potential misalignment between technology transfer objectives and incentive structures. This potential misalignment is also highlighted by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{"citationItems":[{"id":"ITEM-1","itemData":{"DOI":"10.1016/j.respol.2011.09.002","ISBN":"00487333","ISSN":"00487333","PMID":"26053391","abstract":"This paper employs the three concepts of 'gold' (financial rewards), 'ribbon' (reputational/career rewards) and 'puzzle' (intrinsic satisfaction) to examine the extrinsic and intrinsic aspects of scientists' motivation for pursuing commercial activities. The study is based on 36 individual interviews and an on-line questionnaire survey of 735 scientists from five major UK research universities. It finds that there is a diversity of motivations for commercial engagement, and that many do so for reputational and intrinsic reasons and that financial rewards play a relatively small part. The paper draws on self-determination theory in social psychology to analyse the relationship between scientists' value orientations with regard to commercial engagement and their personal motivations. It finds that those with traditional beliefs about the separation of science from commerce are more likely to be extrinsically motivated, using commercialization as a means to obtain resources to support their quest for the 'ribbon'. In contrast, those identify closely with entrepreneurial norms are intrinsically motivated by the autonomy and 'puzzle-solving' involved in applied commercial research while also motivated by the 'gold'. The study highlights the primacy of scientists' self-motivation, and suggests that a fuller explanation of their commercial behaviour will need to consider a broader mix of motives to include the social and affective aspects of intrinsic motivation. In conclusion, the paper argues that policy to encourage commercial engagement should build on reputational and intrinsic rather than purely financial motivations. © 2011 Elsevier B.V. All rights reserved.","author":[{"dropping-particle":"","family":"Lam","given":"Alice","non-dropping-particle":"","parse-names":false,"suffix":""}],"container-title":"Research Policy","id":"ITEM-1","issue":"10","issued":{"date-parts":[["2011"]]},"page":"1354-1368","title":"What motivates academic scientists to engage in research commercialization: 'Gold', 'ribbon' or 'puzzle'?","type":"article-journal","volume":"40"},"uris":["http://www.mendeley.com/documents/?uuid=7ffd5fa0-3822-435f-8e79-8bf2dc7f9b34"]}],"mendeley":{"formattedCitation":"(Lam, 2011)","manualFormatting":"Lam (2011)","plainTextFormattedCitation":"(Lam, 2011)","previouslyFormattedCitation":"(Lam, 2011)"},"properties":{"noteIndex":0},"schema":"https://github.com/citation-style-language/schema/raw/master/csl-citation.json"}</w:instrText>
      </w:r>
      <w:r w:rsidR="00577636">
        <w:rPr>
          <w:rFonts w:ascii="Times New Roman" w:hAnsi="Times New Roman" w:cs="Times New Roman"/>
        </w:rPr>
        <w:fldChar w:fldCharType="separate"/>
      </w:r>
      <w:r w:rsidR="00577636">
        <w:rPr>
          <w:rFonts w:ascii="Times New Roman" w:hAnsi="Times New Roman" w:cs="Times New Roman"/>
          <w:noProof/>
        </w:rPr>
        <w:t>Lam</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2011)</w:t>
      </w:r>
      <w:r w:rsidR="00577636">
        <w:rPr>
          <w:rFonts w:ascii="Times New Roman" w:hAnsi="Times New Roman" w:cs="Times New Roman"/>
        </w:rPr>
        <w:fldChar w:fldCharType="end"/>
      </w:r>
      <w:r w:rsidR="001A3E4C" w:rsidRPr="00EF66BB">
        <w:rPr>
          <w:rFonts w:ascii="Times New Roman" w:hAnsi="Times New Roman" w:cs="Times New Roman"/>
        </w:rPr>
        <w:t xml:space="preserve"> who explores the motivations of UK scientists to engage in commercialisation activities. Based on a survey of 735 UK scientists, Lam (2011) shows that those academics most likely to be involved in commercial activity are motivated more by an intrinsic desire to provide solutions to real world challenges rather than potential monetary gain. Thus, she concludes that universities seeking to encourage commercialisation should build incentives based on reputational and intrinsic motivations rather than financial motivations. Other studies that adopt the individual academic as the unit of analysis have also demonstrated the relative insignificance of monetary incentives in stimulating commercialisation efforts when compared to reputational motivations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{"citationItems":[{"id":"ITEM-1","itemData":{"DOI":"10.1007/s10961-009-9126-2","ISBN":"1096100991262","ISSN":"08929912","abstract":"We propose that scientists use patents/invention disclosures as signals to gain reputation than financial benefits. Based on a newly created dataset on the commercial activities among 2,500 scientists affiliated with 67 institutes of the German Max Planck Society, we explore the relation between the expectations of scientists concerning the outcomes of commercial activities and the likelihood of their patenting and disclosure behaviors. We find that expectation of gaining financial benefits are not related with the patenting activities of scientists without industrial cooperation. Instead, their expectation to gain/increase reputation through commercial activities is correlated with their patenting and disclosures activities. This may in turn also increase the possibility to gain academic promotion, financial benefits through industrial collaboration etc., rather than the immediate personal financial gains.","author":[{"dropping-particle":"","family":"Göktepe-Hulten","given":"Devrim","non-dropping-particle":"","parse-names":false,"suffix":""},{"dropping-particle":"","family":"Mahagaonkar","given":"Prashanth","non-dropping-particle":"","parse-names":false,"suffix":""}],"container-title":"Journal of Technology Transfer","id":"ITEM-1","issue":"4","issued":{"date-parts":[["2010"]]},"page":"401-423","title":"Inventing and patenting activities of scientists: In the expectation of money or reputation?","type":"article-journal","volume":"35"},"uris":["http://www.mendeley.com/documents/?uuid=fe2c7b72-236f-463a-b4f2-70577be24d55"]},{"id":"ITEM-2","itemData":{"DOI":"10.1007/s10961-010-9153-z","ISBN":"0892-9912","ISSN":"08929912","abstract":"The debate on the entrepreneurial university has raised questions about what motivates academic scientists to engage with industry. This paper provides evidence based on survey data for a large sample of UK investigators in the physical and engineering sciences. The results suggest that most academics engage with industry to further their research rather than to commercialize their knowledge. However, there are differences in terms of the channels of engagement. Patenting and spin-off company formation are motivated exclusively by commercialization whilst joint research, contract research and consulting are strongly informed by research-related motives. We conclude that policy should refrain from overly focusing on monetary incentives for industry engagement and consider a broader range of incentives for promoting interaction between academia and industry.","author":[{"dropping-particle":"","family":"D'Este","given":"Pablo","non-dropping-particle":"","parse-names":false,"suffix":""},{"dropping-particle":"","family":"Perkmann","given":"Markus","non-dropping-particle":"","parse-names":false,"suffix":""}],"container-title":"Journal of Technology Transfer","id":"ITEM-2","issue":"3","issued":{"date-parts":[["2011"]]},"page":"316-339","title":"Why do academics engage with industry? The entrepreneurial university and individual motivations","type":"article-journal","volume":"36"},"uris":["http://www.mendeley.com/documents/?uuid=47fcbd90-c6f5-4186-bfa4-f494688fac06"]}],"mendeley":{"formattedCitation":"(D’Este and Perkmann, 2011; Göktepe-Hulten and Mahagaonkar, 2010)","plainTextFormattedCitation":"(D’Este and Perkmann, 2011; Göktepe-Hulten and Mahagaonkar, 2010)","previouslyFormattedCitation":"(D’Este and Perkmann, 2011; Göktepe-Hulten and Mahagaonkar, 2010)"},"properties":{"noteIndex":0},"schema":"https://github.com/citation-style-language/schema/raw/master/csl-citation.json"}</w:instrText>
      </w:r>
      <w:r w:rsidR="00577636">
        <w:rPr>
          <w:rFonts w:ascii="Times New Roman" w:hAnsi="Times New Roman" w:cs="Times New Roman"/>
        </w:rPr>
        <w:fldChar w:fldCharType="separate"/>
      </w:r>
      <w:r w:rsidR="00577636" w:rsidRPr="00577636">
        <w:rPr>
          <w:rFonts w:ascii="Times New Roman" w:hAnsi="Times New Roman" w:cs="Times New Roman"/>
          <w:noProof/>
        </w:rPr>
        <w:t>(D’Este and Perkmann, 2011; Göktepe-Hulten and Mahagaonkar, 2010)</w:t>
      </w:r>
      <w:r w:rsidR="00577636">
        <w:rPr>
          <w:rFonts w:ascii="Times New Roman" w:hAnsi="Times New Roman" w:cs="Times New Roman"/>
        </w:rPr>
        <w:fldChar w:fldCharType="end"/>
      </w:r>
      <w:r w:rsidR="001A3E4C" w:rsidRPr="00EF66BB">
        <w:rPr>
          <w:rFonts w:ascii="Times New Roman" w:hAnsi="Times New Roman" w:cs="Times New Roman"/>
        </w:rPr>
        <w:t xml:space="preserve">. </w:t>
      </w:r>
    </w:p>
    <w:p w14:paraId="4499A3D9" w14:textId="77777777" w:rsidR="001A3E4C" w:rsidRPr="00EF66BB" w:rsidRDefault="001A3E4C" w:rsidP="00141231">
      <w:pPr>
        <w:spacing w:line="360" w:lineRule="auto"/>
        <w:rPr>
          <w:rFonts w:ascii="Times New Roman" w:hAnsi="Times New Roman" w:cs="Times New Roman"/>
        </w:rPr>
      </w:pPr>
    </w:p>
    <w:p w14:paraId="552FA182" w14:textId="5C23E4A8" w:rsidR="001A3E4C" w:rsidRPr="00EF66BB" w:rsidRDefault="00E813E9" w:rsidP="00141231">
      <w:pPr>
        <w:spacing w:line="360" w:lineRule="auto"/>
        <w:rPr>
          <w:rFonts w:ascii="Times New Roman" w:hAnsi="Times New Roman" w:cs="Times New Roman"/>
        </w:rPr>
      </w:pPr>
      <w:r w:rsidRPr="00EF66BB">
        <w:rPr>
          <w:rFonts w:ascii="Times New Roman" w:hAnsi="Times New Roman" w:cs="Times New Roman"/>
        </w:rPr>
        <w:t xml:space="preserve">From the literature </w:t>
      </w:r>
      <w:r w:rsidR="0055220B">
        <w:rPr>
          <w:rFonts w:ascii="Times New Roman" w:hAnsi="Times New Roman" w:cs="Times New Roman"/>
        </w:rPr>
        <w:t>discussed</w:t>
      </w:r>
      <w:r w:rsidR="0055220B" w:rsidRPr="00EF66BB">
        <w:rPr>
          <w:rFonts w:ascii="Times New Roman" w:hAnsi="Times New Roman" w:cs="Times New Roman"/>
        </w:rPr>
        <w:t xml:space="preserve"> </w:t>
      </w:r>
      <w:r w:rsidRPr="00EF66BB">
        <w:rPr>
          <w:rFonts w:ascii="Times New Roman" w:hAnsi="Times New Roman" w:cs="Times New Roman"/>
        </w:rPr>
        <w:t>above, it is clear that s</w:t>
      </w:r>
      <w:r w:rsidR="001A3E4C" w:rsidRPr="00EF66BB">
        <w:rPr>
          <w:rFonts w:ascii="Times New Roman" w:hAnsi="Times New Roman" w:cs="Times New Roman"/>
        </w:rPr>
        <w:t>tudies adopt</w:t>
      </w:r>
      <w:r w:rsidR="00B27393">
        <w:rPr>
          <w:rFonts w:ascii="Times New Roman" w:hAnsi="Times New Roman" w:cs="Times New Roman"/>
        </w:rPr>
        <w:t>ing</w:t>
      </w:r>
      <w:r w:rsidR="001A3E4C" w:rsidRPr="00EF66BB">
        <w:rPr>
          <w:rFonts w:ascii="Times New Roman" w:hAnsi="Times New Roman" w:cs="Times New Roman"/>
        </w:rPr>
        <w:t xml:space="preserve"> </w:t>
      </w:r>
      <w:r w:rsidR="001A3E4C" w:rsidRPr="00EF66BB">
        <w:rPr>
          <w:rFonts w:ascii="Times New Roman" w:hAnsi="Times New Roman" w:cs="Times New Roman"/>
          <w:i/>
        </w:rPr>
        <w:t>the university</w:t>
      </w:r>
      <w:r w:rsidR="001A3E4C" w:rsidRPr="00EF66BB">
        <w:rPr>
          <w:rFonts w:ascii="Times New Roman" w:hAnsi="Times New Roman" w:cs="Times New Roman"/>
        </w:rPr>
        <w:t xml:space="preserve"> as the unit of analysis are consistent in demonstrating a relationship between pecuniary incentives and licencing activity and those </w:t>
      </w:r>
      <w:r w:rsidR="00014374" w:rsidRPr="00EF66BB">
        <w:rPr>
          <w:rFonts w:ascii="Times New Roman" w:hAnsi="Times New Roman" w:cs="Times New Roman"/>
        </w:rPr>
        <w:t>adopting individuals</w:t>
      </w:r>
      <w:r w:rsidR="001A3E4C" w:rsidRPr="00EF66BB">
        <w:rPr>
          <w:rFonts w:ascii="Times New Roman" w:hAnsi="Times New Roman" w:cs="Times New Roman"/>
        </w:rPr>
        <w:t xml:space="preserve"> as the unit of analysis are consistent in demonstrating the insignificance of pecuniary incentives as drivers of commercialisation activity. However,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Spain","type":"article-journal","volume":"45"},"uris":["http://www.mendeley.com/documents/?uuid=9dc55724-30e7-4819-98fd-32f02e1caf8d"]}],"mendeley":{"formattedCitation":"(Arqué-Castells et al., 2016)","manualFormatting":"Arqué-Castells et al (2016)","plainTextFormattedCitation":"(Arqué-Castells et al., 2016)","previouslyFormattedCitation":"(Arqué-Castells et al., 2016)"},"properties":{"noteIndex":0},"schema":"https://github.com/citation-style-language/schema/raw/master/csl-citation.json"}</w:instrText>
      </w:r>
      <w:r w:rsidR="00577636">
        <w:rPr>
          <w:rFonts w:ascii="Times New Roman" w:hAnsi="Times New Roman" w:cs="Times New Roman"/>
        </w:rPr>
        <w:fldChar w:fldCharType="separate"/>
      </w:r>
      <w:r w:rsidR="00577636">
        <w:rPr>
          <w:rFonts w:ascii="Times New Roman" w:hAnsi="Times New Roman" w:cs="Times New Roman"/>
          <w:noProof/>
        </w:rPr>
        <w:t>Arqué-Castells et al</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2016)</w:t>
      </w:r>
      <w:r w:rsidR="00577636">
        <w:rPr>
          <w:rFonts w:ascii="Times New Roman" w:hAnsi="Times New Roman" w:cs="Times New Roman"/>
        </w:rPr>
        <w:fldChar w:fldCharType="end"/>
      </w:r>
      <w:r w:rsidR="00577636">
        <w:rPr>
          <w:rFonts w:ascii="Times New Roman" w:hAnsi="Times New Roman" w:cs="Times New Roman"/>
        </w:rPr>
        <w:t xml:space="preserve"> </w:t>
      </w:r>
      <w:r w:rsidR="001A3E4C" w:rsidRPr="00EF66BB">
        <w:rPr>
          <w:rFonts w:ascii="Times New Roman" w:hAnsi="Times New Roman" w:cs="Times New Roman"/>
        </w:rPr>
        <w:t>have recently questioned the link between pecuniary incentives and licensing revenue at the university level. Drawing on data from 15 Portuguese and 39 Spanish universities, they show that the provision of higher royalty shares to staff fail to translate into higher licensing revenues for universit</w:t>
      </w:r>
      <w:r w:rsidR="000A1691">
        <w:rPr>
          <w:rFonts w:ascii="Times New Roman" w:hAnsi="Times New Roman" w:cs="Times New Roman"/>
        </w:rPr>
        <w:t>ies</w:t>
      </w:r>
      <w:r w:rsidR="001A3E4C" w:rsidRPr="00EF66BB">
        <w:rPr>
          <w:rFonts w:ascii="Times New Roman" w:hAnsi="Times New Roman" w:cs="Times New Roman"/>
        </w:rPr>
        <w:t xml:space="preserve">. They </w:t>
      </w:r>
      <w:r w:rsidR="00D12023" w:rsidRPr="00EF66BB">
        <w:rPr>
          <w:rFonts w:ascii="Times New Roman" w:hAnsi="Times New Roman" w:cs="Times New Roman"/>
        </w:rPr>
        <w:t>echo Markman</w:t>
      </w:r>
      <w:r w:rsidR="001A3E4C" w:rsidRPr="00EF66BB">
        <w:rPr>
          <w:rFonts w:ascii="Times New Roman" w:hAnsi="Times New Roman" w:cs="Times New Roman"/>
        </w:rPr>
        <w:t xml:space="preserve"> et al (2004) by suggesting the lack of </w:t>
      </w:r>
      <w:r w:rsidR="00D12023" w:rsidRPr="00EF66BB">
        <w:rPr>
          <w:rFonts w:ascii="Times New Roman" w:hAnsi="Times New Roman" w:cs="Times New Roman"/>
        </w:rPr>
        <w:t xml:space="preserve">a </w:t>
      </w:r>
      <w:r w:rsidR="001A3E4C" w:rsidRPr="00EF66BB">
        <w:rPr>
          <w:rFonts w:ascii="Times New Roman" w:hAnsi="Times New Roman" w:cs="Times New Roman"/>
        </w:rPr>
        <w:t xml:space="preserve">relationship between incentives and outcomes is a consequence of the misalignment between TTO objectives and university incentive structures. In concluding their analysis, </w:t>
      </w:r>
      <w:proofErr w:type="spellStart"/>
      <w:r w:rsidR="001A3E4C" w:rsidRPr="00EF66BB">
        <w:rPr>
          <w:rFonts w:ascii="Times New Roman" w:hAnsi="Times New Roman" w:cs="Times New Roman"/>
        </w:rPr>
        <w:t>Arque</w:t>
      </w:r>
      <w:proofErr w:type="spellEnd"/>
      <w:r w:rsidR="001A3E4C" w:rsidRPr="00EF66BB">
        <w:rPr>
          <w:rFonts w:ascii="Times New Roman" w:hAnsi="Times New Roman" w:cs="Times New Roman"/>
        </w:rPr>
        <w:t xml:space="preserve">-Castells et al (2016) draw attention to the important mediation role that TTOs play in the technology transfer process. </w:t>
      </w:r>
    </w:p>
    <w:p w14:paraId="1F53E4BA" w14:textId="77777777" w:rsidR="001A3E4C" w:rsidRPr="00EF66BB" w:rsidRDefault="001A3E4C" w:rsidP="00141231">
      <w:pPr>
        <w:spacing w:line="360" w:lineRule="auto"/>
        <w:rPr>
          <w:rFonts w:ascii="Times New Roman" w:hAnsi="Times New Roman" w:cs="Times New Roman"/>
        </w:rPr>
      </w:pPr>
    </w:p>
    <w:p w14:paraId="22E70800" w14:textId="5D16BADB" w:rsidR="001A3E4C" w:rsidRPr="00EF66BB" w:rsidRDefault="001A3E4C" w:rsidP="00141231">
      <w:pPr>
        <w:spacing w:line="360" w:lineRule="auto"/>
        <w:rPr>
          <w:rFonts w:ascii="Times New Roman" w:hAnsi="Times New Roman" w:cs="Times New Roman"/>
        </w:rPr>
      </w:pPr>
      <w:r w:rsidRPr="00EF66BB">
        <w:rPr>
          <w:rFonts w:ascii="Times New Roman" w:hAnsi="Times New Roman" w:cs="Times New Roman"/>
        </w:rPr>
        <w:t xml:space="preserve">This highlights the second form of internal arrangement that university </w:t>
      </w:r>
      <w:r w:rsidR="0055220B">
        <w:rPr>
          <w:rFonts w:ascii="Times New Roman" w:hAnsi="Times New Roman" w:cs="Times New Roman"/>
        </w:rPr>
        <w:t>managers</w:t>
      </w:r>
      <w:r w:rsidR="0055220B" w:rsidRPr="00EF66BB">
        <w:rPr>
          <w:rFonts w:ascii="Times New Roman" w:hAnsi="Times New Roman" w:cs="Times New Roman"/>
        </w:rPr>
        <w:t xml:space="preserve"> </w:t>
      </w:r>
      <w:r w:rsidRPr="00EF66BB">
        <w:rPr>
          <w:rFonts w:ascii="Times New Roman" w:hAnsi="Times New Roman" w:cs="Times New Roman"/>
        </w:rPr>
        <w:t xml:space="preserve">can </w:t>
      </w:r>
      <w:r w:rsidR="000A1691">
        <w:rPr>
          <w:rFonts w:ascii="Times New Roman" w:hAnsi="Times New Roman" w:cs="Times New Roman"/>
        </w:rPr>
        <w:t>influence</w:t>
      </w:r>
      <w:r w:rsidRPr="00EF66BB">
        <w:rPr>
          <w:rFonts w:ascii="Times New Roman" w:hAnsi="Times New Roman" w:cs="Times New Roman"/>
        </w:rPr>
        <w:t xml:space="preserve">, the establishment of specific organisational structures to support technology transfer, namely TTOs. The impact of </w:t>
      </w:r>
      <w:r w:rsidR="003B1FDA" w:rsidRPr="00EF66BB">
        <w:rPr>
          <w:rFonts w:ascii="Times New Roman" w:hAnsi="Times New Roman" w:cs="Times New Roman"/>
        </w:rPr>
        <w:t xml:space="preserve">different </w:t>
      </w:r>
      <w:r w:rsidRPr="00EF66BB">
        <w:rPr>
          <w:rFonts w:ascii="Times New Roman" w:hAnsi="Times New Roman" w:cs="Times New Roman"/>
        </w:rPr>
        <w:t xml:space="preserve">TTO </w:t>
      </w:r>
      <w:r w:rsidR="003B1FDA" w:rsidRPr="00EF66BB">
        <w:rPr>
          <w:rFonts w:ascii="Times New Roman" w:hAnsi="Times New Roman" w:cs="Times New Roman"/>
        </w:rPr>
        <w:t xml:space="preserve">arrangements </w:t>
      </w:r>
      <w:r w:rsidRPr="00EF66BB">
        <w:rPr>
          <w:rFonts w:ascii="Times New Roman" w:hAnsi="Times New Roman" w:cs="Times New Roman"/>
        </w:rPr>
        <w:t xml:space="preserve">on technology transfer productivity have been </w:t>
      </w:r>
      <w:r w:rsidR="001A25F9">
        <w:rPr>
          <w:rFonts w:ascii="Times New Roman" w:hAnsi="Times New Roman" w:cs="Times New Roman"/>
        </w:rPr>
        <w:t xml:space="preserve">the </w:t>
      </w:r>
      <w:r w:rsidRPr="00EF66BB">
        <w:rPr>
          <w:rFonts w:ascii="Times New Roman" w:hAnsi="Times New Roman" w:cs="Times New Roman"/>
        </w:rPr>
        <w:t xml:space="preserve">subject </w:t>
      </w:r>
      <w:r w:rsidR="00D8475F">
        <w:rPr>
          <w:rFonts w:ascii="Times New Roman" w:hAnsi="Times New Roman" w:cs="Times New Roman"/>
        </w:rPr>
        <w:t>of</w:t>
      </w:r>
      <w:r w:rsidRPr="00EF66BB">
        <w:rPr>
          <w:rFonts w:ascii="Times New Roman" w:hAnsi="Times New Roman" w:cs="Times New Roman"/>
        </w:rPr>
        <w:t xml:space="preserve"> extensive empirical analys</w:t>
      </w:r>
      <w:r w:rsidR="001A25F9">
        <w:rPr>
          <w:rFonts w:ascii="Times New Roman" w:hAnsi="Times New Roman" w:cs="Times New Roman"/>
        </w:rPr>
        <w:t>e</w:t>
      </w:r>
      <w:r w:rsidRPr="00EF66BB">
        <w:rPr>
          <w:rFonts w:ascii="Times New Roman" w:hAnsi="Times New Roman" w:cs="Times New Roman"/>
        </w:rPr>
        <w:t xml:space="preserve">s </w:t>
      </w:r>
      <w:r w:rsidR="00577636">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{"citationItems":[{"id":"ITEM-1","itemData":{"DOI":"10.1111/j.1467-6486.2008.00804.x","ISBN":"1467-6486","ISSN":"00222380","abstract":"We examine the tensions that make it difficult for a research-oriented university to achieve commercial outcomes. Building on the organizational ambidexterity literature, we specify the nature of the tensions (between academic and commercially-oriented activities) at both organizational and individual levels of analysis, and how these can be resolved. We develop hypotheses linking specific aspects of the organization and the individual researcher to the likelihood of their research projects generating commercial outcomes, and we test them using a novel dataset of 207 Research Council-funded projects, combining objective data on project outcomes with the perceptions of principal investigators. We show that the tension between academic and commercial demands is more salient at the level of the individual researcher than at the level of the organization. Universities show evidence that they are able to manage the tensions between academic and commercial demands, through for example their creation of dual structures. At the individual level, on the other hand, the tensions are more acute, so that the people who deliver commercial outcomes tend to be rather different to those who are accustomed to producing academic outcomes","author":[{"dropping-particle":"","family":"Ambos","given":"T","non-dropping-particle":"","parse-names":false,"suffix":""},{"dropping-particle":"","family":"Mäkelä","given":"K","non-dropping-particle":"","parse-names":false,"suffix":""},{"dropping-particle":"","family":"Birkinshaw","given":"J","non-dropping-particle":"","parse-names":false,"suffix":""},{"dropping-particle":"","family":"D'Este","given":"P","non-dropping-particle":"","parse-names":false,"suffix":""}],"container-title":"Journal of Management Studies","id":"ITEM-1","issue":"December","issued":{"date-parts":[["2008"]]},"page":"1424-1447","title":"When Does University Research Get Commercialized? Creating Ambidexterity in Research Institutions","type":"article-journal","volume":"45"},"uris":["http://www.mendeley.com/documents/?uuid=2ff1c384-f348-444d-ac90-c33544cf7338"]},{"id":"ITEM-2","itemData":{"DOI":"10.1111/1467-8551.12224","ISSN":"14678551","abstract":"This paper addresses the gap in the knowledge transfer literature around how universi-ties choose specific organizational models for their knowledge transfer offices (KTOs). Organization theory points towards strong interlinkages between strategy, structure and processes in organizations. This motivates an exploration of similar links within the or-ganizational setup of KTOs. In doing so, the paper provides a unified theoretical frame-work around a university's choice of structure, business model and strategic preferences for their KTOs linked to university-specific contextual factors. A qualitative approach is used wherein four very distinct British universities are examined as individual case studies. The authors find that strategic aims of the university around practitioner engagement, the quantity of applied research and research specialization are key factors in determining the organizational characteristics of the KTO. The theoretical framework derived from the cases makes two key contributions to the university knowledge transfer literature. First, it links the university-level contextual factors to the local model of knowledge transfer. Second, it allows us to develop a set of generic models of knowledge transfer, which can potentially guide universities to develop their own specific models.","author":[{"dropping-particle":"","family":"Sengupta","given":"Abhijit","non-dropping-particle":"","parse-names":false,"suffix":""},{"dropping-particle":"","family":"Ray","given":"Amit S.","non-dropping-particle":"","parse-names":false,"suffix":""}],"container-title":"British Journal of Management","id":"ITEM-2","issue":"4","issued":{"date-parts":[["2017"]]},"page":"687-710","title":"Choice of Structure, Business Model and Portfolio: Organizational Models of Knowledge Transfer Offices in British Universities","type":"article-journal","volume":"28"},"uris":["http://www.mendeley.com/documents/?uuid=69f0919c-c25e-4005-8e21-cc66488aca4a"]},{"id":"ITEM-3","itemData":{"DOI":"10.1016/j.respol.2005.01.007","ISBN":"0048-7333","ISSN":"00487333","PMID":"2878","abstract":"We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Policy","id":"ITEM-3","issue":"3","issued":{"date-parts":[["2005"]]},"page":"369-384","title":"Assessing the relative performance of U.K. university technology transfer offices: Parametric and non-parametric evidence","type":"article-journal","volume":"34"},"uris":["http://www.mendeley.com/documents/?uuid=79f66bd1-a68a-42e0-a3e7-f5910e5a9097"]},{"id":"ITEM-4","itemData":{"author":[{"dropping-particle":"","family":"Siegel","given":"Donald","non-dropping-particle":"","parse-names":false,"suffix":""},{"dropping-particle":"","family":"Wright","given":"Mike","non-dropping-particle":"","parse-names":false,"suffix":""}],"container-title":"The Chicago Handbook of University Technology Transfer and Academic Entrepreneurship","id":"ITEM-4","issued":{"date-parts":[["2015"]]},"page":"1-40","title":"University Technology Transfer Offices, Licensing and Start-Ups","type":"article-journal"},"uris":["http://www.mendeley.com/documents/?uuid=fe76100e-4794-40f5-abd9-8ecf8418b924"]},{"id":"ITEM-5","itemData":{"DOI":"10.1016/j.respol.2011.02.001","ISBN":"0048-7333","ISSN":"00487333","PMID":"2891","abstract":"The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Policy","id":"ITEM-5","issue":"4","issued":{"date-parts":[["2011"]]},"page":"553-564","publisher":"Elsevier B.V.","title":"Entrepreneurial effectiveness of European universities: An empirical assessment of antecedents and trade-offs","type":"article-journal","volume":"40"},"uris":["http://www.mendeley.com/documents/?uuid=efca2164-cee4-4742-ab17-7b8416ace40b"]}],"mendeley":{"formattedCitation":"(Ambos et al., 2008; Chapple et al., 2005; Sengupta and Ray, 2017b; Siegel and Wright, 2015b; Van Looy et al., 2011)","plainTextFormattedCitation":"(Ambos et al., 2008; Chapple et al., 2005; Sengupta and Ray, 2017b; Siegel and Wright, 2015b; Van Looy et al., 2011)","previouslyFormattedCitation":"(Ambos et al., 2008; Chapple et al., 2005; Sengupta and Ray, 2017b; Siegel and Wright, 2015b; Van Looy et al., 2011)"},"properties":{"noteIndex":0},"schema":"https://github.com/citation-style-language/schema/raw/master/csl-citation.json"}</w:instrText>
      </w:r>
      <w:r w:rsidR="00577636">
        <w:rPr>
          <w:rFonts w:ascii="Times New Roman" w:hAnsi="Times New Roman" w:cs="Times New Roman"/>
        </w:rPr>
        <w:fldChar w:fldCharType="separate"/>
      </w:r>
      <w:r w:rsidR="005C76D1" w:rsidRPr="005C76D1">
        <w:rPr>
          <w:rFonts w:ascii="Times New Roman" w:hAnsi="Times New Roman" w:cs="Times New Roman"/>
          <w:noProof/>
        </w:rPr>
        <w:t>(Ambos et al., 2008; Chapple et al., 2005; Sengupta and Ray, 2017b; Siegel and Wright, 2015b; Van Looy et al., 2011)</w:t>
      </w:r>
      <w:r w:rsidR="00577636">
        <w:rPr>
          <w:rFonts w:ascii="Times New Roman" w:hAnsi="Times New Roman" w:cs="Times New Roman"/>
        </w:rPr>
        <w:fldChar w:fldCharType="end"/>
      </w:r>
      <w:r w:rsidRPr="00EF66BB">
        <w:rPr>
          <w:rFonts w:ascii="Times New Roman" w:hAnsi="Times New Roman" w:cs="Times New Roman"/>
        </w:rPr>
        <w:t>. Specifically, several papers explor</w:t>
      </w:r>
      <w:r w:rsidR="000A1691">
        <w:rPr>
          <w:rFonts w:ascii="Times New Roman" w:hAnsi="Times New Roman" w:cs="Times New Roman"/>
        </w:rPr>
        <w:t>e</w:t>
      </w:r>
      <w:r w:rsidRPr="00EF66BB">
        <w:rPr>
          <w:rFonts w:ascii="Times New Roman" w:hAnsi="Times New Roman" w:cs="Times New Roman"/>
        </w:rPr>
        <w:t xml:space="preserve"> linkages between the scale of technology transfer </w:t>
      </w:r>
      <w:r w:rsidRPr="00EF66BB">
        <w:rPr>
          <w:rFonts w:ascii="Times New Roman" w:hAnsi="Times New Roman" w:cs="Times New Roman"/>
        </w:rPr>
        <w:lastRenderedPageBreak/>
        <w:t xml:space="preserve">support and relative technology transfer performance </w:t>
      </w:r>
      <w:r w:rsidR="00577636">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{"citationItems":[{"id":"ITEM-1","itemData":{"DOI":"10.1016/j.respol.2005.01.005","ISBN":"0048-7333","ISSN":"00487333","PMID":"599","abstract":"This article discusses salient trends in university-based technology initiatives in the United States and Europe, and it summarizes the papers contained in this special issue.","author":[{"dropping-particle":"","family":"Link","given":"Albert N.","non-dropping-particle":"","parse-names":false,"suffix":""},{"dropping-particle":"","family":"Siegel","given":"Donald","non-dropping-particle":"","parse-names":false,"suffix":""}],"container-title":"Research Policy","id":"ITEM-1","issue":"3","issued":{"date-parts":[["2005"]]},"page":"253-257","title":"University-based technology initiatives: Quantitative and qualitative evidence","type":"article-journal","volume":"34"},"uris":["http://www.mendeley.com/documents/?uuid=898545c9-834c-423a-aa3f-4da3b3627a38"]},{"id":"ITEM-2","itemData":{"DOI":"10.1111/j.0741-6261.2008.00020.x","ISBN":"0741-6261","ISSN":"07416261","PMID":"2877","abstract":"We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Economics","id":"ITEM-2","issue":"2","issued":{"date-parts":[["2008"]]},"page":"403-433","title":"Incentives and invention in universities","type":"article-journal","volume":"39"},"uris":["http://www.mendeley.com/documents/?uuid=5cc5deac-babe-4731-9ce4-35098d057334"]},{"id":"ITEM-3","itemData":{"DOI":"10.1016/j.ijindorg.2006.06.001","ISBN":"0167-7187","ISSN":"01677187","abstract":"We develop a theoretical model to explain the specific role of Technology Transfer Offices (TTOs) in licensing university inventions. Using a framework where firms have incomplete information on the quality of inventions, we develop a reputation argument for the TTO to reduce the asymmetric information problem. Our results indicate that a TTO is often able to benefit from its capacity to pool innovations across research units (and to build a reputation) within universities. We identify when the technology seller will have an incentive to \"shelve\" some of the projects, thus raising the buyer's beliefs on expected quality; this results in fewer but more valuable innovations being sold at higher prices. We explain the importance of a critical size for the TTO to be successful as well as the stylized fact that TTOs may lead to fewer licensing agreements but higher income from innovation transfers. © 2006 Elsevier B.V. All rights reserved.","author":[{"dropping-particle":"","family":"Macho-Stadler","given":"Inés","non-dropping-particle":"","parse-names":false,"suffix":""},{"dropping-particle":"","family":"Pérez-Castrillo","given":"David","non-dropping-particle":"","parse-names":false,"suffix":""},{"dropping-particle":"","family":"Veugelers","given":"Reinhilde","non-dropping-particle":"","parse-names":false,"suffix":""}],"container-title":"International Journal of Industrial Organization","id":"ITEM-3","issue":"3","issued":{"date-parts":[["2007"]]},"page":"483-510","title":"Licensing of university inventions: The role of a technology transfer office","type":"article-journal","volume":"25"},"uris":["http://www.mendeley.com/documents/?uuid=2d5a5d25-b3e5-4f63-82b2-32a9a7c27bcc"]},{"id":"ITEM-4","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Policy","id":"ITEM-4","issue":"1","issued":{"date-parts":[["2003","1"]]},"page":"27-48","title":"Assessing the impact of organizational practices on the relative productivity of university technology transfer offices: an exploratory study","type":"article-journal","volume":"32"},"uris":["http://www.mendeley.com/documents/?uuid=e46987f6-89c5-3b6f-b14b-8fc764f55f9f"]},{"id":"ITEM-5","itemData":{"DOI":"10.1016/S0048-7333(00)00160-8","ISBN":"0048-7333","ISSN":"00487333","PMID":"2875","abstract":"Licensing activity of US universities has increased substantially in recent years. We examine this increase focusing on the ‘productivity’ and ‘changes in productivity’ of licensing activity. While it is generally acknowledged that there has been a dramatic increase in licensing, there is little understanding of the licensing process as it relates to university characteristics, nor is there evidence on the extent to which this is the result of increased resources devoted to commercialization or whether it stems from other factors. This paper employs data envelopment analysis (DEA) combined with regression analysis to examine the overall productivity of university licensing activity as well as the productivity of individual universities. We find that licensing has increased for reasons other than increases in overall university resources. Given input levels, universities are today more commercially productive than they were in the recent past; we propose reasons for this shift and analyze factors associated with the shift and factors associated with relative levels of commercialization. © Elsevier Science Ltd. All rights reserved.","author":[{"dropping-particle":"","family":"Thursby","given":"Jerry G.","non-dropping-particle":"","parse-names":false,"suffix":""},{"dropping-particle":"","family":"Kemp","given":"Sukanya","non-dropping-particle":"","parse-names":false,"suffix":""}],"container-title":"Research Policy","id":"ITEM-5","issue":"1","issued":{"date-parts":[["2002"]]},"page":"109-124","title":"Growth and productive efficiency of university intellectual property licensing","type":"article-journal","volume":"31"},"uris":["http://www.mendeley.com/documents/?uuid=e8f7222f-4771-44e7-9565-8aa869baee17"]},{"id":"ITEM-6","itemData":{"DOI":"10.1007/s10961-009-9129-z","ISBN":"1096100991","author":[{"dropping-particle":"","family":"Heisey","given":"Paul W","non-dropping-particle":"","parse-names":false,"suffix":""},{"dropping-particle":"","family":"Adelman","given":"Æ Sarah W","non-dropping-particle":"","parse-names":false,"suffix":""}],"id":"ITEM-6","issued":{"date-parts":[["2011"]]},"page":"38-60","title":"and university licensing revenue","type":"article-journal"},"uris":["http://www.mendeley.com/documents/?uuid=c4ddc740-e8bb-478b-be69-e1d8a02e8d39"]},{"id":"ITEM-7","itemData":{"DOI":"10.1016/j.technovation.2006.10.003","ISBN":"01664972","ISSN":"01664972","PMID":"24862342","abstract":"Universities provide education as well as innovations resulting from their research. This paper focuses on the service of transferring research results into other sectors. Many stakeholders such as academic researchers, technology transfer offices (TTOs) and private industry are involved in technology transfer which calls for a comprehensive approach. A data envelopment analysis (DEA) approach is used as a productivity evaluation tool applied to university technology transfer. The methodology included weight restrictions providing a more comprehensive metric. The results include an examination of efficiency targets for specific universities as well as peer count of inefficient universities. Evidence of significant efficiency in university technology transfer is found in many leading universities. An examination of differences between public versus private universities and those with medical schools and those without indicated that universities with medical schools are less efficient than those without. © 2006 Elsevier Ltd. All rights reserved.","author":[{"dropping-particle":"","family":"Anderson","given":"Timothy R.","non-dropping-particle":"","parse-names":false,"suffix":""},{"dropping-particle":"","family":"Daim","given":"Tugrul U.","non-dropping-particle":"","parse-names":false,"suffix":""},{"dropping-particle":"","family":"Lavoie","given":"Francois F.","non-dropping-particle":"","parse-names":false,"suffix":""}],"container-title":"Technovation","id":"ITEM-7","issue":"5","issued":{"date-parts":[["2007"]]},"page":"306-318","title":"Measuring the efficiency of university technology transfer","type":"article-journal","volume":"27"},"uris":["http://www.mendeley.com/documents/?uuid=23c59cfc-5683-4eb4-8927-1edf2329f7ee"]},{"id":"ITEM-8","itemData":{"DOI":"10.1016/j.respol.2011.02.001","ISBN":"0048-7333","ISSN":"00487333","PMID":"2891","abstract":"The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Policy","id":"ITEM-8","issue":"4","issued":{"date-parts":[["2011"]]},"page":"553-564","publisher":"Elsevier B.V.","title":"Entrepreneurial effectiveness of European universities: An empirical assessment of antecedents and trade-offs","type":"article-journal","volume":"40"},"uris":["http://www.mendeley.com/documents/?uuid=efca2164-cee4-4742-ab17-7b8416ace40b"]},{"id":"ITEM-9","itemData":{"DOI":"10.1016/j.respol.2005.01.007","ISBN":"0048-7333","ISSN":"00487333","PMID":"2878","abstract":"We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Policy","id":"ITEM-9","issue":"3","issued":{"date-parts":[["2005"]]},"page":"369-384","title":"Assessing the relative performance of U.K. university technology transfer offices: Parametric and non-parametric evidence","type":"article-journal","volume":"34"},"uris":["http://www.mendeley.com/documents/?uuid=79f66bd1-a68a-42e0-a3e7-f5910e5a9097"]}],"mendeley":{"formattedCitation":"(Anderson et al., 2007; Chapple et al., 2005; Heisey and Adelman, 2011; Lach and Schankerman, 2008; Link and Siegel, 2005; Macho-Stadler et al., 2007; Siegel et al., 2003; Thursby and Kemp, 2002; Van Looy et al., 2011)","plainTextFormattedCitation":"(Anderson et al., 2007; Chapple et al., 2005; Heisey and Adelman, 2011; Lach and Schankerman, 2008; Link and Siegel, 2005; Macho-Stadler et al., 2007; Siegel et al., 2003; Thursby and Kemp, 2002; Van Looy et al., 2011)","previouslyFormattedCitation":"(Anderson et al., 2007; Chapple et al., 2005; Heisey and Adelman, 2011; Lach and Schankerman, 2008; Link and Siegel, 2005; Macho-Stadler et al., 2007; Siegel et al., 2003; Thursby and Kemp, 2002; Van Looy et al., 2011)"},"properties":{"noteIndex":0},"schema":"https://github.com/citation-style-language/schema/raw/master/csl-citation.json"}</w:instrText>
      </w:r>
      <w:r w:rsidR="00577636">
        <w:rPr>
          <w:rFonts w:ascii="Times New Roman" w:hAnsi="Times New Roman" w:cs="Times New Roman"/>
        </w:rPr>
        <w:fldChar w:fldCharType="separate"/>
      </w:r>
      <w:r w:rsidR="00577636" w:rsidRPr="00577636">
        <w:rPr>
          <w:rFonts w:ascii="Times New Roman" w:hAnsi="Times New Roman" w:cs="Times New Roman"/>
          <w:noProof/>
        </w:rPr>
        <w:t>(Anderson et al., 2007; Chapple et al., 2005; Heisey and Adelman, 2011; Lach and Schankerman, 2008; Link and Siegel, 2005; Macho-Stadler et al., 2007; Siegel et al., 2003; Thursby and Kemp, 2002; Van Looy et al., 2011)</w:t>
      </w:r>
      <w:r w:rsidR="00577636">
        <w:rPr>
          <w:rFonts w:ascii="Times New Roman" w:hAnsi="Times New Roman" w:cs="Times New Roman"/>
        </w:rPr>
        <w:fldChar w:fldCharType="end"/>
      </w:r>
      <w:r w:rsidRPr="00EF66BB">
        <w:rPr>
          <w:rFonts w:ascii="Times New Roman" w:hAnsi="Times New Roman" w:cs="Times New Roman"/>
        </w:rPr>
        <w:t xml:space="preserve">. </w:t>
      </w:r>
      <w:r w:rsidR="000A1691">
        <w:rPr>
          <w:rFonts w:ascii="Times New Roman" w:hAnsi="Times New Roman" w:cs="Times New Roman"/>
        </w:rPr>
        <w:t>O</w:t>
      </w:r>
      <w:r w:rsidRPr="00EF66BB">
        <w:rPr>
          <w:rFonts w:ascii="Times New Roman" w:hAnsi="Times New Roman" w:cs="Times New Roman"/>
        </w:rPr>
        <w:t>ne of the most comprehensive studies of TTO productivity</w:t>
      </w:r>
      <w:r w:rsidR="0040433E">
        <w:rPr>
          <w:rFonts w:ascii="Times New Roman" w:hAnsi="Times New Roman" w:cs="Times New Roman"/>
        </w:rPr>
        <w:t>,</w:t>
      </w:r>
      <w:r w:rsidR="0040433E" w:rsidRPr="00EF66BB">
        <w:rPr>
          <w:rFonts w:ascii="Times New Roman" w:hAnsi="Times New Roman" w:cs="Times New Roman"/>
        </w:rPr>
        <w:t xml:space="preserve"> </w:t>
      </w:r>
      <w:r w:rsidR="00577636">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Policy","id":"ITEM-1","issue":"1","issued":{"date-parts":[["2003","1"]]},"page":"27-48","title":"Assessing the impact of organizational practices on the relative productivity of university technology transfer offices: an exploratory study","type":"article-journal","volume":"32"},"uris":["http://www.mendeley.com/documents/?uuid=e46987f6-89c5-3b6f-b14b-8fc764f55f9f"]}],"mendeley":{"formattedCitation":"(Siegel et al., 2003)","manualFormatting":"Siegel et al (2003)","plainTextFormattedCitation":"(Siegel et al., 2003)","previouslyFormattedCitation":"(Siegel et al., 2003)"},"properties":{"noteIndex":0},"schema":"https://github.com/citation-style-language/schema/raw/master/csl-citation.json"}</w:instrText>
      </w:r>
      <w:r w:rsidR="00577636">
        <w:rPr>
          <w:rFonts w:ascii="Times New Roman" w:hAnsi="Times New Roman" w:cs="Times New Roman"/>
        </w:rPr>
        <w:fldChar w:fldCharType="separate"/>
      </w:r>
      <w:r w:rsidR="00577636" w:rsidRPr="00577636">
        <w:rPr>
          <w:rFonts w:ascii="Times New Roman" w:hAnsi="Times New Roman" w:cs="Times New Roman"/>
          <w:noProof/>
        </w:rPr>
        <w:t>Siegel</w:t>
      </w:r>
      <w:r w:rsidR="00577636">
        <w:rPr>
          <w:rFonts w:ascii="Times New Roman" w:hAnsi="Times New Roman" w:cs="Times New Roman"/>
          <w:noProof/>
        </w:rPr>
        <w:t xml:space="preserve"> et al</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2003)</w:t>
      </w:r>
      <w:r w:rsidR="00577636">
        <w:rPr>
          <w:rFonts w:ascii="Times New Roman" w:hAnsi="Times New Roman" w:cs="Times New Roman"/>
        </w:rPr>
        <w:fldChar w:fldCharType="end"/>
      </w:r>
      <w:r w:rsidRPr="00EF66BB">
        <w:rPr>
          <w:rFonts w:ascii="Times New Roman" w:hAnsi="Times New Roman" w:cs="Times New Roman"/>
        </w:rPr>
        <w:t xml:space="preserve"> </w:t>
      </w:r>
      <w:r w:rsidR="000A1691">
        <w:rPr>
          <w:rFonts w:ascii="Times New Roman" w:hAnsi="Times New Roman" w:cs="Times New Roman"/>
        </w:rPr>
        <w:t xml:space="preserve">demonstrated </w:t>
      </w:r>
      <w:r w:rsidRPr="00EF66BB">
        <w:rPr>
          <w:rFonts w:ascii="Times New Roman" w:hAnsi="Times New Roman" w:cs="Times New Roman"/>
        </w:rPr>
        <w:t>that</w:t>
      </w:r>
      <w:r w:rsidR="0028160A" w:rsidRPr="00EF66BB">
        <w:rPr>
          <w:rFonts w:ascii="Times New Roman" w:hAnsi="Times New Roman" w:cs="Times New Roman"/>
        </w:rPr>
        <w:t xml:space="preserve"> larger TTOs experienced greater revenue generation (up to a point) </w:t>
      </w:r>
      <w:r w:rsidRPr="00EF66BB">
        <w:rPr>
          <w:rFonts w:ascii="Times New Roman" w:hAnsi="Times New Roman" w:cs="Times New Roman"/>
        </w:rPr>
        <w:t xml:space="preserve">and </w:t>
      </w:r>
      <w:r w:rsidR="005C0C62" w:rsidRPr="00EF66BB">
        <w:rPr>
          <w:rFonts w:ascii="Times New Roman" w:hAnsi="Times New Roman" w:cs="Times New Roman"/>
        </w:rPr>
        <w:t>exponentially increas</w:t>
      </w:r>
      <w:r w:rsidR="000A1691">
        <w:rPr>
          <w:rFonts w:ascii="Times New Roman" w:hAnsi="Times New Roman" w:cs="Times New Roman"/>
        </w:rPr>
        <w:t>ed</w:t>
      </w:r>
      <w:r w:rsidR="005C0C62" w:rsidRPr="00EF66BB">
        <w:rPr>
          <w:rFonts w:ascii="Times New Roman" w:hAnsi="Times New Roman" w:cs="Times New Roman"/>
        </w:rPr>
        <w:t xml:space="preserve"> returns</w:t>
      </w:r>
      <w:r w:rsidRPr="00EF66BB">
        <w:rPr>
          <w:rFonts w:ascii="Times New Roman" w:hAnsi="Times New Roman" w:cs="Times New Roman"/>
        </w:rPr>
        <w:t xml:space="preserve"> in terms of number of licenc</w:t>
      </w:r>
      <w:r w:rsidR="005C0C62" w:rsidRPr="00EF66BB">
        <w:rPr>
          <w:rFonts w:ascii="Times New Roman" w:hAnsi="Times New Roman" w:cs="Times New Roman"/>
        </w:rPr>
        <w:t>e</w:t>
      </w:r>
      <w:r w:rsidRPr="00EF66BB">
        <w:rPr>
          <w:rFonts w:ascii="Times New Roman" w:hAnsi="Times New Roman" w:cs="Times New Roman"/>
        </w:rPr>
        <w:t xml:space="preserve"> agreements. Similarly,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{"citationItems":[{"id":"ITEM-1","itemData":{"DOI":"10.1016/S0048-7333(00)00160-8","ISBN":"0048-7333","ISSN":"00487333","PMID":"2875","abstract":"Licensing activity of US universities has increased substantially in recent years. We examine this increase focusing on the ‘productivity’ and ‘changes in productivity’ of licensing activity. While it is generally acknowledged that there has been a dramatic increase in licensing, there is little understanding of the licensing process as it relates to university characteristics, nor is there evidence on the extent to which this is the result of increased resources devoted to commercialization or whether it stems from other factors. This paper employs data envelopment analysis (DEA) combined with regression analysis to examine the overall productivity of university licensing activity as well as the productivity of individual universities. We find that licensing has increased for reasons other than increases in overall university resources. Given input levels, universities are today more commercially productive than they were in the recent past; we propose reasons for this shift and analyze factors associated with the shift and factors associated with relative levels of commercialization. © Elsevier Science Ltd. All rights reserved.","author":[{"dropping-particle":"","family":"Thursby","given":"Jerry G.","non-dropping-particle":"","parse-names":false,"suffix":""},{"dropping-particle":"","family":"Kemp","given":"Sukanya","non-dropping-particle":"","parse-names":false,"suffix":""}],"container-title":"Research Policy","id":"ITEM-1","issue":"1","issued":{"date-parts":[["2002"]]},"page":"109-124","title":"Growth and productive efficiency of university intellectual property licensing","type":"article-journal","volume":"31"},"uris":["http://www.mendeley.com/documents/?uuid=e8f7222f-4771-44e7-9565-8aa869baee17"]}],"mendeley":{"formattedCitation":"(Thursby and Kemp, 2002)","manualFormatting":"Thursby and Kemp (2002)","plainTextFormattedCitation":"(Thursby and Kemp, 2002)","previouslyFormattedCitation":"(Thursby and Kemp, 2002)"},"properties":{"noteIndex":0},"schema":"https://github.com/citation-style-language/schema/raw/master/csl-citation.json"}</w:instrText>
      </w:r>
      <w:r w:rsidR="00577636">
        <w:rPr>
          <w:rFonts w:ascii="Times New Roman" w:hAnsi="Times New Roman" w:cs="Times New Roman"/>
        </w:rPr>
        <w:fldChar w:fldCharType="separate"/>
      </w:r>
      <w:r w:rsidR="00577636">
        <w:rPr>
          <w:rFonts w:ascii="Times New Roman" w:hAnsi="Times New Roman" w:cs="Times New Roman"/>
          <w:noProof/>
        </w:rPr>
        <w:t>Thursby and Kemp</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2002)</w:t>
      </w:r>
      <w:r w:rsidR="00577636">
        <w:rPr>
          <w:rFonts w:ascii="Times New Roman" w:hAnsi="Times New Roman" w:cs="Times New Roman"/>
        </w:rPr>
        <w:fldChar w:fldCharType="end"/>
      </w:r>
      <w:r w:rsidRPr="00EF66BB">
        <w:rPr>
          <w:rFonts w:ascii="Times New Roman" w:hAnsi="Times New Roman" w:cs="Times New Roman"/>
        </w:rPr>
        <w:t xml:space="preserve"> </w:t>
      </w:r>
      <w:r w:rsidR="001A25F9" w:rsidRPr="00EF66BB">
        <w:rPr>
          <w:rFonts w:ascii="Times New Roman" w:hAnsi="Times New Roman" w:cs="Times New Roman"/>
        </w:rPr>
        <w:t>confirmed</w:t>
      </w:r>
      <w:r w:rsidRPr="00EF66BB">
        <w:rPr>
          <w:rFonts w:ascii="Times New Roman" w:hAnsi="Times New Roman" w:cs="Times New Roman"/>
        </w:rPr>
        <w:t xml:space="preserve"> that larger technology transfer offices are more likely to have higher numbers of licencing agreements. More recently,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{"citationItems":[{"id":"ITEM-1","itemData":{"DOI":"10.1007/s10961-009-9129-z","ISBN":"1096100991","author":[{"dropping-particle":"","family":"Heisey","given":"Paul W","non-dropping-particle":"","parse-names":false,"suffix":""},{"dropping-particle":"","family":"Adelman","given":"Æ Sarah W","non-dropping-particle":"","parse-names":false,"suffix":""}],"id":"ITEM-1","issued":{"date-parts":[["2011"]]},"page":"38-60","title":"and university licensing revenue","type":"article-journal"},"uris":["http://www.mendeley.com/documents/?uuid=c4ddc740-e8bb-478b-be69-e1d8a02e8d39"]}],"mendeley":{"formattedCitation":"(Heisey and Adelman, 2011)","manualFormatting":"Heisey and Adelman (2011)","plainTextFormattedCitation":"(Heisey and Adelman, 2011)","previouslyFormattedCitation":"(Heisey and Adelman, 2011)"},"properties":{"noteIndex":0},"schema":"https://github.com/citation-style-language/schema/raw/master/csl-citation.json"}</w:instrText>
      </w:r>
      <w:r w:rsidR="00577636">
        <w:rPr>
          <w:rFonts w:ascii="Times New Roman" w:hAnsi="Times New Roman" w:cs="Times New Roman"/>
        </w:rPr>
        <w:fldChar w:fldCharType="separate"/>
      </w:r>
      <w:r w:rsidR="00577636">
        <w:rPr>
          <w:rFonts w:ascii="Times New Roman" w:hAnsi="Times New Roman" w:cs="Times New Roman"/>
          <w:noProof/>
        </w:rPr>
        <w:t>Heisey and Adelman</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2011)</w:t>
      </w:r>
      <w:r w:rsidR="00577636">
        <w:rPr>
          <w:rFonts w:ascii="Times New Roman" w:hAnsi="Times New Roman" w:cs="Times New Roman"/>
        </w:rPr>
        <w:fldChar w:fldCharType="end"/>
      </w:r>
      <w:r w:rsidR="00577636">
        <w:rPr>
          <w:rFonts w:ascii="Times New Roman" w:hAnsi="Times New Roman" w:cs="Times New Roman"/>
        </w:rPr>
        <w:t>,</w:t>
      </w:r>
      <w:r w:rsidRPr="00EF66BB">
        <w:rPr>
          <w:rFonts w:ascii="Times New Roman" w:hAnsi="Times New Roman" w:cs="Times New Roman"/>
        </w:rPr>
        <w:t xml:space="preserve"> in their analysis of panel data from the US covering the period 1981-2003, showed that the number of full-time equivalent staff within TTOs significantly increases licensing revenues accrued by </w:t>
      </w:r>
      <w:r w:rsidR="00D12023" w:rsidRPr="00EF66BB">
        <w:rPr>
          <w:rFonts w:ascii="Times New Roman" w:hAnsi="Times New Roman" w:cs="Times New Roman"/>
        </w:rPr>
        <w:t xml:space="preserve">a </w:t>
      </w:r>
      <w:r w:rsidR="00A66AB9">
        <w:rPr>
          <w:rFonts w:ascii="Times New Roman" w:hAnsi="Times New Roman" w:cs="Times New Roman"/>
        </w:rPr>
        <w:t>u</w:t>
      </w:r>
      <w:r w:rsidRPr="00EF66BB">
        <w:rPr>
          <w:rFonts w:ascii="Times New Roman" w:hAnsi="Times New Roman" w:cs="Times New Roman"/>
        </w:rPr>
        <w:t xml:space="preserve">niversity. Specifically, they estimate that increasing the number of FTE staff by </w:t>
      </w:r>
      <w:r w:rsidR="006D75BF" w:rsidRPr="00EF66BB">
        <w:rPr>
          <w:rFonts w:ascii="Times New Roman" w:hAnsi="Times New Roman" w:cs="Times New Roman"/>
        </w:rPr>
        <w:t>one</w:t>
      </w:r>
      <w:r w:rsidRPr="00EF66BB">
        <w:rPr>
          <w:rFonts w:ascii="Times New Roman" w:hAnsi="Times New Roman" w:cs="Times New Roman"/>
        </w:rPr>
        <w:t xml:space="preserve"> in TTOs established post-</w:t>
      </w:r>
      <w:proofErr w:type="spellStart"/>
      <w:r w:rsidRPr="00EF66BB">
        <w:rPr>
          <w:rFonts w:ascii="Times New Roman" w:hAnsi="Times New Roman" w:cs="Times New Roman"/>
        </w:rPr>
        <w:t>Bayh</w:t>
      </w:r>
      <w:proofErr w:type="spellEnd"/>
      <w:r w:rsidRPr="00EF66BB">
        <w:rPr>
          <w:rFonts w:ascii="Times New Roman" w:hAnsi="Times New Roman" w:cs="Times New Roman"/>
        </w:rPr>
        <w:t xml:space="preserve">-Dole Act could increase median licence revenues by $900k. Although evidence on the scale effect of TTO support broadly points to a positive relationship, some </w:t>
      </w:r>
      <w:r w:rsidR="000A1691">
        <w:rPr>
          <w:rFonts w:ascii="Times New Roman" w:hAnsi="Times New Roman" w:cs="Times New Roman"/>
        </w:rPr>
        <w:t>argue</w:t>
      </w:r>
      <w:r w:rsidRPr="00EF66BB">
        <w:rPr>
          <w:rFonts w:ascii="Times New Roman" w:hAnsi="Times New Roman" w:cs="Times New Roman"/>
        </w:rPr>
        <w:t xml:space="preserve"> that this is not always the case. Notably, Chapple et al (2005) provide parametric and non-parametric analysis on the productivity of 50 UK TTOs concluding that </w:t>
      </w:r>
      <w:r w:rsidR="006D75BF" w:rsidRPr="00EF66BB">
        <w:rPr>
          <w:rFonts w:ascii="Times New Roman" w:hAnsi="Times New Roman" w:cs="Times New Roman"/>
        </w:rPr>
        <w:t xml:space="preserve">they </w:t>
      </w:r>
      <w:r w:rsidRPr="00EF66BB">
        <w:rPr>
          <w:rFonts w:ascii="Times New Roman" w:hAnsi="Times New Roman" w:cs="Times New Roman"/>
        </w:rPr>
        <w:t xml:space="preserve">experience decreasing returns to scale in terms of licensing agreements and revenues. More recently, </w:t>
      </w:r>
      <w:r w:rsidR="00577636">
        <w:rPr>
          <w:rFonts w:ascii="Times New Roman" w:hAnsi="Times New Roman" w:cs="Times New Roman"/>
        </w:rPr>
        <w:fldChar w:fldCharType="begin" w:fldLock="1"/>
      </w:r>
      <w:r w:rsidR="00577636">
        <w:rPr>
          <w:rFonts w:ascii="Times New Roman" w:hAnsi="Times New Roman" w:cs="Times New Roman"/>
        </w:rPr>
        <w:instrText>ADDIN CSL_CITATION {"citationItems":[{"id":"ITEM-1","itemData":{"DOI":"10.1016/j.jbusres.2015.01.023","ISBN":"0148-2963","ISSN":"01482963","abstract":"Technology Transfer Offices (TTOs) are the main institutions responsible for the establishment of university-industry partnerships. R&amp;D contracts exemplify the indirect mechanisms through which enterprises and universities collaborate on a win-win basis. This study addresses organizational and institutional aspects that act as drivers for the establishment of successful university-industry partnerships. First, a series of regression models explain the determinants of R&amp;D contracts. These models include two main dimensions: the university and the technology transfer office. Second, further analysis empirically explores whether universities in regions with a favorable environment enjoy greater active involvement in this particular knowledge transfer mechanism. The empirical study analyzes 2010 data for Spanish public universities. Results indicate that successful R&amp;D contracts depend on university and TTO characteristics, and the university's location. The paper also presents a set of managerial implications for improving the establishment of university-industry partnerships.","author":[{"dropping-particle":"","family":"Berbegal-Mirabent","given":"Jasmina","non-dropping-particle":"","parse-names":false,"suffix":""},{"dropping-particle":"","family":"Sánchez García","given":"José Luís","non-dropping-particle":"","parse-names":false,"suffix":""},{"dropping-particle":"","family":"Ribeiro-Soriano","given":"D. Enrique","non-dropping-particle":"","parse-names":false,"suffix":""}],"container-title":"Journal of Business Research","id":"ITEM-1","issue":"7","issued":{"date-parts":[["2015"]]},"page":"1407-1413","publisher":"Elsevier Inc.","title":"University-industry partnerships for the provision of R&amp;D services","type":"article-journal","volume":"68"},"uris":["http://www.mendeley.com/documents/?uuid=247f400b-c1b7-4b23-a7f3-aeb68a8f8dc3"]}],"mendeley":{"formattedCitation":"(Berbegal-Mirabent et al., 2015)","manualFormatting":"Berbegal-Mirabent et al (2015)","plainTextFormattedCitation":"(Berbegal-Mirabent et al., 2015)","previouslyFormattedCitation":"(Berbegal-Mirabent et al., 2015)"},"properties":{"noteIndex":0},"schema":"https://github.com/citation-style-language/schema/raw/master/csl-citation.json"}</w:instrText>
      </w:r>
      <w:r w:rsidR="00577636">
        <w:rPr>
          <w:rFonts w:ascii="Times New Roman" w:hAnsi="Times New Roman" w:cs="Times New Roman"/>
        </w:rPr>
        <w:fldChar w:fldCharType="separate"/>
      </w:r>
      <w:r w:rsidR="00577636">
        <w:rPr>
          <w:rFonts w:ascii="Times New Roman" w:hAnsi="Times New Roman" w:cs="Times New Roman"/>
          <w:noProof/>
        </w:rPr>
        <w:t>Berbegal-Mirabent et al</w:t>
      </w:r>
      <w:r w:rsidR="00577636" w:rsidRPr="00577636">
        <w:rPr>
          <w:rFonts w:ascii="Times New Roman" w:hAnsi="Times New Roman" w:cs="Times New Roman"/>
          <w:noProof/>
        </w:rPr>
        <w:t xml:space="preserve"> </w:t>
      </w:r>
      <w:r w:rsidR="00577636">
        <w:rPr>
          <w:rFonts w:ascii="Times New Roman" w:hAnsi="Times New Roman" w:cs="Times New Roman"/>
          <w:noProof/>
        </w:rPr>
        <w:t>(</w:t>
      </w:r>
      <w:r w:rsidR="00577636" w:rsidRPr="00577636">
        <w:rPr>
          <w:rFonts w:ascii="Times New Roman" w:hAnsi="Times New Roman" w:cs="Times New Roman"/>
          <w:noProof/>
        </w:rPr>
        <w:t>2015)</w:t>
      </w:r>
      <w:r w:rsidR="00577636">
        <w:rPr>
          <w:rFonts w:ascii="Times New Roman" w:hAnsi="Times New Roman" w:cs="Times New Roman"/>
        </w:rPr>
        <w:fldChar w:fldCharType="end"/>
      </w:r>
      <w:r w:rsidRPr="00EF66BB">
        <w:rPr>
          <w:rFonts w:ascii="Times New Roman" w:hAnsi="Times New Roman" w:cs="Times New Roman"/>
        </w:rPr>
        <w:t xml:space="preserve"> examine the relationship between the number of specialised support staff and productivity in terms of contract research. Based on a sample of 52 Spanish universities they show that the number of support staff has no influence on </w:t>
      </w:r>
      <w:r w:rsidR="006D75BF" w:rsidRPr="00EF66BB">
        <w:rPr>
          <w:rFonts w:ascii="Times New Roman" w:hAnsi="Times New Roman" w:cs="Times New Roman"/>
        </w:rPr>
        <w:t>either</w:t>
      </w:r>
      <w:r w:rsidRPr="00EF66BB">
        <w:rPr>
          <w:rFonts w:ascii="Times New Roman" w:hAnsi="Times New Roman" w:cs="Times New Roman"/>
        </w:rPr>
        <w:t xml:space="preserve"> the number of research contracts or the income generated by research contracts. Taking the ambiguous relationships between incentive structures, scale of support organisational support and technology transfer effectiveness outlined above into consideration, some have suggested the potential significance of a critical mediation variable, namely that of strategic choice </w:t>
      </w:r>
      <w:r w:rsidR="00577636">
        <w:rPr>
          <w:rFonts w:ascii="Times New Roman" w:hAnsi="Times New Roman" w:cs="Times New Roman"/>
        </w:rPr>
        <w:fldChar w:fldCharType="begin" w:fldLock="1"/>
      </w:r>
      <w:r w:rsidR="005C76D1">
        <w:rPr>
          <w:rFonts w:ascii="Times New Roman" w:hAnsi="Times New Roman" w:cs="Times New Roman"/>
        </w:rPr>
        <w:instrText>ADDIN CSL_CITATION {"citationItems":[{"id":"ITEM-1","itemData":{"author":[{"dropping-particle":"","family":"Siegel","given":"Donald","non-dropping-particle":"","parse-names":false,"suffix":""},{"dropping-particle":"","family":"Wright","given":"Mike","non-dropping-particle":"","parse-names":false,"suffix":""}],"container-title":"The Chicago Handbook of University Technology Transfer and Academic Entrepreneurship","id":"ITEM-1","issued":{"date-parts":[["2015"]]},"page":"1-40","title":"University Technology Transfer Offices, Licensing and Start-Ups","type":"article-journal"},"uris":["http://www.mendeley.com/documents/?uuid=fe76100e-4794-40f5-abd9-8ecf8418b924"]}],"mendeley":{"formattedCitation":"(Siegel and Wright, 2015b)","plainTextFormattedCitation":"(Siegel and Wright, 2015b)","previouslyFormattedCitation":"(Siegel and Wright, 2015b)"},"properties":{"noteIndex":0},"schema":"https://github.com/citation-style-language/schema/raw/master/csl-citation.json"}</w:instrText>
      </w:r>
      <w:r w:rsidR="00577636">
        <w:rPr>
          <w:rFonts w:ascii="Times New Roman" w:hAnsi="Times New Roman" w:cs="Times New Roman"/>
        </w:rPr>
        <w:fldChar w:fldCharType="separate"/>
      </w:r>
      <w:r w:rsidR="005C76D1" w:rsidRPr="005C76D1">
        <w:rPr>
          <w:rFonts w:ascii="Times New Roman" w:hAnsi="Times New Roman" w:cs="Times New Roman"/>
          <w:noProof/>
        </w:rPr>
        <w:t>(Siegel and Wright, 2015b)</w:t>
      </w:r>
      <w:r w:rsidR="00577636">
        <w:rPr>
          <w:rFonts w:ascii="Times New Roman" w:hAnsi="Times New Roman" w:cs="Times New Roman"/>
        </w:rPr>
        <w:fldChar w:fldCharType="end"/>
      </w:r>
      <w:r w:rsidR="00577636">
        <w:rPr>
          <w:rFonts w:ascii="Times New Roman" w:hAnsi="Times New Roman" w:cs="Times New Roman"/>
        </w:rPr>
        <w:t>.</w:t>
      </w:r>
    </w:p>
    <w:p w14:paraId="62868DED" w14:textId="77777777" w:rsidR="00EF66BB" w:rsidRDefault="00EF66BB" w:rsidP="00141231">
      <w:pPr>
        <w:pStyle w:val="Heading3"/>
        <w:spacing w:line="360" w:lineRule="auto"/>
        <w:rPr>
          <w:rFonts w:ascii="Times New Roman" w:hAnsi="Times New Roman" w:cs="Times New Roman"/>
        </w:rPr>
      </w:pPr>
    </w:p>
    <w:p w14:paraId="142AA093" w14:textId="2CBBFFAB" w:rsidR="001A3E4C" w:rsidRPr="00EF66BB" w:rsidRDefault="00EF66BB" w:rsidP="00141231">
      <w:pPr>
        <w:pStyle w:val="Heading3"/>
        <w:spacing w:line="360" w:lineRule="auto"/>
        <w:rPr>
          <w:rFonts w:ascii="Times New Roman" w:hAnsi="Times New Roman" w:cs="Times New Roman"/>
        </w:rPr>
      </w:pPr>
      <w:r>
        <w:rPr>
          <w:rFonts w:ascii="Times New Roman" w:hAnsi="Times New Roman" w:cs="Times New Roman"/>
        </w:rPr>
        <w:t>2.2</w:t>
      </w:r>
      <w:r w:rsidR="001A3E4C" w:rsidRPr="00EF66BB">
        <w:rPr>
          <w:rFonts w:ascii="Times New Roman" w:hAnsi="Times New Roman" w:cs="Times New Roman"/>
        </w:rPr>
        <w:t xml:space="preserve"> Strategic Choice and Technology Transfer Effectiveness</w:t>
      </w:r>
    </w:p>
    <w:p w14:paraId="4CCBD23A" w14:textId="7E86AEA1" w:rsidR="001A3E4C" w:rsidRPr="00EF66BB" w:rsidRDefault="00E932C1" w:rsidP="00141231">
      <w:pPr>
        <w:spacing w:line="360" w:lineRule="auto"/>
        <w:rPr>
          <w:rFonts w:ascii="Times New Roman" w:hAnsi="Times New Roman" w:cs="Times New Roman"/>
        </w:rPr>
      </w:pPr>
      <w:r>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{"citationItems":[{"id":"ITEM-1","itemData":{"DOI":"10.1111/1467-8551.12116","ISBN":"1467-8551","ISSN":"14678551","PMID":"3749","abstract":"Academic entrepreneurship, which refers to efforts undertaken by universities to promote commercialization on campus and in surrounding regions of the university, has changed dramatically in recent years. Two key consequences of this change are that more stakeholders have become involved in academic entrepreneurship and that universities have become more ‘strategic’ in their approach to this activity. The authors assert that the time is ripe to rethink academic entrepreneurship. Specifically, theoretical and empirical research on academic entrepreneurship needs to take account of these changes, so as to improve the rigour and relevance of future studies on this topic. We outline such a framework and provide examples of key research questions that need to be addressed to broaden understanding of academic entrepreneurship.","author":[{"dropping-particle":"","family":"Siegel","given":"Donald","non-dropping-particle":"","parse-names":false,"suffix":""},{"dropping-particle":"","family":"Wright","given":"Mike","non-dropping-particle":"","parse-names":false,"suffix":""}],"container-title":"British Journal of Management","id":"ITEM-1","issue":"4","issued":{"date-parts":[["2015"]]},"page":"582-595","title":"Academic Entrepreneurship: Time for a Rethink?","type":"article-journal","volume":"26"},"locator":"586","uris":["http://www.mendeley.com/documents/?uuid=fd36b1d1-c4c9-405f-8f53-67de72694463"]}],"mendeley":{"formattedCitation":"(Siegel and Wright, 2015a, p. 586)","manualFormatting":"Siegel and Wright (2015a, p. 586)","plainTextFormattedCitation":"(Siegel and Wright, 2015a, p. 586)","previouslyFormattedCitation":"(Siegel and Wright, 2015a, p. 586)"},"properties":{"noteIndex":0},"schema":"https://github.com/citation-style-language/schema/raw/master/csl-citation.json"}</w:instrText>
      </w:r>
      <w:r>
        <w:rPr>
          <w:rFonts w:ascii="Times New Roman" w:hAnsi="Times New Roman" w:cs="Times New Roman"/>
        </w:rPr>
        <w:fldChar w:fldCharType="separate"/>
      </w:r>
      <w:r w:rsidR="005C76D1" w:rsidRPr="005C76D1">
        <w:rPr>
          <w:rFonts w:ascii="Times New Roman" w:hAnsi="Times New Roman" w:cs="Times New Roman"/>
          <w:noProof/>
        </w:rPr>
        <w:t>Siege</w:t>
      </w:r>
      <w:r w:rsidR="005C76D1">
        <w:rPr>
          <w:rFonts w:ascii="Times New Roman" w:hAnsi="Times New Roman" w:cs="Times New Roman"/>
          <w:noProof/>
        </w:rPr>
        <w:t>l and Wright</w:t>
      </w:r>
      <w:r w:rsidR="005C76D1" w:rsidRPr="005C76D1">
        <w:rPr>
          <w:rFonts w:ascii="Times New Roman" w:hAnsi="Times New Roman" w:cs="Times New Roman"/>
          <w:noProof/>
        </w:rPr>
        <w:t xml:space="preserve"> </w:t>
      </w:r>
      <w:r w:rsidR="005C76D1">
        <w:rPr>
          <w:rFonts w:ascii="Times New Roman" w:hAnsi="Times New Roman" w:cs="Times New Roman"/>
          <w:noProof/>
        </w:rPr>
        <w:t>(</w:t>
      </w:r>
      <w:r w:rsidR="005C76D1" w:rsidRPr="005C76D1">
        <w:rPr>
          <w:rFonts w:ascii="Times New Roman" w:hAnsi="Times New Roman" w:cs="Times New Roman"/>
          <w:noProof/>
        </w:rPr>
        <w:t>2015a, p. 586)</w:t>
      </w:r>
      <w:r>
        <w:rPr>
          <w:rFonts w:ascii="Times New Roman" w:hAnsi="Times New Roman" w:cs="Times New Roman"/>
        </w:rPr>
        <w:fldChar w:fldCharType="end"/>
      </w:r>
      <w:r w:rsidR="001A3E4C" w:rsidRPr="00EF66BB">
        <w:rPr>
          <w:rFonts w:ascii="Times New Roman" w:hAnsi="Times New Roman" w:cs="Times New Roman"/>
        </w:rPr>
        <w:t xml:space="preserve"> in their revaluation of academic entrepreneurship suggest that </w:t>
      </w:r>
      <w:r w:rsidR="00A804C1" w:rsidRPr="00EF66BB">
        <w:rPr>
          <w:rFonts w:ascii="Times New Roman" w:hAnsi="Times New Roman" w:cs="Times New Roman"/>
        </w:rPr>
        <w:t>“</w:t>
      </w:r>
      <w:r w:rsidR="001A3E4C" w:rsidRPr="00EF66BB">
        <w:rPr>
          <w:rFonts w:ascii="Times New Roman" w:hAnsi="Times New Roman" w:cs="Times New Roman"/>
        </w:rPr>
        <w:t>many universities are starting to adopt a strategic approach to technology transfer activity</w:t>
      </w:r>
      <w:r w:rsidR="00A804C1" w:rsidRPr="00EF66BB">
        <w:rPr>
          <w:rFonts w:ascii="Times New Roman" w:hAnsi="Times New Roman" w:cs="Times New Roman"/>
        </w:rPr>
        <w:t>”</w:t>
      </w:r>
      <w:r w:rsidR="001A3E4C" w:rsidRPr="00EF66BB">
        <w:rPr>
          <w:rFonts w:ascii="Times New Roman" w:hAnsi="Times New Roman" w:cs="Times New Roman"/>
        </w:rPr>
        <w:t xml:space="preserve"> and </w:t>
      </w:r>
      <w:r w:rsidR="004C3863" w:rsidRPr="00EF66BB">
        <w:rPr>
          <w:rFonts w:ascii="Times New Roman" w:hAnsi="Times New Roman" w:cs="Times New Roman"/>
        </w:rPr>
        <w:t xml:space="preserve">argue </w:t>
      </w:r>
      <w:r w:rsidR="001A3E4C" w:rsidRPr="00EF66BB">
        <w:rPr>
          <w:rFonts w:ascii="Times New Roman" w:hAnsi="Times New Roman" w:cs="Times New Roman"/>
        </w:rPr>
        <w:t xml:space="preserve">that the strategic choices of universities </w:t>
      </w:r>
      <w:r w:rsidR="004C3863" w:rsidRPr="00EF66BB">
        <w:rPr>
          <w:rFonts w:ascii="Times New Roman" w:hAnsi="Times New Roman" w:cs="Times New Roman"/>
        </w:rPr>
        <w:t>will</w:t>
      </w:r>
      <w:r w:rsidR="001A3E4C" w:rsidRPr="00EF66BB">
        <w:rPr>
          <w:rFonts w:ascii="Times New Roman" w:hAnsi="Times New Roman" w:cs="Times New Roman"/>
        </w:rPr>
        <w:t xml:space="preserve"> vary according to their particular resource endowments and knowledge base</w:t>
      </w:r>
      <w:r w:rsidR="00C13F5C" w:rsidRPr="00EF66BB">
        <w:rPr>
          <w:rFonts w:ascii="Times New Roman" w:hAnsi="Times New Roman" w:cs="Times New Roman"/>
        </w:rPr>
        <w:t>s</w:t>
      </w:r>
      <w:r w:rsidR="001A3E4C" w:rsidRPr="00EF66BB">
        <w:rPr>
          <w:rFonts w:ascii="Times New Roman" w:hAnsi="Times New Roman" w:cs="Times New Roman"/>
        </w:rPr>
        <w:t xml:space="preserve">. They specifically emphasise the need for universities to make appropriate choices about strategic priorities with regards to </w:t>
      </w:r>
      <w:r w:rsidR="00C13F5C" w:rsidRPr="00EF66BB">
        <w:rPr>
          <w:rFonts w:ascii="Times New Roman" w:hAnsi="Times New Roman" w:cs="Times New Roman"/>
        </w:rPr>
        <w:t>the</w:t>
      </w:r>
      <w:r w:rsidR="001A3E4C" w:rsidRPr="00EF66BB">
        <w:rPr>
          <w:rFonts w:ascii="Times New Roman" w:hAnsi="Times New Roman" w:cs="Times New Roman"/>
        </w:rPr>
        <w:t xml:space="preserve"> type of technology transfer and</w:t>
      </w:r>
      <w:r w:rsidR="00C13F5C" w:rsidRPr="00EF66BB">
        <w:rPr>
          <w:rFonts w:ascii="Times New Roman" w:hAnsi="Times New Roman" w:cs="Times New Roman"/>
        </w:rPr>
        <w:t xml:space="preserve"> the</w:t>
      </w:r>
      <w:r w:rsidR="001A3E4C" w:rsidRPr="00EF66BB">
        <w:rPr>
          <w:rFonts w:ascii="Times New Roman" w:hAnsi="Times New Roman" w:cs="Times New Roman"/>
        </w:rPr>
        <w:t xml:space="preserve"> specific scientific fields </w:t>
      </w:r>
      <w:r w:rsidR="00C97E8D">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{"citationItems":[{"id":"ITEM-1","itemData":{"DOI":"10.1111/1467-8551.12116","ISBN":"1467-8551","ISSN":"14678551","PMID":"3749","abstract":"Academic entrepreneurship, which refers to efforts undertaken by universities to promote commercialization on campus and in surrounding regions of the university, has changed dramatically in recent years. Two key consequences of this change are that more stakeholders have become involved in academic entrepreneurship and that universities have become more ‘strategic’ in their approach to this activity. The authors assert that the time is ripe to rethink academic entrepreneurship. Specifically, theoretical and empirical research on academic entrepreneurship needs to take account of these changes, so as to improve the rigour and relevance of future studies on this topic. We outline such a framework and provide examples of key research questions that need to be addressed to broaden understanding of academic entrepreneurship.","author":[{"dropping-particle":"","family":"Siegel","given":"Donald","non-dropping-particle":"","parse-names":false,"suffix":""},{"dropping-particle":"","family":"Wright","given":"Mike","non-dropping-particle":"","parse-names":false,"suffix":""}],"container-title":"British Journal of Management","id":"ITEM-1","issue":"4","issued":{"date-parts":[["2015"]]},"page":"582-595","title":"Academic Entrepreneurship: Time for a Rethink?","type":"article-journal","volume":"26"},"uris":["http://www.mendeley.com/documents/?uuid=fd36b1d1-c4c9-405f-8f53-67de72694463"]}],"mendeley":{"formattedCitation":"(Siegel and Wright, 2015a)","plainTextFormattedCitation":"(Siegel and Wright, 2015a)","previouslyFormattedCitation":"(Siegel and Wright, 2015a)"},"properties":{"noteIndex":0},"schema":"https://github.com/citation-style-language/schema/raw/master/csl-citation.json"}</w:instrText>
      </w:r>
      <w:r w:rsidR="00C97E8D">
        <w:rPr>
          <w:rFonts w:ascii="Times New Roman" w:hAnsi="Times New Roman" w:cs="Times New Roman"/>
        </w:rPr>
        <w:fldChar w:fldCharType="separate"/>
      </w:r>
      <w:r w:rsidR="005C76D1" w:rsidRPr="005C76D1">
        <w:rPr>
          <w:rFonts w:ascii="Times New Roman" w:hAnsi="Times New Roman" w:cs="Times New Roman"/>
          <w:noProof/>
        </w:rPr>
        <w:t>(Siegel and Wright, 2015a)</w:t>
      </w:r>
      <w:r w:rsidR="00C97E8D">
        <w:rPr>
          <w:rFonts w:ascii="Times New Roman" w:hAnsi="Times New Roman" w:cs="Times New Roman"/>
        </w:rPr>
        <w:fldChar w:fldCharType="end"/>
      </w:r>
      <w:r w:rsidR="001A3E4C" w:rsidRPr="00EF66BB">
        <w:rPr>
          <w:rFonts w:ascii="Times New Roman" w:hAnsi="Times New Roman" w:cs="Times New Roman"/>
        </w:rPr>
        <w:t>. This follows earlier reviews of commercialisation research suggest</w:t>
      </w:r>
      <w:r w:rsidR="00C13F5C" w:rsidRPr="00EF66BB">
        <w:rPr>
          <w:rFonts w:ascii="Times New Roman" w:hAnsi="Times New Roman" w:cs="Times New Roman"/>
        </w:rPr>
        <w:t>ing</w:t>
      </w:r>
      <w:r w:rsidR="001A3E4C" w:rsidRPr="00EF66BB">
        <w:rPr>
          <w:rFonts w:ascii="Times New Roman" w:hAnsi="Times New Roman" w:cs="Times New Roman"/>
        </w:rPr>
        <w:t xml:space="preserve"> that universities need to </w:t>
      </w:r>
      <w:r w:rsidR="001A3E4C" w:rsidRPr="00EF66BB">
        <w:rPr>
          <w:rFonts w:ascii="Times New Roman" w:hAnsi="Times New Roman" w:cs="Times New Roman"/>
        </w:rPr>
        <w:lastRenderedPageBreak/>
        <w:t xml:space="preserve">“adopt a strategic approach to commercialisation of IP” and that “they must consider a set of key formulation issues involving choices related to institutional goals and priorities and consequent resource allocations” </w:t>
      </w:r>
      <w:r w:rsidR="00C97E8D">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{"citationItems":[{"id":"ITEM-1","itemData":{"DOI":"10.1093/oxrep/grm036","ISBN":"0266-903X","ISSN":"0266903X","abstract":"The recent increase in the rate of commercialization of intellectual property at US and European universities has important performance and policy implications.We review recent studies of the antecedents and consequences of these activities and then draw some lessons learned for policy-makers. A key conclusion is that universities and regions must formulate and implement coherent and feasible technology transfer/commercialization strategies. Key","author":[{"dropping-particle":"","family":"Siegel","given":"Donald","non-dropping-particle":"","parse-names":false,"suffix":""},{"dropping-particle":"","family":"Veugelers","given":"Reinhilde","non-dropping-particle":"","parse-names":false,"suffix":""},{"dropping-particle":"","family":"Wright","given":"Mike","non-dropping-particle":"","parse-names":false,"suffix":""}],"container-title":"Oxford Review of Economic Policy","id":"ITEM-1","issue":"4","issued":{"date-parts":[["2007"]]},"page":"640-660","title":"Technology transfer offices and commercialization of university intellectual property: Performance and policy implications","type":"article-journal","volume":"23"},"locator":"655","uris":["http://www.mendeley.com/documents/?uuid=6514c89c-40a3-4f63-9a8f-ae78eacd7438"]}],"mendeley":{"formattedCitation":"(Siegel et al., 2007, p. 655)","plainTextFormattedCitation":"(Siegel et al., 2007, p. 655)","previouslyFormattedCitation":"(Siegel et al., 2007, p. 655)"},"properties":{"noteIndex":0},"schema":"https://github.com/citation-style-language/schema/raw/master/csl-citation.json"}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(Siegel et al., 2007, p. 655)</w:t>
      </w:r>
      <w:r w:rsidR="00C97E8D">
        <w:rPr>
          <w:rFonts w:ascii="Times New Roman" w:hAnsi="Times New Roman" w:cs="Times New Roman"/>
        </w:rPr>
        <w:fldChar w:fldCharType="end"/>
      </w:r>
      <w:r w:rsidR="001A3E4C" w:rsidRPr="00EF66BB">
        <w:rPr>
          <w:rFonts w:ascii="Times New Roman" w:hAnsi="Times New Roman" w:cs="Times New Roman"/>
        </w:rPr>
        <w:t>. Existing research pertaining to the role of strategic choice in technology transfer effectiveness has characterised strateg</w:t>
      </w:r>
      <w:r w:rsidR="00C13F5C" w:rsidRPr="00EF66BB">
        <w:rPr>
          <w:rFonts w:ascii="Times New Roman" w:hAnsi="Times New Roman" w:cs="Times New Roman"/>
        </w:rPr>
        <w:t xml:space="preserve">y </w:t>
      </w:r>
      <w:r w:rsidR="001A3E4C" w:rsidRPr="00EF66BB">
        <w:rPr>
          <w:rFonts w:ascii="Times New Roman" w:hAnsi="Times New Roman" w:cs="Times New Roman"/>
        </w:rPr>
        <w:t>as a function of prevailing institutional or environmenta</w:t>
      </w:r>
      <w:r w:rsidR="00C97E8D">
        <w:rPr>
          <w:rFonts w:ascii="Times New Roman" w:hAnsi="Times New Roman" w:cs="Times New Roman"/>
        </w:rPr>
        <w:t xml:space="preserve">l characteristics. For example,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{"citationItems":[{"id":"ITEM-1","itemData":{"DOI":"10.1016/j.respol.2011.10.010","ISSN":"00487333","abstract":"As the innovation process has become more open and networked, Government policy in the UK has sought to promote both research excellence in the university sector and the translation of this into economic benefit through university–business engagement. However, this policy approach has tended to be applied uniformly with little account for organisational differences within the sector. In this paper we consider if differences between universities in their research performance is reflected in their knowledge transfer activity. Specifically, as universities develop a commercialization agenda are the strategic priorities for knowledge transfer, the organisational supports in place to facilitate knowledge transfer and the scale and scope of knowledge transfer activity different for high research intensive (HRI) and low research intensive (LRI) universities? The findings demonstrate that universities’ approach to knowledge transfer is shaped by institutional and organisational resources, in particular their ethos and research quality, rather than the capability to undertake knowledge transfer through a Technology Transfer Office (TTO). Strategic priorities for knowledge transfer are reflected in activity, in terms of the dominance of specific knowledge transfer channels, the partners with which universities engage and the geography of business engagement.","author":[{"dropping-particle":"","family":"Hewitt-Dundas","given":"Nola","non-dropping-particle":"","parse-names":false,"suffix":""}],"container-title":"Research Policy","id":"ITEM-1","issue":"2","issued":{"date-parts":[["2012","3"]]},"page":"262-275","title":"Research intensity and knowledge transfer activity in UK universities","type":"article-journal","volume":"41"},"uris":["http://www.mendeley.com/documents/?uuid=dfda44a2-56de-4343-aba6-7ecd31ff1890"]}],"mendeley":{"formattedCitation":"(Hewitt-Dundas, 2012)","manualFormatting":"Hewitt-Dundas (2012)","plainTextFormattedCitation":"(Hewitt-Dundas, 2012)","previouslyFormattedCitation":"(Hewitt-Dundas, 2012)"},"properties":{"noteIndex":0},"schema":"https://github.com/citation-style-language/schema/raw/master/csl-citation.json"}</w:instrText>
      </w:r>
      <w:r w:rsidR="00C97E8D">
        <w:rPr>
          <w:rFonts w:ascii="Times New Roman" w:hAnsi="Times New Roman" w:cs="Times New Roman"/>
        </w:rPr>
        <w:fldChar w:fldCharType="separate"/>
      </w:r>
      <w:r w:rsidR="00C97E8D">
        <w:rPr>
          <w:rFonts w:ascii="Times New Roman" w:hAnsi="Times New Roman" w:cs="Times New Roman"/>
          <w:noProof/>
        </w:rPr>
        <w:t>Hewitt-Dundas</w:t>
      </w:r>
      <w:r w:rsidR="00C97E8D" w:rsidRPr="00C97E8D">
        <w:rPr>
          <w:rFonts w:ascii="Times New Roman" w:hAnsi="Times New Roman" w:cs="Times New Roman"/>
          <w:noProof/>
        </w:rPr>
        <w:t xml:space="preserve"> </w:t>
      </w:r>
      <w:r w:rsidR="00C97E8D">
        <w:rPr>
          <w:rFonts w:ascii="Times New Roman" w:hAnsi="Times New Roman" w:cs="Times New Roman"/>
          <w:noProof/>
        </w:rPr>
        <w:t>(</w:t>
      </w:r>
      <w:r w:rsidR="00C97E8D" w:rsidRPr="00C97E8D">
        <w:rPr>
          <w:rFonts w:ascii="Times New Roman" w:hAnsi="Times New Roman" w:cs="Times New Roman"/>
          <w:noProof/>
        </w:rPr>
        <w:t>2012)</w:t>
      </w:r>
      <w:r w:rsidR="00C97E8D">
        <w:rPr>
          <w:rFonts w:ascii="Times New Roman" w:hAnsi="Times New Roman" w:cs="Times New Roman"/>
        </w:rPr>
        <w:fldChar w:fldCharType="end"/>
      </w:r>
      <w:r w:rsidR="001A3E4C" w:rsidRPr="00EF66BB">
        <w:rPr>
          <w:rFonts w:ascii="Times New Roman" w:hAnsi="Times New Roman" w:cs="Times New Roman"/>
        </w:rPr>
        <w:t xml:space="preserve"> suggests that strategic choices about technology transfer should be based on the research intensity of the institution</w:t>
      </w:r>
      <w:r w:rsidR="00C13F5C" w:rsidRPr="00EF66BB">
        <w:rPr>
          <w:rFonts w:ascii="Times New Roman" w:hAnsi="Times New Roman" w:cs="Times New Roman"/>
        </w:rPr>
        <w:t>;</w:t>
      </w:r>
      <w:r w:rsidR="001A3E4C" w:rsidRPr="00EF66BB">
        <w:rPr>
          <w:rFonts w:ascii="Times New Roman" w:hAnsi="Times New Roman" w:cs="Times New Roman"/>
        </w:rPr>
        <w:t xml:space="preserve"> those universities characterised by high research intensity should place a greater emphasis on research commercialisation. Similarly, </w:t>
      </w:r>
      <w:r w:rsidR="00C97E8D">
        <w:rPr>
          <w:rFonts w:ascii="Times New Roman" w:hAnsi="Times New Roman" w:cs="Times New Roman"/>
        </w:rPr>
        <w:fldChar w:fldCharType="begin" w:fldLock="1"/>
      </w:r>
      <w:r w:rsidR="00CD0532">
        <w:rPr>
          <w:rFonts w:ascii="Times New Roman" w:hAnsi="Times New Roman" w:cs="Times New Roman"/>
        </w:rPr>
        <w:instrText>ADDIN CSL_CITATION {"citationItems":[{"id":"ITEM-1","itemData":{"DOI":"10.1016/j.respol.2017.03.008","ISSN":"00487333","abstract":"This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Policy","id":"ITEM-1","issue":"5","issued":{"date-parts":[["2017"]]},"page":"881-897","publisher":"Elsevier B.V.","title":"University research and knowledge transfer: A dynamic view of ambidexterity in british universities","type":"article-journal","volume":"46"},"locator":"894","uris":["http://www.mendeley.com/documents/?uuid=1bae52b2-2b76-4a4b-9383-c1e21964cb01"]}],"mendeley":{"formattedCitation":"(Sengupta and Ray, 2017a, p. 894)","manualFormatting":"Sengupta and Ray, (2017a, p. 894)","plainTextFormattedCitation":"(Sengupta and Ray, 2017a, p. 894)","previouslyFormattedCitation":"(Sengupta and Ray, 2017a, p. 894)"},"properties":{"noteIndex":0},"schema":"https://github.com/citation-style-language/schema/raw/master/csl-citation.json"}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 xml:space="preserve">Sengupta and Ray, </w:t>
      </w:r>
      <w:r w:rsidR="00132A14">
        <w:rPr>
          <w:rFonts w:ascii="Times New Roman" w:hAnsi="Times New Roman" w:cs="Times New Roman"/>
          <w:noProof/>
        </w:rPr>
        <w:t>(</w:t>
      </w:r>
      <w:r w:rsidR="00C97E8D" w:rsidRPr="00C97E8D">
        <w:rPr>
          <w:rFonts w:ascii="Times New Roman" w:hAnsi="Times New Roman" w:cs="Times New Roman"/>
          <w:noProof/>
        </w:rPr>
        <w:t>2017a, p. 894)</w:t>
      </w:r>
      <w:r w:rsidR="00C97E8D">
        <w:rPr>
          <w:rFonts w:ascii="Times New Roman" w:hAnsi="Times New Roman" w:cs="Times New Roman"/>
        </w:rPr>
        <w:fldChar w:fldCharType="end"/>
      </w:r>
      <w:r w:rsidR="001A3E4C" w:rsidRPr="00EF66BB">
        <w:rPr>
          <w:rFonts w:ascii="Times New Roman" w:hAnsi="Times New Roman" w:cs="Times New Roman"/>
        </w:rPr>
        <w:t xml:space="preserve"> adopt an ambidexterity framework in their analysis of the relationship between the ‘research pillar’ and ‘technology transfer pillar’ of UK universities. They find that </w:t>
      </w:r>
      <w:r w:rsidR="00A84782" w:rsidRPr="00EF66BB">
        <w:rPr>
          <w:rFonts w:ascii="Times New Roman" w:hAnsi="Times New Roman" w:cs="Times New Roman"/>
        </w:rPr>
        <w:t>“the marginal impact of research on both commercialisation and academic engagement channels depends on the university’s scale and reputation, which is dampened for universities that are larger in size and/or particularly reputed in the sector”.</w:t>
      </w:r>
      <w:r w:rsidR="00187681" w:rsidRPr="00EF66BB">
        <w:rPr>
          <w:rFonts w:ascii="Times New Roman" w:hAnsi="Times New Roman" w:cs="Times New Roman"/>
        </w:rPr>
        <w:t xml:space="preserve"> </w:t>
      </w:r>
      <w:r w:rsidR="001A3E4C" w:rsidRPr="00EF66BB">
        <w:rPr>
          <w:rFonts w:ascii="Times New Roman" w:hAnsi="Times New Roman" w:cs="Times New Roman"/>
        </w:rPr>
        <w:t xml:space="preserve">Consequently, </w:t>
      </w:r>
      <w:r w:rsidR="00877F8E">
        <w:rPr>
          <w:rFonts w:ascii="Times New Roman" w:hAnsi="Times New Roman" w:cs="Times New Roman"/>
        </w:rPr>
        <w:fldChar w:fldCharType="begin" w:fldLock="1"/>
      </w:r>
      <w:r w:rsidR="00CD0532">
        <w:rPr>
          <w:rFonts w:ascii="Times New Roman" w:hAnsi="Times New Roman" w:cs="Times New Roman"/>
        </w:rPr>
        <w:instrText>ADDIN CSL_CITATION {"citationItems":[{"id":"ITEM-1","itemData":{"DOI":"10.1016/j.respol.2017.03.008","ISSN":"00487333","abstract":"This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Policy","id":"ITEM-1","issue":"5","issued":{"date-parts":[["2017"]]},"page":"881-897","publisher":"Elsevier B.V.","title":"University research and knowledge transfer: A dynamic view of ambidexterity in british universities","type":"article-journal","volume":"46"},"uris":["http://www.mendeley.com/documents/?uuid=1bae52b2-2b76-4a4b-9383-c1e21964cb01"]}],"mendeley":{"formattedCitation":"(Sengupta and Ray, 2017a)","manualFormatting":"Sengupta and Ray, (2017a)","plainTextFormattedCitation":"(Sengupta and Ray, 2017a)","previouslyFormattedCitation":"(Sengupta and Ray, 2017a)"},"properties":{"noteIndex":0},"schema":"https://github.com/citation-style-language/schema/raw/master/csl-citation.json"}</w:instrText>
      </w:r>
      <w:r w:rsidR="00877F8E">
        <w:rPr>
          <w:rFonts w:ascii="Times New Roman" w:hAnsi="Times New Roman" w:cs="Times New Roman"/>
        </w:rPr>
        <w:fldChar w:fldCharType="separate"/>
      </w:r>
      <w:r w:rsidR="00877F8E" w:rsidRPr="00C97E8D">
        <w:rPr>
          <w:rFonts w:ascii="Times New Roman" w:hAnsi="Times New Roman" w:cs="Times New Roman"/>
          <w:noProof/>
        </w:rPr>
        <w:t xml:space="preserve">Sengupta and Ray, </w:t>
      </w:r>
      <w:r w:rsidR="00877F8E">
        <w:rPr>
          <w:rFonts w:ascii="Times New Roman" w:hAnsi="Times New Roman" w:cs="Times New Roman"/>
          <w:noProof/>
        </w:rPr>
        <w:t>(</w:t>
      </w:r>
      <w:r w:rsidR="00877F8E" w:rsidRPr="00C97E8D">
        <w:rPr>
          <w:rFonts w:ascii="Times New Roman" w:hAnsi="Times New Roman" w:cs="Times New Roman"/>
          <w:noProof/>
        </w:rPr>
        <w:t>2017a)</w:t>
      </w:r>
      <w:r w:rsidR="00877F8E">
        <w:rPr>
          <w:rFonts w:ascii="Times New Roman" w:hAnsi="Times New Roman" w:cs="Times New Roman"/>
        </w:rPr>
        <w:fldChar w:fldCharType="end"/>
      </w:r>
      <w:r w:rsidR="001A3E4C" w:rsidRPr="00EF66BB">
        <w:rPr>
          <w:rFonts w:ascii="Times New Roman" w:hAnsi="Times New Roman" w:cs="Times New Roman"/>
        </w:rPr>
        <w:t xml:space="preserve"> suggest that university </w:t>
      </w:r>
      <w:r w:rsidR="00664635" w:rsidRPr="00EF66BB">
        <w:rPr>
          <w:rFonts w:ascii="Times New Roman" w:hAnsi="Times New Roman" w:cs="Times New Roman"/>
        </w:rPr>
        <w:t xml:space="preserve">technology transfer </w:t>
      </w:r>
      <w:r w:rsidR="001A3E4C" w:rsidRPr="00EF66BB">
        <w:rPr>
          <w:rFonts w:ascii="Times New Roman" w:hAnsi="Times New Roman" w:cs="Times New Roman"/>
        </w:rPr>
        <w:t>strategic choices should relate principally to the research profile</w:t>
      </w:r>
      <w:r w:rsidR="00664635" w:rsidRPr="00EF66BB">
        <w:rPr>
          <w:rFonts w:ascii="Times New Roman" w:hAnsi="Times New Roman" w:cs="Times New Roman"/>
        </w:rPr>
        <w:t>,</w:t>
      </w:r>
      <w:r w:rsidR="001A3E4C" w:rsidRPr="00EF66BB">
        <w:rPr>
          <w:rFonts w:ascii="Times New Roman" w:hAnsi="Times New Roman" w:cs="Times New Roman"/>
        </w:rPr>
        <w:t xml:space="preserve"> age and reputation of the university. Earlier research by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{"citationItems":[{"id":"ITEM-1","itemData":{"DOI":"10.1016/j.respol.2008.04.021","ISBN":"0048-7333","ISSN":"00487333","PMID":"2985","abstract":"We analyze how mid-range universities can contribute to industrial change through the transfer of tacit and codified knowledge in the areas of spin-offs; licensing and patents; contract research, consultancy and reach-out; and graduate and researcher mobility. We use archival, survey and interview data relating to mid-range universities in mid-range environments in the UK, Belgium, Germany and Sweden. Our findings suggest that mid-range universities primarily need to focus on generating world-class research and critical mass in areas of expertise, as well as developing different types of intermediaries. Mid-range universities may need to develop a portfolio of university-industry linkages in terms of the scope of activities and the types of firms with which they interact. We also show that different intermediaries have important roles to play in developing university-industry linkages for mid-range universities. © 2008.","author":[{"dropping-particle":"","family":"Wright","given":"Mike","non-dropping-particle":"","parse-names":false,"suffix":""},{"dropping-particle":"","family":"Clarysse","given":"Bart","non-dropping-particle":"","parse-names":false,"suffix":""},{"dropping-particle":"","family":"Lockett","given":"Andy","non-dropping-particle":"","parse-names":false,"suffix":""},{"dropping-particle":"","family":"Knockaert","given":"Mirjam","non-dropping-particle":"","parse-names":false,"suffix":""}],"container-title":"Research Policy","id":"ITEM-1","issue":"8","issued":{"date-parts":[["2008"]]},"page":"1205-1223","title":"Mid-range universities' linkages with industry: Knowledge types and the role of intermediaries","type":"article-journal","volume":"37"},"uris":["http://www.mendeley.com/documents/?uuid=4ad24ced-5185-432e-a5f4-697ce97472d8"]}],"mendeley":{"formattedCitation":"(Wright et al., 2008)","manualFormatting":"Wright et al (2008)","plainTextFormattedCitation":"(Wright et al., 2008)","previouslyFormattedCitation":"(Wright et al., 2008)"},"properties":{"noteIndex":0},"schema":"https://github.com/citation-style-language/schema/raw/master/csl-citation.json"}</w:instrText>
      </w:r>
      <w:r w:rsidR="00C97E8D">
        <w:rPr>
          <w:rFonts w:ascii="Times New Roman" w:hAnsi="Times New Roman" w:cs="Times New Roman"/>
        </w:rPr>
        <w:fldChar w:fldCharType="separate"/>
      </w:r>
      <w:r w:rsidR="00C97E8D">
        <w:rPr>
          <w:rFonts w:ascii="Times New Roman" w:hAnsi="Times New Roman" w:cs="Times New Roman"/>
          <w:noProof/>
        </w:rPr>
        <w:t>Wright et al</w:t>
      </w:r>
      <w:r w:rsidR="00C97E8D" w:rsidRPr="00C97E8D">
        <w:rPr>
          <w:rFonts w:ascii="Times New Roman" w:hAnsi="Times New Roman" w:cs="Times New Roman"/>
          <w:noProof/>
        </w:rPr>
        <w:t xml:space="preserve"> </w:t>
      </w:r>
      <w:r w:rsidR="00C97E8D">
        <w:rPr>
          <w:rFonts w:ascii="Times New Roman" w:hAnsi="Times New Roman" w:cs="Times New Roman"/>
          <w:noProof/>
        </w:rPr>
        <w:t>(</w:t>
      </w:r>
      <w:r w:rsidR="00C97E8D" w:rsidRPr="00C97E8D">
        <w:rPr>
          <w:rFonts w:ascii="Times New Roman" w:hAnsi="Times New Roman" w:cs="Times New Roman"/>
          <w:noProof/>
        </w:rPr>
        <w:t>2008)</w:t>
      </w:r>
      <w:r w:rsidR="00C97E8D">
        <w:rPr>
          <w:rFonts w:ascii="Times New Roman" w:hAnsi="Times New Roman" w:cs="Times New Roman"/>
        </w:rPr>
        <w:fldChar w:fldCharType="end"/>
      </w:r>
      <w:r w:rsidR="001A3E4C" w:rsidRPr="00EF66BB">
        <w:rPr>
          <w:rFonts w:ascii="Times New Roman" w:hAnsi="Times New Roman" w:cs="Times New Roman"/>
        </w:rPr>
        <w:t xml:space="preserve"> highlighted that ‘mid-range’ </w:t>
      </w:r>
      <w:r w:rsidR="000A1691">
        <w:rPr>
          <w:rFonts w:ascii="Times New Roman" w:hAnsi="Times New Roman" w:cs="Times New Roman"/>
        </w:rPr>
        <w:t xml:space="preserve">UK </w:t>
      </w:r>
      <w:r w:rsidR="001A3E4C" w:rsidRPr="00EF66BB">
        <w:rPr>
          <w:rFonts w:ascii="Times New Roman" w:hAnsi="Times New Roman" w:cs="Times New Roman"/>
        </w:rPr>
        <w:t xml:space="preserve">institutions face distinct challenges in the establishment of effective technology transfer activities due to their relative lack of critical mass </w:t>
      </w:r>
      <w:r w:rsidR="002F3B21">
        <w:rPr>
          <w:rFonts w:ascii="Times New Roman" w:hAnsi="Times New Roman" w:cs="Times New Roman"/>
        </w:rPr>
        <w:t>of</w:t>
      </w:r>
      <w:r w:rsidR="001A3E4C" w:rsidRPr="00EF66BB">
        <w:rPr>
          <w:rFonts w:ascii="Times New Roman" w:hAnsi="Times New Roman" w:cs="Times New Roman"/>
        </w:rPr>
        <w:t xml:space="preserve"> internationally recognised research. They suggest that these universities need to make “careful strategic decisions to build up those areas where they have scope to make an international impact but also to differentiate investment in those areas where they can make a regional contribution”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{"citationItems":[{"id":"ITEM-1","itemData":{"DOI":"10.1016/j.respol.2008.04.021","ISBN":"0048-7333","ISSN":"00487333","PMID":"2985","abstract":"We analyze how mid-range universities can contribute to industrial change through the transfer of tacit and codified knowledge in the areas of spin-offs; licensing and patents; contract research, consultancy and reach-out; and graduate and researcher mobility. We use archival, survey and interview data relating to mid-range universities in mid-range environments in the UK, Belgium, Germany and Sweden. Our findings suggest that mid-range universities primarily need to focus on generating world-class research and critical mass in areas of expertise, as well as developing different types of intermediaries. Mid-range universities may need to develop a portfolio of university-industry linkages in terms of the scope of activities and the types of firms with which they interact. We also show that different intermediaries have important roles to play in developing university-industry linkages for mid-range universities. © 2008.","author":[{"dropping-particle":"","family":"Wright","given":"Mike","non-dropping-particle":"","parse-names":false,"suffix":""},{"dropping-particle":"","family":"Clarysse","given":"Bart","non-dropping-particle":"","parse-names":false,"suffix":""},{"dropping-particle":"","family":"Lockett","given":"Andy","non-dropping-particle":"","parse-names":false,"suffix":""},{"dropping-particle":"","family":"Knockaert","given":"Mirjam","non-dropping-particle":"","parse-names":false,"suffix":""}],"container-title":"Research Policy","id":"ITEM-1","issue":"8","issued":{"date-parts":[["2008"]]},"page":"1205-1223","title":"Mid-range universities' linkages with industry: Knowledge types and the role of intermediaries","type":"article-journal","volume":"37"},"locator":"1222","uris":["http://www.mendeley.com/documents/?uuid=4ad24ced-5185-432e-a5f4-697ce97472d8"]}],"mendeley":{"formattedCitation":"(Wright et al., 2008, p. 1222)","plainTextFormattedCitation":"(Wright et al., 2008, p. 1222)","previouslyFormattedCitation":"(Wright et al., 2008, p. 1222)"},"properties":{"noteIndex":0},"schema":"https://github.com/citation-style-language/schema/raw/master/csl-citation.json"}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(Wright et al., 2008, p. 1222)</w:t>
      </w:r>
      <w:r w:rsidR="00C97E8D">
        <w:rPr>
          <w:rFonts w:ascii="Times New Roman" w:hAnsi="Times New Roman" w:cs="Times New Roman"/>
        </w:rPr>
        <w:fldChar w:fldCharType="end"/>
      </w:r>
      <w:r w:rsidR="00C97E8D">
        <w:rPr>
          <w:rFonts w:ascii="Times New Roman" w:hAnsi="Times New Roman" w:cs="Times New Roman"/>
        </w:rPr>
        <w:t>.</w:t>
      </w:r>
      <w:r w:rsidR="001A3E4C" w:rsidRPr="00EF66BB">
        <w:rPr>
          <w:rFonts w:ascii="Times New Roman" w:hAnsi="Times New Roman" w:cs="Times New Roman"/>
        </w:rPr>
        <w:t xml:space="preserve"> Others </w:t>
      </w:r>
      <w:r w:rsidR="000A1691">
        <w:rPr>
          <w:rFonts w:ascii="Times New Roman" w:hAnsi="Times New Roman" w:cs="Times New Roman"/>
        </w:rPr>
        <w:t>argue</w:t>
      </w:r>
      <w:r w:rsidR="001A3E4C" w:rsidRPr="00EF66BB">
        <w:rPr>
          <w:rFonts w:ascii="Times New Roman" w:hAnsi="Times New Roman" w:cs="Times New Roman"/>
        </w:rPr>
        <w:t xml:space="preserve"> that strategic choices about technology transfer should be consistent with the size of the university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Policy","id":"ITEM-1","issue":"3","issued":{"date-parts":[["2005"]]},"page":"369-384","title":"Assessing the relative performance of U.K. university technology transfer offices: Parametric and non-parametric evidence","type":"article-journal","volume":"34"},"uris":["http://www.mendeley.com/documents/?uuid=79f66bd1-a68a-42e0-a3e7-f5910e5a9097"]}],"mendeley":{"formattedCitation":"(Chapple et al., 2005)","plainTextFormattedCitation":"(Chapple et al., 2005)","previouslyFormattedCitation":"(Chapple et al., 2005)"},"properties":{"noteIndex":0},"schema":"https://github.com/citation-style-language/schema/raw/master/csl-citation.json"}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(Chapple et al., 2005)</w:t>
      </w:r>
      <w:r w:rsidR="00C97E8D">
        <w:rPr>
          <w:rFonts w:ascii="Times New Roman" w:hAnsi="Times New Roman" w:cs="Times New Roman"/>
        </w:rPr>
        <w:fldChar w:fldCharType="end"/>
      </w:r>
      <w:r w:rsidR="001A3E4C" w:rsidRPr="00EF66BB">
        <w:rPr>
          <w:rFonts w:ascii="Times New Roman" w:hAnsi="Times New Roman" w:cs="Times New Roman"/>
        </w:rPr>
        <w:t xml:space="preserve"> and the scientific base of the university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{"citationItems":[{"id":"ITEM-1","itemData":{"DOI":"10.1016/j.respol.2011.01.007","ISSN":"00487333","abstract":"We investigate how universities’ research quality shapes their engagement with industry. Previous research has predominantly found a positive relationship between academics’ research quality and their commercialization activities. Here we use industry involvement measures that are broader than commercialization and indicate actual collaboration, i.e. collaborative research, contract research and consulting. We hypothesise that the relationship between faculty quality and industry engagement differs across disciplines, depending on complementarities between industrial and academic work, and resource requirements. Using a dataset covering all UK universities, we find that in technology-oriented disciplines, departmental faculty quality is positively related to industry involvement. In the medical and biological sciences we find a positive effect of departmental faculty quality but establish that this does not apply to star scientists. In the social sciences, we find some support for a negative relationship between faculty quality and particularly the more applied forms of industry involvement. The implication for science policy makers and university managers is that differentiated approaches to promoting university–industry relationships are required.","author":[{"dropping-particle":"","family":"Perkmann","given":"Markus","non-dropping-particle":"","parse-names":false,"suffix":""},{"dropping-particle":"","family":"King","given":"Zella","non-dropping-particle":"","parse-names":false,"suffix":""},{"dropping-particle":"","family":"Pavelin","given":"Stephen","non-dropping-particle":"","parse-names":false,"suffix":""}],"container-title":"Research Policy","id":"ITEM-1","issue":"4","issued":{"date-parts":[["2011","5"]]},"page":"539-552","title":"Engaging excellence? Effects of faculty quality on university engagement with industry","type":"article-journal","volume":"40"},"uris":["http://www.mendeley.com/documents/?uuid=7315f251-4405-45f5-8e41-eaf30070e4c5"]}],"mendeley":{"formattedCitation":"(Perkmann et al., 2011)","plainTextFormattedCitation":"(Perkmann et al., 2011)","previouslyFormattedCitation":"(Perkmann et al., 2011)"},"properties":{"noteIndex":0},"schema":"https://github.com/citation-style-language/schema/raw/master/csl-citation.json"}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(Perkmann et al., 2011)</w:t>
      </w:r>
      <w:r w:rsidR="00C97E8D">
        <w:rPr>
          <w:rFonts w:ascii="Times New Roman" w:hAnsi="Times New Roman" w:cs="Times New Roman"/>
        </w:rPr>
        <w:fldChar w:fldCharType="end"/>
      </w:r>
      <w:r w:rsidR="001A3E4C" w:rsidRPr="00EF66BB">
        <w:rPr>
          <w:rFonts w:ascii="Times New Roman" w:hAnsi="Times New Roman" w:cs="Times New Roman"/>
        </w:rPr>
        <w:t xml:space="preserve">. </w:t>
      </w:r>
    </w:p>
    <w:p w14:paraId="424CE2C5" w14:textId="77777777" w:rsidR="001A3E4C" w:rsidRPr="00EF66BB" w:rsidRDefault="001A3E4C" w:rsidP="00141231">
      <w:pPr>
        <w:spacing w:line="360" w:lineRule="auto"/>
        <w:rPr>
          <w:rFonts w:ascii="Times New Roman" w:hAnsi="Times New Roman" w:cs="Times New Roman"/>
        </w:rPr>
      </w:pPr>
    </w:p>
    <w:p w14:paraId="1AA48865" w14:textId="3A2F894C" w:rsidR="001A3E4C" w:rsidRDefault="001A3E4C" w:rsidP="00141231">
      <w:pPr>
        <w:spacing w:line="360" w:lineRule="auto"/>
        <w:rPr>
          <w:rFonts w:ascii="Times New Roman" w:hAnsi="Times New Roman" w:cs="Times New Roman"/>
        </w:rPr>
      </w:pPr>
      <w:r w:rsidRPr="00EF66BB">
        <w:rPr>
          <w:rFonts w:ascii="Times New Roman" w:hAnsi="Times New Roman" w:cs="Times New Roman"/>
        </w:rPr>
        <w:t xml:space="preserve">These existing conceptualisations of strategy are based on two assumptions that </w:t>
      </w:r>
      <w:r w:rsidR="00281046">
        <w:rPr>
          <w:rFonts w:ascii="Times New Roman" w:hAnsi="Times New Roman" w:cs="Times New Roman"/>
        </w:rPr>
        <w:t>will be clarified in this</w:t>
      </w:r>
      <w:r w:rsidR="001C5569" w:rsidRPr="00EF66BB">
        <w:rPr>
          <w:rFonts w:ascii="Times New Roman" w:hAnsi="Times New Roman" w:cs="Times New Roman"/>
        </w:rPr>
        <w:t xml:space="preserve"> </w:t>
      </w:r>
      <w:r w:rsidR="00593123" w:rsidRPr="00EF66BB">
        <w:rPr>
          <w:rFonts w:ascii="Times New Roman" w:hAnsi="Times New Roman" w:cs="Times New Roman"/>
        </w:rPr>
        <w:t>research</w:t>
      </w:r>
      <w:r w:rsidRPr="00EF66BB">
        <w:rPr>
          <w:rFonts w:ascii="Times New Roman" w:hAnsi="Times New Roman" w:cs="Times New Roman"/>
        </w:rPr>
        <w:t>. First, all existing approaches imply that the strategic choices of university manage</w:t>
      </w:r>
      <w:r w:rsidR="00593123" w:rsidRPr="00EF66BB">
        <w:rPr>
          <w:rFonts w:ascii="Times New Roman" w:hAnsi="Times New Roman" w:cs="Times New Roman"/>
        </w:rPr>
        <w:t>rs have</w:t>
      </w:r>
      <w:r w:rsidRPr="00EF66BB">
        <w:rPr>
          <w:rFonts w:ascii="Times New Roman" w:hAnsi="Times New Roman" w:cs="Times New Roman"/>
        </w:rPr>
        <w:t xml:space="preserve"> a significant impact on the effectiveness of technology transfer activities</w:t>
      </w:r>
      <w:r w:rsidR="006F57B4" w:rsidRPr="00EF66BB">
        <w:rPr>
          <w:rFonts w:ascii="Times New Roman" w:hAnsi="Times New Roman" w:cs="Times New Roman"/>
        </w:rPr>
        <w:t>.</w:t>
      </w:r>
      <w:r w:rsidR="00593123" w:rsidRPr="00EF66BB">
        <w:rPr>
          <w:rFonts w:ascii="Times New Roman" w:hAnsi="Times New Roman" w:cs="Times New Roman"/>
        </w:rPr>
        <w:t xml:space="preserve"> However,</w:t>
      </w:r>
      <w:r w:rsidRPr="00EF66BB">
        <w:rPr>
          <w:rFonts w:ascii="Times New Roman" w:hAnsi="Times New Roman" w:cs="Times New Roman"/>
        </w:rPr>
        <w:t xml:space="preserve"> there is a paucity of empirical evidence that demonstrates </w:t>
      </w:r>
      <w:r w:rsidR="00281046">
        <w:rPr>
          <w:rFonts w:ascii="Times New Roman" w:hAnsi="Times New Roman" w:cs="Times New Roman"/>
        </w:rPr>
        <w:t>a</w:t>
      </w:r>
      <w:r w:rsidRPr="00EF66BB">
        <w:rPr>
          <w:rFonts w:ascii="Times New Roman" w:hAnsi="Times New Roman" w:cs="Times New Roman"/>
        </w:rPr>
        <w:t xml:space="preserve"> relationship between university strategic choices and technology transfer effectiveness. Second,  strategic choices are viewed as contingent upon the prevailing institutional or organisational characteristics rather than as a consequence of managerial action</w:t>
      </w:r>
      <w:r w:rsidR="00593123" w:rsidRPr="00EF66BB">
        <w:rPr>
          <w:rFonts w:ascii="Times New Roman" w:hAnsi="Times New Roman" w:cs="Times New Roman"/>
        </w:rPr>
        <w:t xml:space="preserve">s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{"citationItems":[{"id":"ITEM-1","itemData":{"DOI":"10.1002/smj","ISBN":"1097-0266","ISSN":"00014273","PMID":"31767271","abstract":"Like governance structure and alliance scope, partner selection may serve to safeguard firms’ intellectual assets in R&amp;D alliances. We categorize potential alliance partners into friends, acquaintances, and strangers, depending on their previous alliance experience. Data on 1,159 R&amp;D alliances indicate that the more radical an alliance’s innovation goals, the more likely it is that partners are friends rather than strangers. However, strangers are preferred to acquaintances, suggesting partner selection preferences are not transitive. Moreover, results suggest that firms use partner selection, governance structure, and alliance scope as substitute mechanisms to protect valuable technological assets from appropriation in R&amp;D alliances.","author":[{"dropping-particle":"","family":"Rond","given":"M","non-dropping-particle":"De","parse-names":false,"suffix":""},{"dropping-particle":"","family":"Thietart","given":"R-A","non-dropping-particle":"","parse-names":false,"suffix":""}],"container-title":"Strategic Management Journal","id":"ITEM-1","issued":{"date-parts":[["2007"]]},"page":"535-551","title":"Choice, Chance and Inevitability in Strategy","type":"article-journal","volume":"28"},"uris":["http://www.mendeley.com/documents/?uuid=b131c8ac-cd65-4c2a-946e-411e6b27876e"]}],"mendeley":{"formattedCitation":"(De Rond and Thietart, 2007)","plainTextFormattedCitation":"(De Rond and Thietart, 2007)","previouslyFormattedCitation":"(De Rond and Thietart, 2007)"},"properties":{"noteIndex":0},"schema":"https://github.com/citation-style-language/schema/raw/master/csl-citation.json"}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(De Rond and Thietart, 2007)</w:t>
      </w:r>
      <w:r w:rsidR="00C97E8D">
        <w:rPr>
          <w:rFonts w:ascii="Times New Roman" w:hAnsi="Times New Roman" w:cs="Times New Roman"/>
        </w:rPr>
        <w:fldChar w:fldCharType="end"/>
      </w:r>
      <w:r w:rsidRPr="00EF66BB">
        <w:rPr>
          <w:rFonts w:ascii="Times New Roman" w:hAnsi="Times New Roman" w:cs="Times New Roman"/>
        </w:rPr>
        <w:t>. For example, strategy is perceived to be a function of university characteristics (research profile</w:t>
      </w:r>
      <w:r w:rsidR="00A804C1" w:rsidRPr="00EF66BB">
        <w:rPr>
          <w:rFonts w:ascii="Times New Roman" w:hAnsi="Times New Roman" w:cs="Times New Roman"/>
        </w:rPr>
        <w:t>;</w:t>
      </w:r>
      <w:r w:rsidRPr="00EF66BB">
        <w:rPr>
          <w:rFonts w:ascii="Times New Roman" w:hAnsi="Times New Roman" w:cs="Times New Roman"/>
        </w:rPr>
        <w:t xml:space="preserve"> research intensity</w:t>
      </w:r>
      <w:r w:rsidR="00A804C1" w:rsidRPr="00EF66BB">
        <w:rPr>
          <w:rFonts w:ascii="Times New Roman" w:hAnsi="Times New Roman" w:cs="Times New Roman"/>
        </w:rPr>
        <w:t>;</w:t>
      </w:r>
      <w:r w:rsidRPr="00EF66BB">
        <w:rPr>
          <w:rFonts w:ascii="Times New Roman" w:hAnsi="Times New Roman" w:cs="Times New Roman"/>
        </w:rPr>
        <w:t xml:space="preserve"> size</w:t>
      </w:r>
      <w:r w:rsidR="00A804C1" w:rsidRPr="00EF66BB">
        <w:rPr>
          <w:rFonts w:ascii="Times New Roman" w:hAnsi="Times New Roman" w:cs="Times New Roman"/>
        </w:rPr>
        <w:t>;</w:t>
      </w:r>
      <w:r w:rsidRPr="00EF66BB">
        <w:rPr>
          <w:rFonts w:ascii="Times New Roman" w:hAnsi="Times New Roman" w:cs="Times New Roman"/>
        </w:rPr>
        <w:t xml:space="preserve"> scientific knowledge base) or environmental conditions (regional characteristics) </w:t>
      </w:r>
      <w:r w:rsidR="00C97E8D">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{"citationItems":[{"id":"ITEM-1","itemData":{"DOI":"10.1111/1467-8551.12116","ISBN":"1467-8551","ISSN":"14678551","PMID":"3749","abstract":"Academic entrepreneurship, which refers to efforts undertaken by universities to promote commercialization on campus and in surrounding regions of the university, has changed dramatically in recent years. Two key consequences of this change are that more stakeholders have become involved in academic entrepreneurship and that universities have become more ‘strategic’ in their approach to this activity. The authors assert that the time is ripe to rethink academic entrepreneurship. Specifically, theoretical and empirical research on academic entrepreneurship needs to take account of these changes, so as to improve the rigour and relevance of future studies on this topic. We outline such a framework and provide examples of key research questions that need to be addressed to broaden understanding of academic entrepreneurship.","author":[{"dropping-particle":"","family":"Siegel","given":"Donald","non-dropping-particle":"","parse-names":false,"suffix":""},{"dropping-particle":"","family":"Wright","given":"Mike","non-dropping-particle":"","parse-names":false,"suffix":""}],"container-title":"British Journal of Management","id":"ITEM-1","issue":"4","issued":{"date-parts":[["2015"]]},"page":"582-595","title":"Academic Entrepreneurship: Time for a Rethink?","type":"article-journal","volume":"26"},"uris":["http://www.mendeley.com/documents/?uuid=fd36b1d1-c4c9-405f-8f53-67de72694463"]},{"id":"ITEM-2","itemData":{"DOI":"10.1016/j.respol.2008.04.021","ISBN":"0048-7333","ISSN":"00487333","PMID":"2985","abstract":"We analyze how mid-range universities can contribute to industrial change through the transfer of tacit and codified knowledge in the areas of spin-offs; licensing and patents; contract research, consultancy and reach-out; and graduate and researcher mobility. We use archival, survey and interview data relating to mid-range universities in mid-range environments in the UK, Belgium, Germany and Sweden. Our findings suggest that mid-range universities primarily need to focus on generating world-class research and critical mass in areas of expertise, as well as developing different types of intermediaries. Mid-range universities may need to develop a portfolio of university-industry linkages in terms of the scope of activities and the types of firms with which they interact. We also show that different intermediaries have important roles to play in developing university-industry linkages for mid-range universities. © 2008.","author":[{"dropping-particle":"","family":"Wright","given":"Mike","non-dropping-particle":"","parse-names":false,"suffix":""},{"dropping-particle":"","family":"Clarysse","given":"Bart","non-dropping-particle":"","parse-names":false,"suffix":""},{"dropping-particle":"","family":"Lockett","given":"Andy","non-dropping-particle":"","parse-names":false,"suffix":""},{"dropping-particle":"","family":"Knockaert","given":"Mirjam","non-dropping-particle":"","parse-names":false,"suffix":""}],"container-title":"Research Policy","id":"ITEM-2","issue":"8","issued":{"date-parts":[["2008"]]},"page":"1205-1223","title":"Mid-range universities' linkages with industry: Knowledge types and the role of intermediaries","type":"article-journal","volume":"37"},"uris":["http://www.mendeley.com/documents/?uuid=4ad24ced-5185-432e-a5f4-697ce97472d8"]},{"id":"ITEM-3","itemData":{"DOI":"10.1016/j.respol.2011.01.007","ISSN":"00487333","abstract":"We investigate how universities’ research quality shapes their engagement with industry. Previous research has predominantly found a positive relationship between academics’ research quality and their commercialization activities. Here we use industry involvement measures that are broader than commercialization and indicate actual collaboration, i.e. collaborative research, contract research and consulting. We hypothesise that the relationship between faculty quality and industry engagement differs across disciplines, depending on complementarities between industrial and academic work, and resource requirements. Using a dataset covering all UK universities, we find that in technology-oriented disciplines, departmental faculty quality is positively related to industry involvement. In the medical and biological sciences we find a positive effect of departmental faculty quality but establish that this does not apply to star scientists. In the social sciences, we find some support for a negative relationship between faculty quality and particularly the more applied forms of industry involvement. The implication for science policy makers and university managers is that differentiated approaches to promoting university–industry relationships are required.","author":[{"dropping-particle":"","family":"Perkmann","given":"Markus","non-dropping-particle":"","parse-names":false,"suffix":""},{"dropping-particle":"","family":"King","given":"Zella","non-dropping-particle":"","parse-names":false,"suffix":""},{"dropping-particle":"","family":"Pavelin","given":"Stephen","non-dropping-particle":"","parse-names":false,"suffix":""}],"container-title":"Research Policy","id":"ITEM-3","issue":"4","issued":{"date-parts":[["2011","5"]]},"page":"539-552","title":"Engaging excellence? Effects of faculty quality on university engagement with industry","type":"article-journal","volume":"40"},"uris":["http://www.mendeley.com/documents/?uuid=7315f251-4405-45f5-8e41-eaf30070e4c5"]}],"mendeley":{"formattedCitation":"(Perkmann et al., 2011; Siegel and Wright, 2015a; Wright et al., 2008)","plainTextFormattedCitation":"(Perkmann et al., 2011; Siegel and Wright, 2015a; Wright et al., 2008)","previouslyFormattedCitation":"(Perkmann et al., 2011; Siegel and Wright, 2015a; Wright et al., 2008)"},"properties":{"noteIndex":0},"schema":"https://github.com/citation-style-language/schema/raw/master/csl-citation.json"}</w:instrText>
      </w:r>
      <w:r w:rsidR="00C97E8D">
        <w:rPr>
          <w:rFonts w:ascii="Times New Roman" w:hAnsi="Times New Roman" w:cs="Times New Roman"/>
        </w:rPr>
        <w:fldChar w:fldCharType="separate"/>
      </w:r>
      <w:r w:rsidR="005C76D1" w:rsidRPr="005C76D1">
        <w:rPr>
          <w:rFonts w:ascii="Times New Roman" w:hAnsi="Times New Roman" w:cs="Times New Roman"/>
          <w:noProof/>
        </w:rPr>
        <w:t xml:space="preserve">(Perkmann et al., 2011; Siegel and Wright, 2015a; Wright </w:t>
      </w:r>
      <w:r w:rsidR="005C76D1" w:rsidRPr="005C76D1">
        <w:rPr>
          <w:rFonts w:ascii="Times New Roman" w:hAnsi="Times New Roman" w:cs="Times New Roman"/>
          <w:noProof/>
        </w:rPr>
        <w:lastRenderedPageBreak/>
        <w:t>et al., 2008)</w:t>
      </w:r>
      <w:r w:rsidR="00C97E8D">
        <w:rPr>
          <w:rFonts w:ascii="Times New Roman" w:hAnsi="Times New Roman" w:cs="Times New Roman"/>
        </w:rPr>
        <w:fldChar w:fldCharType="end"/>
      </w:r>
      <w:r w:rsidR="00C97E8D">
        <w:rPr>
          <w:rFonts w:ascii="Times New Roman" w:hAnsi="Times New Roman" w:cs="Times New Roman"/>
        </w:rPr>
        <w:t>.</w:t>
      </w:r>
      <w:r w:rsidRPr="00EF66BB">
        <w:rPr>
          <w:rFonts w:ascii="Times New Roman" w:hAnsi="Times New Roman" w:cs="Times New Roman"/>
        </w:rPr>
        <w:t xml:space="preserve"> Whilst these are important factors, reducing strategy to situational contingencies overlooks the significance of managerial choice</w:t>
      </w:r>
      <w:r w:rsidR="00593123" w:rsidRPr="00EF66BB">
        <w:rPr>
          <w:rFonts w:ascii="Times New Roman" w:hAnsi="Times New Roman" w:cs="Times New Roman"/>
        </w:rPr>
        <w:t>s</w:t>
      </w:r>
      <w:r w:rsidR="000F4749">
        <w:rPr>
          <w:rFonts w:ascii="Times New Roman" w:hAnsi="Times New Roman" w:cs="Times New Roman"/>
        </w:rPr>
        <w:t xml:space="preserve"> (Child, 1972)</w:t>
      </w:r>
      <w:r w:rsidRPr="00EF66BB">
        <w:rPr>
          <w:rFonts w:ascii="Times New Roman" w:hAnsi="Times New Roman" w:cs="Times New Roman"/>
        </w:rPr>
        <w:t xml:space="preserve">. We consider this problematic, particularly in the UK context, where senior university administrators have increasing discretion regarding university priorities and resource allocation </w:t>
      </w:r>
      <w:r w:rsidR="00C97E8D">
        <w:rPr>
          <w:rFonts w:ascii="Times New Roman" w:hAnsi="Times New Roman" w:cs="Times New Roman"/>
        </w:rPr>
        <w:fldChar w:fldCharType="begin" w:fldLock="1"/>
      </w:r>
      <w:r w:rsidR="00C97E8D">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century","type":"article-journal","volume":"39"},"uris":["http://www.mendeley.com/documents/?uuid=24152560-a926-4d23-9fe1-dc68becea4bb"]},{"id":"ITEM-2","itemData":{"DOI":"10.1080/1360080X.2017.1354754","ISSN":"14699508","abstract":"This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Management","id":"ITEM-2","issue":"5","issued":{"date-parts":[["2017"]]},"page":"540-558","publisher":"Routledge","title":"Management and leadership in UK universities: exploring the possibilities of change","type":"article-journal","volume":"39"},"uris":["http://www.mendeley.com/documents/?uuid=53ffff0f-fb1a-477d-aae5-a1036f8cdc58"]}],"mendeley":{"formattedCitation":"(Burnes et al., 2014; Waring, 2017)","plainTextFormattedCitation":"(Burnes et al., 2014; Waring, 2017)","previouslyFormattedCitation":"(Burnes et al., 2014; Waring, 2017)"},"properties":{"noteIndex":0},"schema":"https://github.com/citation-style-language/schema/raw/master/csl-citation.json"}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(Burnes et al., 2014; Waring, 2017)</w:t>
      </w:r>
      <w:r w:rsidR="00C97E8D">
        <w:rPr>
          <w:rFonts w:ascii="Times New Roman" w:hAnsi="Times New Roman" w:cs="Times New Roman"/>
        </w:rPr>
        <w:fldChar w:fldCharType="end"/>
      </w:r>
      <w:r w:rsidRPr="00EF66BB">
        <w:rPr>
          <w:rFonts w:ascii="Times New Roman" w:hAnsi="Times New Roman" w:cs="Times New Roman"/>
        </w:rPr>
        <w:t xml:space="preserve">.  Consequently, this paper </w:t>
      </w:r>
      <w:r w:rsidR="000F4749">
        <w:rPr>
          <w:rFonts w:ascii="Times New Roman" w:hAnsi="Times New Roman" w:cs="Times New Roman"/>
        </w:rPr>
        <w:t>will focus on</w:t>
      </w:r>
      <w:r w:rsidRPr="00EF66BB">
        <w:rPr>
          <w:rFonts w:ascii="Times New Roman" w:hAnsi="Times New Roman" w:cs="Times New Roman"/>
        </w:rPr>
        <w:t xml:space="preserve"> managerial choice by exploring the relationship between university strategic priorities, internal organisational configurations that can be manipulated by university managers and technology transfer effectiveness. In order to facilitate this analysis we drawn upon insights offered by Strategic Choice Theory </w:t>
      </w:r>
      <w:r w:rsidR="00C97E8D">
        <w:rPr>
          <w:rFonts w:ascii="Times New Roman" w:hAnsi="Times New Roman" w:cs="Times New Roman"/>
        </w:rPr>
        <w:fldChar w:fldCharType="begin" w:fldLock="1"/>
      </w:r>
      <w:r w:rsidR="008039B9">
        <w:rPr>
          <w:rFonts w:ascii="Times New Roman" w:hAnsi="Times New Roman" w:cs="Times New Roman"/>
        </w:rPr>
        <w:instrText>ADDIN CSL_CITATION {"citationItems":[{"id":"ITEM-1","itemData":{"DOI":"10.1177/017084069701800104","ISBN":"0170840697","ISSN":"0170-8406","PMID":"9709106242","abstract":"This paper examines the place of the strategic choice perspective in the study of organizations and considers its contemporary contribution. The main features of the original analysis are summarized, followed by a review of the key issues which arise from it. The paper discusses the integrative potential of strategic choice theory within organization studies and examines its contribution to an evolutionary perspective on the subject. [ABSTRACT FROM AUTHOR]","author":[{"dropping-particle":"","family":"Child","given":"John","non-dropping-particle":"","parse-names":false,"suffix":""}],"container-title":"Organization Studies","id":"ITEM-1","issue":"1","issued":{"date-parts":[["1997"]]},"page":"43-76","title":"Strategic Choice in the Analysis of Action, Structure, Organizations and Environment: Retrospect and Prospect","type":"article-journal","volume":"18"},"uris":["http://www.mendeley.com/documents/?uuid=567c0ecc-17f0-4a38-9892-c98cb98a9e33"]},{"id":"ITEM-2","itemData":{"author":[{"dropping-particle":"","family":"Child","given":"John","non-dropping-particle":"","parse-names":false,"suffix":""}],"container-title":"Sociology","id":"ITEM-2","issue":"1","issued":{"date-parts":[["1972"]]},"page":"1-22","title":"Organizational Structure, Environment and Performance: The Role of Strategic Choice","type":"article-journal","volume":"6"},"uris":["http://www.mendeley.com/documents/?uuid=8d8d803e-eaf2-4353-8bda-269822284514"]}],"mendeley":{"formattedCitation":"(Child, 1997, 1972)","plainTextFormattedCitation":"(Child, 1997, 1972)","previouslyFormattedCitation":"(Child, 1997, 1972)"},"properties":{"noteIndex":0},"schema":"https://github.com/citation-style-language/schema/raw/master/csl-citation.json"}</w:instrText>
      </w:r>
      <w:r w:rsidR="00C97E8D">
        <w:rPr>
          <w:rFonts w:ascii="Times New Roman" w:hAnsi="Times New Roman" w:cs="Times New Roman"/>
        </w:rPr>
        <w:fldChar w:fldCharType="separate"/>
      </w:r>
      <w:r w:rsidR="00C97E8D" w:rsidRPr="00C97E8D">
        <w:rPr>
          <w:rFonts w:ascii="Times New Roman" w:hAnsi="Times New Roman" w:cs="Times New Roman"/>
          <w:noProof/>
        </w:rPr>
        <w:t>(Child, 1997, 1972)</w:t>
      </w:r>
      <w:r w:rsidR="00C97E8D">
        <w:rPr>
          <w:rFonts w:ascii="Times New Roman" w:hAnsi="Times New Roman" w:cs="Times New Roman"/>
        </w:rPr>
        <w:fldChar w:fldCharType="end"/>
      </w:r>
      <w:r w:rsidRPr="00EF66BB">
        <w:rPr>
          <w:rFonts w:ascii="Times New Roman" w:hAnsi="Times New Roman" w:cs="Times New Roman"/>
        </w:rPr>
        <w:t xml:space="preserve">. </w:t>
      </w:r>
    </w:p>
    <w:p w14:paraId="325E670E" w14:textId="77777777" w:rsidR="00C93899" w:rsidRPr="00EF66BB" w:rsidRDefault="00C93899" w:rsidP="00141231">
      <w:pPr>
        <w:spacing w:line="360" w:lineRule="auto"/>
        <w:rPr>
          <w:rFonts w:ascii="Times New Roman" w:hAnsi="Times New Roman" w:cs="Times New Roman"/>
        </w:rPr>
      </w:pPr>
    </w:p>
    <w:p w14:paraId="241B8F8A" w14:textId="163ACEC2" w:rsidR="00844C46" w:rsidRPr="00EF66BB" w:rsidRDefault="00844C46" w:rsidP="00141231">
      <w:pPr>
        <w:pStyle w:val="Heading3"/>
        <w:spacing w:line="360" w:lineRule="auto"/>
        <w:rPr>
          <w:rFonts w:ascii="Times New Roman" w:hAnsi="Times New Roman" w:cs="Times New Roman"/>
        </w:rPr>
      </w:pPr>
      <w:r>
        <w:rPr>
          <w:rFonts w:ascii="Times New Roman" w:hAnsi="Times New Roman" w:cs="Times New Roman"/>
        </w:rPr>
        <w:t>2.3</w:t>
      </w:r>
      <w:r w:rsidRPr="00EF66BB">
        <w:rPr>
          <w:rFonts w:ascii="Times New Roman" w:hAnsi="Times New Roman" w:cs="Times New Roman"/>
        </w:rPr>
        <w:t xml:space="preserve"> Strategic Choice</w:t>
      </w:r>
      <w:r>
        <w:rPr>
          <w:rFonts w:ascii="Times New Roman" w:hAnsi="Times New Roman" w:cs="Times New Roman"/>
        </w:rPr>
        <w:t xml:space="preserve"> Theory: Priorities, Choices, Planning and Effectiveness</w:t>
      </w:r>
    </w:p>
    <w:p w14:paraId="505E75CD" w14:textId="1D46DA80" w:rsidR="00844C46" w:rsidRDefault="00844C46" w:rsidP="00141231">
      <w:pPr>
        <w:spacing w:line="360" w:lineRule="auto"/>
        <w:rPr>
          <w:rFonts w:ascii="Times New Roman" w:hAnsi="Times New Roman" w:cs="Times New Roman"/>
        </w:rPr>
      </w:pPr>
      <w:r w:rsidRPr="00EF66BB">
        <w:rPr>
          <w:rFonts w:ascii="Times New Roman" w:hAnsi="Times New Roman" w:cs="Times New Roman"/>
        </w:rPr>
        <w:t xml:space="preserve">Strategic Choice Theory was initially advocated as a corrective to Contingency Theory, which attributed variations in inter-organisational performance to environmental and organisational contingencies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{"citationItems":[{"id":"ITEM-1","itemData":{"DOI":"10.1111/ijmr.12010","ISBN":"14608545","ISSN":"14608545","PMID":"93393013","abstract":"This paper reviews the literature about the Aston Programme of organizational research, in particular, its studies of organizational structure. The intellectual commitments of the Aston Programme are explicated and contrasted with the then dominant traditions of organizational research. The methodology is explained, with its emphasis on quantitative variables, reliable scales and statistical methods. The way successive studies confirmed or challenged Weberian bureaucracy is discussed. The major structural scales and their short forms are described. The relationships among the structural variables and between them and the contextual variables of size, technology and public accountability are outlined. The generalizability of these relationships in organizational research across countries is considered. The paper offers a roughly chronological narrative in three phases: the original Aston study, the National study and then on to the many subsequent replication and extension studies and reviews of them. Some cognate organizational research studies are brought in that confirm the Aston Programme. The need to continue the Astonian Cartesian approach rather than the configurational approach is emphasized. In closing, the Aston legacy is briefly summated and a vision for a future Aston Programme is offered in an Epilogue. [ABSTRACT FROM AUTHOR]","author":[{"dropping-particle":"","family":"Donaldson","given":"Lex","non-dropping-particle":"","parse-names":false,"suffix":""},{"dropping-particle":"","family":"Luo","given":"Ben Nanfeng","non-dropping-particle":"","parse-names":false,"suffix":""}],"container-title":"International Journal of Management Reviews","id":"ITEM-1","issue":"1","issued":{"date-parts":[["2014"]]},"page":"84-104","title":"The Aston Programme Contribution to Organizational Research: A Literature Review","type":"article-journal","volume":"16"},"uris":["http://www.mendeley.com/documents/?uuid=9f629581-9fa5-4681-9b7e-36309ed829d5"]},{"id":"ITEM-2","itemData":{"DOI":"10.1177/017084069701800104","ISBN":"0170840697","ISSN":"0170-8406","PMID":"9709106242","abstract":"This paper examines the place of the strategic choice perspective in the study of organizations and considers its contemporary contribution. The main features of the original analysis are summarized, followed by a review of the key issues which arise from it. The paper discusses the integrative potential of strategic choice theory within organization studies and examines its contribution to an evolutionary perspective on the subject. [ABSTRACT FROM AUTHOR]","author":[{"dropping-particle":"","family":"Child","given":"John","non-dropping-particle":"","parse-names":false,"suffix":""}],"container-title":"Organization Studies","id":"ITEM-2","issue":"1","issued":{"date-parts":[["1997"]]},"page":"43-76","title":"Strategic Choice in the Analysis of Action, Structure, Organizations and Environment: Retrospect and Prospect","type":"article-journal","volume":"18"},"uris":["http://www.mendeley.com/documents/?uuid=567c0ecc-17f0-4a38-9892-c98cb98a9e33"]}],"mendeley":{"formattedCitation":"(Child, 1997; Donaldson and Luo, 2014)","plainTextFormattedCitation":"(Child, 1997; Donaldson and Luo, 2014)","previouslyFormattedCitation":"(Child, 1997; Donaldson and Luo, 2014)"},"properties":{"noteIndex":0},"schema":"https://github.com/citation-style-language/schema/raw/master/csl-citation.json"}</w:instrText>
      </w:r>
      <w:r>
        <w:rPr>
          <w:rFonts w:ascii="Times New Roman" w:hAnsi="Times New Roman" w:cs="Times New Roman"/>
        </w:rPr>
        <w:fldChar w:fldCharType="separate"/>
      </w:r>
      <w:r w:rsidRPr="008039B9">
        <w:rPr>
          <w:rFonts w:ascii="Times New Roman" w:hAnsi="Times New Roman" w:cs="Times New Roman"/>
          <w:noProof/>
        </w:rPr>
        <w:t>(Child, 1997; Donaldson and Luo, 2014)</w:t>
      </w:r>
      <w:r>
        <w:rPr>
          <w:rFonts w:ascii="Times New Roman" w:hAnsi="Times New Roman" w:cs="Times New Roman"/>
        </w:rPr>
        <w:fldChar w:fldCharType="end"/>
      </w:r>
      <w:r w:rsidRPr="00EF66BB">
        <w:rPr>
          <w:rFonts w:ascii="Times New Roman" w:hAnsi="Times New Roman" w:cs="Times New Roman"/>
        </w:rPr>
        <w:t xml:space="preserve">. </w:t>
      </w:r>
      <w:r>
        <w:rPr>
          <w:rFonts w:ascii="Times New Roman" w:hAnsi="Times New Roman" w:cs="Times New Roman"/>
        </w:rPr>
        <w:t>According to Child (1972),</w:t>
      </w:r>
      <w:r w:rsidRPr="00EF66BB">
        <w:rPr>
          <w:rFonts w:ascii="Times New Roman" w:hAnsi="Times New Roman" w:cs="Times New Roman"/>
        </w:rPr>
        <w:t xml:space="preserve"> variations in inter-organisational performance are a consequence of strategic choices made by senior managers</w:t>
      </w:r>
      <w:r>
        <w:rPr>
          <w:rFonts w:ascii="Times New Roman" w:hAnsi="Times New Roman" w:cs="Times New Roman"/>
        </w:rPr>
        <w:t>.</w:t>
      </w:r>
      <w:r w:rsidRPr="00EF66BB">
        <w:rPr>
          <w:rFonts w:ascii="Times New Roman" w:hAnsi="Times New Roman" w:cs="Times New Roman"/>
        </w:rPr>
        <w:t xml:space="preserve"> </w:t>
      </w:r>
      <w:r>
        <w:rPr>
          <w:rFonts w:ascii="Times New Roman" w:hAnsi="Times New Roman" w:cs="Times New Roman"/>
        </w:rPr>
        <w:t>Child (1972; 1997) outlines a process of strategic choice whereby senior managers first evaluate the organi</w:t>
      </w:r>
      <w:r w:rsidR="00CE1EC1">
        <w:rPr>
          <w:rFonts w:ascii="Times New Roman" w:hAnsi="Times New Roman" w:cs="Times New Roman"/>
        </w:rPr>
        <w:t>s</w:t>
      </w:r>
      <w:r>
        <w:rPr>
          <w:rFonts w:ascii="Times New Roman" w:hAnsi="Times New Roman" w:cs="Times New Roman"/>
        </w:rPr>
        <w:t>ation’s competitive position related to internal resource configurations and external market demands. Following this evaluation, managers make choices about the strategic priorities for the organi</w:t>
      </w:r>
      <w:r w:rsidR="00CE1EC1">
        <w:rPr>
          <w:rFonts w:ascii="Times New Roman" w:hAnsi="Times New Roman" w:cs="Times New Roman"/>
        </w:rPr>
        <w:t>s</w:t>
      </w:r>
      <w:r>
        <w:rPr>
          <w:rFonts w:ascii="Times New Roman" w:hAnsi="Times New Roman" w:cs="Times New Roman"/>
        </w:rPr>
        <w:t>ation</w:t>
      </w:r>
      <w:r>
        <w:rPr>
          <w:rStyle w:val="FootnoteReference"/>
          <w:rFonts w:ascii="Times New Roman" w:hAnsi="Times New Roman" w:cs="Times New Roman"/>
        </w:rPr>
        <w:footnoteReference w:id="1"/>
      </w:r>
      <w:r>
        <w:rPr>
          <w:rFonts w:ascii="Times New Roman" w:hAnsi="Times New Roman" w:cs="Times New Roman"/>
        </w:rPr>
        <w:t>. Then they make specific choices about the actions that are to be undertaken to realise the strategic priorities which involves the commitment of managerial attention and resources. The logic of strategic choice theory suggests that organi</w:t>
      </w:r>
      <w:r w:rsidR="00CE1EC1">
        <w:rPr>
          <w:rFonts w:ascii="Times New Roman" w:hAnsi="Times New Roman" w:cs="Times New Roman"/>
        </w:rPr>
        <w:t>s</w:t>
      </w:r>
      <w:r>
        <w:rPr>
          <w:rFonts w:ascii="Times New Roman" w:hAnsi="Times New Roman" w:cs="Times New Roman"/>
        </w:rPr>
        <w:t xml:space="preserve">ational effectiveness is determined by the congruence between internal organisational configurations and the strategic priorities determined by organisational managers. </w:t>
      </w:r>
    </w:p>
    <w:p w14:paraId="52DA1D0D" w14:textId="77777777" w:rsidR="00844C46" w:rsidRDefault="00844C46" w:rsidP="00141231">
      <w:pPr>
        <w:spacing w:line="360" w:lineRule="auto"/>
        <w:rPr>
          <w:rFonts w:ascii="Times New Roman" w:hAnsi="Times New Roman" w:cs="Times New Roman"/>
        </w:rPr>
      </w:pPr>
    </w:p>
    <w:p w14:paraId="149964ED" w14:textId="255DF15C" w:rsidR="00844C46" w:rsidRPr="00EF66BB" w:rsidRDefault="00844C46" w:rsidP="00141231">
      <w:pPr>
        <w:spacing w:line="360" w:lineRule="auto"/>
        <w:rPr>
          <w:rFonts w:ascii="Times New Roman" w:hAnsi="Times New Roman" w:cs="Times New Roman"/>
        </w:rPr>
      </w:pPr>
      <w:r>
        <w:rPr>
          <w:rFonts w:ascii="Times New Roman" w:hAnsi="Times New Roman" w:cs="Times New Roman"/>
        </w:rPr>
        <w:t xml:space="preserve">The focus of this research is on the capacity for university managers to make </w:t>
      </w:r>
      <w:r w:rsidRPr="001A6F1A">
        <w:rPr>
          <w:rFonts w:ascii="Times New Roman" w:hAnsi="Times New Roman" w:cs="Times New Roman"/>
          <w:i/>
        </w:rPr>
        <w:t xml:space="preserve">appropriate </w:t>
      </w:r>
      <w:r>
        <w:rPr>
          <w:rFonts w:ascii="Times New Roman" w:hAnsi="Times New Roman" w:cs="Times New Roman"/>
          <w:i/>
        </w:rPr>
        <w:t>strategic choices</w:t>
      </w:r>
      <w:r>
        <w:rPr>
          <w:rFonts w:ascii="Times New Roman" w:hAnsi="Times New Roman" w:cs="Times New Roman"/>
        </w:rPr>
        <w:t xml:space="preserve"> about the significance of technology transfer in light of existing organi</w:t>
      </w:r>
      <w:r w:rsidR="00CE1EC1">
        <w:rPr>
          <w:rFonts w:ascii="Times New Roman" w:hAnsi="Times New Roman" w:cs="Times New Roman"/>
        </w:rPr>
        <w:t>s</w:t>
      </w:r>
      <w:r>
        <w:rPr>
          <w:rFonts w:ascii="Times New Roman" w:hAnsi="Times New Roman" w:cs="Times New Roman"/>
        </w:rPr>
        <w:t xml:space="preserve">ational configurations. To clarify, we do not focus on the </w:t>
      </w:r>
      <w:r w:rsidRPr="001A6F1A">
        <w:rPr>
          <w:rFonts w:ascii="Times New Roman" w:hAnsi="Times New Roman" w:cs="Times New Roman"/>
          <w:i/>
        </w:rPr>
        <w:t>specific</w:t>
      </w:r>
      <w:r>
        <w:rPr>
          <w:rFonts w:ascii="Times New Roman" w:hAnsi="Times New Roman" w:cs="Times New Roman"/>
        </w:rPr>
        <w:t xml:space="preserve"> </w:t>
      </w:r>
      <w:r w:rsidRPr="001A6F1A">
        <w:rPr>
          <w:rFonts w:ascii="Times New Roman" w:hAnsi="Times New Roman" w:cs="Times New Roman"/>
          <w:i/>
        </w:rPr>
        <w:t>strategic actions</w:t>
      </w:r>
      <w:r>
        <w:rPr>
          <w:rFonts w:ascii="Times New Roman" w:hAnsi="Times New Roman" w:cs="Times New Roman"/>
        </w:rPr>
        <w:t xml:space="preserve"> that are undertaken in light of the determined strategic priorities, rather it is assumed that once strategic priorities are established, managerial attention and resources are committed to their realisation. Therefore, we suggest that university managers will first make an evaluation about the strategic significance of technology transfer for their university, based on existing </w:t>
      </w:r>
      <w:r>
        <w:rPr>
          <w:rFonts w:ascii="Times New Roman" w:hAnsi="Times New Roman" w:cs="Times New Roman"/>
        </w:rPr>
        <w:lastRenderedPageBreak/>
        <w:t>organisational configurations. Following this evaluation about the strategic significance of technology transfer, managerial attention and resources will be committed to technology transfer activity. The commitment of managerial attention and resources will contribute to a closer fit between the specific strategic actions concerning technology transfer and the perceived organi</w:t>
      </w:r>
      <w:r w:rsidR="00CE1EC1">
        <w:rPr>
          <w:rFonts w:ascii="Times New Roman" w:hAnsi="Times New Roman" w:cs="Times New Roman"/>
        </w:rPr>
        <w:t>s</w:t>
      </w:r>
      <w:r>
        <w:rPr>
          <w:rFonts w:ascii="Times New Roman" w:hAnsi="Times New Roman" w:cs="Times New Roman"/>
        </w:rPr>
        <w:t xml:space="preserve">ational strengths that contributed to the prioritisation of technology transfer. Therefore, it is the ability of university mangers to make appropriate strategic choices that plays a critical role in determining the effectiveness of university technology transfer activity. </w:t>
      </w:r>
    </w:p>
    <w:p w14:paraId="5BC18C79" w14:textId="77777777" w:rsidR="00844C46" w:rsidRPr="00EF66BB" w:rsidRDefault="00844C46" w:rsidP="00141231">
      <w:pPr>
        <w:spacing w:line="360" w:lineRule="auto"/>
        <w:rPr>
          <w:rFonts w:ascii="Times New Roman" w:hAnsi="Times New Roman" w:cs="Times New Roman"/>
        </w:rPr>
      </w:pPr>
    </w:p>
    <w:p w14:paraId="2B36D686" w14:textId="477CA5F1" w:rsidR="00844C46" w:rsidRPr="00EF66BB" w:rsidRDefault="00844C46" w:rsidP="00141231">
      <w:pPr>
        <w:spacing w:line="360" w:lineRule="auto"/>
        <w:rPr>
          <w:rFonts w:ascii="Times New Roman" w:hAnsi="Times New Roman" w:cs="Times New Roman"/>
        </w:rPr>
      </w:pPr>
      <w:r>
        <w:rPr>
          <w:rFonts w:ascii="Times New Roman" w:hAnsi="Times New Roman" w:cs="Times New Roman"/>
        </w:rPr>
        <w:t xml:space="preserve">Section 2.1 highlights the organisational configurations that have been identified within the existing literature that </w:t>
      </w:r>
      <w:r w:rsidRPr="00EF66BB">
        <w:rPr>
          <w:rFonts w:ascii="Times New Roman" w:hAnsi="Times New Roman" w:cs="Times New Roman"/>
        </w:rPr>
        <w:t xml:space="preserve">both impact on technology transfer activity </w:t>
      </w:r>
      <w:r w:rsidRPr="00EF66BB">
        <w:rPr>
          <w:rFonts w:ascii="Times New Roman" w:hAnsi="Times New Roman" w:cs="Times New Roman"/>
          <w:i/>
        </w:rPr>
        <w:t>and</w:t>
      </w:r>
      <w:r w:rsidRPr="00EF66BB">
        <w:rPr>
          <w:rFonts w:ascii="Times New Roman" w:hAnsi="Times New Roman" w:cs="Times New Roman"/>
        </w:rPr>
        <w:t xml:space="preserve"> fall under the domain of</w:t>
      </w:r>
      <w:r>
        <w:rPr>
          <w:rFonts w:ascii="Times New Roman" w:hAnsi="Times New Roman" w:cs="Times New Roman"/>
        </w:rPr>
        <w:t xml:space="preserve"> senior</w:t>
      </w:r>
      <w:r w:rsidRPr="00EF66BB">
        <w:rPr>
          <w:rFonts w:ascii="Times New Roman" w:hAnsi="Times New Roman" w:cs="Times New Roman"/>
        </w:rPr>
        <w:t xml:space="preserve"> university managers’ control.</w:t>
      </w:r>
      <w:r>
        <w:rPr>
          <w:rFonts w:ascii="Times New Roman" w:hAnsi="Times New Roman" w:cs="Times New Roman"/>
        </w:rPr>
        <w:t xml:space="preserve"> Following the logic of Child’s</w:t>
      </w:r>
      <w:r w:rsidRPr="00EF66BB">
        <w:rPr>
          <w:rFonts w:ascii="Times New Roman" w:hAnsi="Times New Roman" w:cs="Times New Roman"/>
        </w:rPr>
        <w:t xml:space="preserve"> Strategic Choice</w:t>
      </w:r>
      <w:r>
        <w:rPr>
          <w:rFonts w:ascii="Times New Roman" w:hAnsi="Times New Roman" w:cs="Times New Roman"/>
        </w:rPr>
        <w:t xml:space="preserve"> model outlined above, we suggest that existing internal configurations including the scale of TTO support and commitment of resources to incentives will inform senior managers’ evaluation of the organisation’s competitive position, which will in turn inform their choice about the strategic significance of technology transfer for the university. This is consistent with existing research which suggests that organisational conditions inform choices about technology transfer (Wright et al, 2008; Hewitt-Dundas, 2012; Sengupta and Ray, 2017a). Thus,</w:t>
      </w:r>
      <w:r w:rsidR="00A65A21">
        <w:rPr>
          <w:rFonts w:ascii="Times New Roman" w:hAnsi="Times New Roman" w:cs="Times New Roman"/>
        </w:rPr>
        <w:t xml:space="preserve"> </w:t>
      </w:r>
      <w:r>
        <w:rPr>
          <w:rFonts w:ascii="Times New Roman" w:hAnsi="Times New Roman" w:cs="Times New Roman"/>
        </w:rPr>
        <w:t xml:space="preserve">it is argued </w:t>
      </w:r>
      <w:r w:rsidRPr="00EF66BB">
        <w:rPr>
          <w:rFonts w:ascii="Times New Roman" w:hAnsi="Times New Roman" w:cs="Times New Roman"/>
        </w:rPr>
        <w:t xml:space="preserve">that TTO support and incentive mechanisms are </w:t>
      </w:r>
      <w:r w:rsidRPr="00EF66BB">
        <w:rPr>
          <w:rFonts w:ascii="Times New Roman" w:hAnsi="Times New Roman" w:cs="Times New Roman"/>
          <w:i/>
        </w:rPr>
        <w:t>necessary but not sufficient</w:t>
      </w:r>
      <w:r w:rsidRPr="00EF66BB">
        <w:rPr>
          <w:rFonts w:ascii="Times New Roman" w:hAnsi="Times New Roman" w:cs="Times New Roman"/>
        </w:rPr>
        <w:t xml:space="preserve"> to account for variations in technology transfer effectiveness</w:t>
      </w:r>
      <w:r>
        <w:rPr>
          <w:rFonts w:ascii="Times New Roman" w:hAnsi="Times New Roman" w:cs="Times New Roman"/>
        </w:rPr>
        <w:t xml:space="preserve">, specifically </w:t>
      </w:r>
      <w:r w:rsidRPr="00EF66BB">
        <w:rPr>
          <w:rFonts w:ascii="Times New Roman" w:hAnsi="Times New Roman" w:cs="Times New Roman"/>
        </w:rPr>
        <w:t>we propose:</w:t>
      </w:r>
    </w:p>
    <w:p w14:paraId="71D0A0FA" w14:textId="77777777" w:rsidR="00844C46" w:rsidRPr="00EF66BB" w:rsidRDefault="00844C46" w:rsidP="00141231">
      <w:pPr>
        <w:spacing w:line="360" w:lineRule="auto"/>
        <w:rPr>
          <w:rFonts w:ascii="Times New Roman" w:hAnsi="Times New Roman" w:cs="Times New Roman"/>
          <w:b/>
          <w:i/>
        </w:rPr>
      </w:pPr>
    </w:p>
    <w:p w14:paraId="6BBC8FE7" w14:textId="6A4A152B"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b/>
          <w:i/>
        </w:rPr>
        <w:t xml:space="preserve">H1: </w:t>
      </w:r>
      <w:r w:rsidRPr="00EF66BB">
        <w:rPr>
          <w:rFonts w:ascii="Times New Roman" w:hAnsi="Times New Roman" w:cs="Times New Roman"/>
        </w:rPr>
        <w:t xml:space="preserve"> </w:t>
      </w:r>
      <w:r w:rsidR="00E31E9F">
        <w:rPr>
          <w:rFonts w:ascii="Times New Roman" w:hAnsi="Times New Roman" w:cs="Times New Roman"/>
        </w:rPr>
        <w:t>The choice to make technology transfer a strategic priority</w:t>
      </w:r>
      <w:r w:rsidRPr="00EF66BB">
        <w:rPr>
          <w:rFonts w:ascii="Times New Roman" w:hAnsi="Times New Roman" w:cs="Times New Roman"/>
        </w:rPr>
        <w:t xml:space="preserve"> mediate</w:t>
      </w:r>
      <w:r w:rsidR="00E31E9F">
        <w:rPr>
          <w:rFonts w:ascii="Times New Roman" w:hAnsi="Times New Roman" w:cs="Times New Roman"/>
        </w:rPr>
        <w:t>s</w:t>
      </w:r>
      <w:r w:rsidRPr="00EF66BB">
        <w:rPr>
          <w:rFonts w:ascii="Times New Roman" w:hAnsi="Times New Roman" w:cs="Times New Roman"/>
        </w:rPr>
        <w:t xml:space="preserve"> the relationship between the scale of TTO support and the effectiveness of technology transfer activity</w:t>
      </w:r>
    </w:p>
    <w:p w14:paraId="3BE97F23" w14:textId="77777777" w:rsidR="00844C46" w:rsidRPr="00EF66BB" w:rsidRDefault="00844C46" w:rsidP="00141231">
      <w:pPr>
        <w:spacing w:line="360" w:lineRule="auto"/>
        <w:rPr>
          <w:rFonts w:ascii="Times New Roman" w:hAnsi="Times New Roman" w:cs="Times New Roman"/>
          <w:b/>
          <w:i/>
        </w:rPr>
      </w:pPr>
    </w:p>
    <w:p w14:paraId="07BF430D" w14:textId="20BFE797"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b/>
          <w:i/>
        </w:rPr>
        <w:t xml:space="preserve">H2: </w:t>
      </w:r>
      <w:r w:rsidRPr="00EF66BB">
        <w:rPr>
          <w:rFonts w:ascii="Times New Roman" w:hAnsi="Times New Roman" w:cs="Times New Roman"/>
        </w:rPr>
        <w:t xml:space="preserve"> </w:t>
      </w:r>
      <w:r w:rsidR="00E31E9F">
        <w:rPr>
          <w:rFonts w:ascii="Times New Roman" w:hAnsi="Times New Roman" w:cs="Times New Roman"/>
        </w:rPr>
        <w:t>The choice to make technology transfer a strategic</w:t>
      </w:r>
      <w:r w:rsidRPr="00EF66BB">
        <w:rPr>
          <w:rFonts w:ascii="Times New Roman" w:hAnsi="Times New Roman" w:cs="Times New Roman"/>
        </w:rPr>
        <w:t xml:space="preserve"> priorit</w:t>
      </w:r>
      <w:r w:rsidR="00E31E9F">
        <w:rPr>
          <w:rFonts w:ascii="Times New Roman" w:hAnsi="Times New Roman" w:cs="Times New Roman"/>
        </w:rPr>
        <w:t>y</w:t>
      </w:r>
      <w:r w:rsidRPr="00EF66BB">
        <w:rPr>
          <w:rFonts w:ascii="Times New Roman" w:hAnsi="Times New Roman" w:cs="Times New Roman"/>
        </w:rPr>
        <w:t xml:space="preserve"> mediate</w:t>
      </w:r>
      <w:r w:rsidR="00E31E9F">
        <w:rPr>
          <w:rFonts w:ascii="Times New Roman" w:hAnsi="Times New Roman" w:cs="Times New Roman"/>
        </w:rPr>
        <w:t>s</w:t>
      </w:r>
      <w:r w:rsidRPr="00EF66BB">
        <w:rPr>
          <w:rFonts w:ascii="Times New Roman" w:hAnsi="Times New Roman" w:cs="Times New Roman"/>
        </w:rPr>
        <w:t xml:space="preserve"> the relationship between the provision of incentives for technology transfer and the effectiveness of technology transfer activity </w:t>
      </w:r>
    </w:p>
    <w:p w14:paraId="4F7BFB53" w14:textId="77777777" w:rsidR="00844C46" w:rsidRPr="00EF66BB" w:rsidRDefault="00844C46" w:rsidP="00141231">
      <w:pPr>
        <w:spacing w:line="360" w:lineRule="auto"/>
        <w:rPr>
          <w:rFonts w:ascii="Times New Roman" w:hAnsi="Times New Roman" w:cs="Times New Roman"/>
          <w:strike/>
        </w:rPr>
      </w:pPr>
    </w:p>
    <w:p w14:paraId="6265826E" w14:textId="6868EEBA" w:rsidR="00844C46" w:rsidRPr="00EF66BB" w:rsidRDefault="00844C46" w:rsidP="00141231">
      <w:pPr>
        <w:spacing w:line="360" w:lineRule="auto"/>
        <w:rPr>
          <w:rFonts w:ascii="Times New Roman" w:hAnsi="Times New Roman" w:cs="Times New Roman"/>
        </w:rPr>
      </w:pPr>
      <w:r>
        <w:rPr>
          <w:rFonts w:ascii="Times New Roman" w:hAnsi="Times New Roman" w:cs="Times New Roman"/>
        </w:rPr>
        <w:t xml:space="preserve">Child (1997; 1972) notes that strategic priorities are typically articulated through a </w:t>
      </w:r>
      <w:r w:rsidRPr="001A6F1A">
        <w:rPr>
          <w:rFonts w:ascii="Times New Roman" w:hAnsi="Times New Roman" w:cs="Times New Roman"/>
          <w:i/>
        </w:rPr>
        <w:t>formalised</w:t>
      </w:r>
      <w:r>
        <w:rPr>
          <w:rFonts w:ascii="Times New Roman" w:hAnsi="Times New Roman" w:cs="Times New Roman"/>
          <w:i/>
        </w:rPr>
        <w:t xml:space="preserve"> strategic</w:t>
      </w:r>
      <w:r w:rsidRPr="001A6F1A">
        <w:rPr>
          <w:rFonts w:ascii="Times New Roman" w:hAnsi="Times New Roman" w:cs="Times New Roman"/>
          <w:i/>
        </w:rPr>
        <w:t xml:space="preserve"> planning process</w:t>
      </w:r>
      <w:r w:rsidRPr="00EF66BB">
        <w:rPr>
          <w:rFonts w:ascii="Times New Roman" w:hAnsi="Times New Roman" w:cs="Times New Roman"/>
        </w:rPr>
        <w:t xml:space="preserve">. </w:t>
      </w:r>
      <w:r>
        <w:rPr>
          <w:rFonts w:ascii="Times New Roman" w:hAnsi="Times New Roman" w:cs="Times New Roman"/>
        </w:rPr>
        <w:t>Therefore, it is important to consider the characteristics of strategic planning when evaluating the role of strategic choice in organi</w:t>
      </w:r>
      <w:r w:rsidR="00CE1EC1">
        <w:rPr>
          <w:rFonts w:ascii="Times New Roman" w:hAnsi="Times New Roman" w:cs="Times New Roman"/>
        </w:rPr>
        <w:t>s</w:t>
      </w:r>
      <w:r>
        <w:rPr>
          <w:rFonts w:ascii="Times New Roman" w:hAnsi="Times New Roman" w:cs="Times New Roman"/>
        </w:rPr>
        <w:t xml:space="preserve">ational effectiveness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Agenda","type":"book","volume":"43"},"uris":["http://www.mendeley.com/documents/?uuid=ddbf937a-425d-4050-949b-4c667b528f5b"]},{"id":"ITEM-2","itemData":{"DOI":"10.1016/0024-6301(94)90185-6","ISBN":"0024-6301","ISSN":"00246301","PMID":"9301938","abstract":"Planners have tended to blame the problems of so-called 'strategic planning' on a set of 'pitfalls'-notably the lack of top management support and organizational climates not congenial to planning. But planning may well have discouraged the very support its proponents claim to need, and its itself may have generated climates uncongenial to effective strategy making. The real problems may, therefore, lie deeper than these pitfalls, in a set of what can be called 'fallacies', notably about the capabilities of predicting discontinuities, about being able to detach strategists from the subjects of their strategy making, and about being able to formalize the strategy making process in the first place. Part one of this two part article thus concludes that 'strategic planning' ia an oxymoron. © 1994.","author":[{"dropping-particle":"","family":"Mintzberg","given":"Henry","non-dropping-particle":"","parse-names":false,"suffix":""}],"container-title":"Long Range Planning","id":"ITEM-2","issue":"3","issued":{"date-parts":[["1994"]]},"page":"12-21","title":"Rethinking strategic planning part I: Pitfalls and fallacies","type":"article-journal","volume":"27"},"uris":["http://www.mendeley.com/documents/?uuid=e10fc3e6-3400-4b6d-88c3-3d0eaefc7e6e"]},{"id":"ITEM-3","itemData":{"DOI":"10.1080/13540602.2011.580516","ISSN":"01432095","abstract":"This paper resolves the long-standing debate between the two dominant process schools in strategy. Analysis of the planning practices of 656 firms shows that formal planning and incrementalism both form part of 'good' strategic planning, especially in unstable environments. Environment neither moderates the need for formal planning nor the direction of the planning/performance relationship, but does moderate firm planning capabilities and planning flexibility. In unstable environments planning capabilities are far better developed and formal plans more amenable to change. The planning/performance relationship is, however, moderated by planning duration: at least four years of formal planning are required before external performance associations are noted. [ABSTRACT FROM AUTHOR]","author":[{"dropping-particle":"","family":"Brews","given":"Peter","non-dropping-particle":"","parse-names":false,"suffix":""},{"dropping-particle":"","family":"Hunt","given":"J","non-dropping-particle":"","parse-names":false,"suffix":""}],"container-title":"Strategic Management Journal","id":"ITEM-3","issue":"10","issued":{"date-parts":[["1999"]]},"page":"889-913","title":"Learning to plan and planning to learn:","type":"article-journal","volume":"913"},"uris":["http://www.mendeley.com/documents/?uuid=d8821ef1-e60a-4424-8c22-3485412f4fa4"]},{"id":"ITEM-4","itemData":{"DOI":"10.1002/smj","ISBN":"1097-0266","ISSN":"00014273","PMID":"31767271","author":[{"dropping-particle":"","family":"Arend","given":"R. J","non-dropping-particle":"","parse-names":false,"suffix":""},{"dropping-particle":"","family":"Zhao","given":"Y.L","non-dropping-particle":"","parse-names":false,"suffix":""},{"dropping-particle":"","family":"Song","given":"M","non-dropping-particle":"","parse-names":false,"suffix":""},{"dropping-particle":"","family":"Im","given":"S","non-dropping-particle":"","parse-names":false,"suffix":""}],"container-title":"Strategic Management Journal","id":"ITEM-4","issued":{"date-parts":[["2017"]]},"page":"1741-1752","title":"Strategic Planning as a Complex and Enabling Managerial Tool","type":"article-journal","volume":"38"},"uris":["http://www.mendeley.com/documents/?uuid=1fadb6bb-df87-49dc-82fa-10db81c7528e","http://www.mendeley.com/documents/?uuid=02deb6d6-895c-41fd-8b2a-bf8e5fd045c6"]}],"mendeley":{"formattedCitation":"(Arend et al., 2017; Brews and Hunt, 1999; Mintzberg, 1994; Wolf and Floyd, 2017)","plainTextFormattedCitation":"(Arend et al., 2017; Brews and Hunt, 1999; Mintzberg, 1994; Wolf and Floyd, 2017)","previouslyFormattedCitation":"(Arend et al., 2017; Brews and Hunt, 1999; Mintzberg, 1994; Wolf and Floyd, 2017)"},"properties":{"noteIndex":0},"schema":"https://github.com/citation-style-language/schema/raw/master/csl-citation.json"}</w:instrText>
      </w:r>
      <w:r>
        <w:rPr>
          <w:rFonts w:ascii="Times New Roman" w:hAnsi="Times New Roman" w:cs="Times New Roman"/>
        </w:rPr>
        <w:fldChar w:fldCharType="separate"/>
      </w:r>
      <w:r w:rsidRPr="0055220B">
        <w:rPr>
          <w:rFonts w:ascii="Times New Roman" w:hAnsi="Times New Roman" w:cs="Times New Roman"/>
          <w:noProof/>
        </w:rPr>
        <w:t>(Arend et al., 2017; Brews and Hunt, 1999; Mintzberg, 1994; Wolf and Floyd, 2017)</w:t>
      </w:r>
      <w:r>
        <w:rPr>
          <w:rFonts w:ascii="Times New Roman" w:hAnsi="Times New Roman" w:cs="Times New Roman"/>
        </w:rPr>
        <w:fldChar w:fldCharType="end"/>
      </w:r>
      <w:r>
        <w:rPr>
          <w:rFonts w:ascii="Times New Roman" w:hAnsi="Times New Roman" w:cs="Times New Roman"/>
        </w:rPr>
        <w:t>.</w:t>
      </w:r>
      <w:r w:rsidRPr="00EF66BB">
        <w:rPr>
          <w:rFonts w:ascii="Times New Roman" w:hAnsi="Times New Roman" w:cs="Times New Roman"/>
        </w:rPr>
        <w:t xml:space="preserve"> Specifically, it is argued that </w:t>
      </w:r>
      <w:r>
        <w:rPr>
          <w:rFonts w:ascii="Times New Roman" w:hAnsi="Times New Roman" w:cs="Times New Roman"/>
        </w:rPr>
        <w:t>one of the key contingencies that affects the realisation of strategic priorities is the breadth of formali</w:t>
      </w:r>
      <w:r w:rsidR="00CE1EC1">
        <w:rPr>
          <w:rFonts w:ascii="Times New Roman" w:hAnsi="Times New Roman" w:cs="Times New Roman"/>
        </w:rPr>
        <w:t>s</w:t>
      </w:r>
      <w:r>
        <w:rPr>
          <w:rFonts w:ascii="Times New Roman" w:hAnsi="Times New Roman" w:cs="Times New Roman"/>
        </w:rPr>
        <w:t xml:space="preserve">ed strategic planning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Agenda","type":"book","volume":"43"},"uris":["http://www.mendeley.com/documents/?uuid=ddbf937a-425d-4050-949b-4c667b528f5b"]},{"id":"ITEM-2","itemData":{"DOI":"10.1080/13540602.2011.580516","ISSN":"01432095","abstract":"This paper resolves the long-standing debate between the two dominant process schools in strategy. Analysis of the planning practices of 656 firms shows that formal planning and incrementalism both form part of 'good' strategic planning, especially in unstable environments. Environment neither moderates the need for formal planning nor the direction of the planning/performance relationship, but does moderate firm planning capabilities and planning flexibility. In unstable environments planning capabilities are far better developed and formal plans more amenable to change. The planning/performance relationship is, however, moderated by planning duration: at least four years of formal planning are required before external performance associations are noted. [ABSTRACT FROM AUTHOR]","author":[{"dropping-particle":"","family":"Brews","given":"Peter","non-dropping-particle":"","parse-names":false,"suffix":""},{"dropping-particle":"","family":"Hunt","given":"J","non-dropping-particle":"","parse-names":false,"suffix":""}],"container-title":"Strategic Management Journal","id":"ITEM-2","issue":"10","issued":{"date-parts":[["1999"]]},"page":"889-913","title":"Learning to plan and planning to learn:","type":"article-journal","volume":"913"},"uris":["http://www.mendeley.com/documents/?uuid=d8821ef1-e60a-4424-8c22-3485412f4fa4"]}],"mendeley":{"formattedCitation":"(Brews and Hunt, 1999; Wolf and Floyd, 2017)","plainTextFormattedCitation":"(Brews and Hunt, 1999; Wolf and Floyd, 2017)","previouslyFormattedCitation":"(Brews and Hunt, 1999; Wolf and Floyd, 2017)"},"properties":{"noteIndex":0},"schema":"https://github.com/citation-style-language/schema/raw/master/csl-citation.json"}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(Brews and Hunt, 1999; Wolf and Floyd, 2017)</w:t>
      </w:r>
      <w:r>
        <w:rPr>
          <w:rFonts w:ascii="Times New Roman" w:hAnsi="Times New Roman" w:cs="Times New Roman"/>
        </w:rPr>
        <w:fldChar w:fldCharType="end"/>
      </w:r>
      <w:r w:rsidRPr="00EF66BB">
        <w:rPr>
          <w:rFonts w:ascii="Times New Roman" w:hAnsi="Times New Roman" w:cs="Times New Roman"/>
        </w:rPr>
        <w:t xml:space="preserve">. Within this broader literature, strategic plans are conceptualised as </w:t>
      </w:r>
      <w:r w:rsidRPr="00EF66BB">
        <w:rPr>
          <w:rFonts w:ascii="Times New Roman" w:hAnsi="Times New Roman" w:cs="Times New Roman"/>
        </w:rPr>
        <w:lastRenderedPageBreak/>
        <w:t xml:space="preserve">“tools that are used by actors to manifest and communicate strategy as well as to control its implementation”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locator":"1772","uris":["http://www.mendeley.com/documents/?uuid=ddbf937a-425d-4050-949b-4c667b528f5b"]},{"id":"ITEM-2","itemData":{"DOI":"10.1016/0024-6301(94)90185-6","ISBN":"0024-6301","ISSN":"00246301","PMID":"9301938","abstract":"Planners have tended to blame the problems of so-called 'strategic planning' on a set of 'pitfalls'-notably the lack of top management support and organizational climates not congenial to planning. But planning may well have discouraged the very support its proponents claim to need, and its itself may have generated climates uncongenial to effective strategy making. The real problems may, therefore, lie deeper than these pitfalls, in a set of what can be called 'fallacies', notably about the capabilities of predicting discontinuities, about being able to detach strategists from the subjects of their strategy making, and about being able to formalize the strategy making process in the first place. Part one of this two part article thus concludes that 'strategic planning' ia an oxymoron. © 1994.","author":[{"dropping-particle":"","family":"Mintzberg","given":"Henry","non-dropping-particle":"","parse-names":false,"suffix":""}],"container-title":"Long Range Planning","id":"ITEM-2","issue":"3","issued":{"date-parts":[["1994"]]},"page":"12-21","title":"Rethinking strategic planning part I: Pitfalls and fallacies","type":"article-journal","volume":"27"},"uris":["http://www.mendeley.com/documents/?uuid=e10fc3e6-3400-4b6d-88c3-3d0eaefc7e6e"]}],"mendeley":{"formattedCitation":"(Mintzberg, 1994; Wolf and Floyd, 2017, p. 1772)","plainTextFormattedCitation":"(Mintzberg, 1994; Wolf and Floyd, 2017, p. 1772)","previouslyFormattedCitation":"(Mintzberg, 1994; Wolf and Floyd, 2017, p. 1772)"},"properties":{"noteIndex":0},"schema":"https://github.com/citation-style-language/schema/raw/master/csl-citation.json"}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(Mintzberg, 1994; Wolf and Floyd, 2017, p. 1772)</w:t>
      </w:r>
      <w:r>
        <w:rPr>
          <w:rFonts w:ascii="Times New Roman" w:hAnsi="Times New Roman" w:cs="Times New Roman"/>
        </w:rPr>
        <w:fldChar w:fldCharType="end"/>
      </w:r>
      <w:r w:rsidRPr="00EF66BB">
        <w:rPr>
          <w:rFonts w:ascii="Times New Roman" w:hAnsi="Times New Roman" w:cs="Times New Roman"/>
        </w:rPr>
        <w:t>. A recent review of the strategic planning literature suggests a generally positive relationship between</w:t>
      </w:r>
      <w:r>
        <w:rPr>
          <w:rFonts w:ascii="Times New Roman" w:hAnsi="Times New Roman" w:cs="Times New Roman"/>
        </w:rPr>
        <w:t xml:space="preserve"> breadth of</w:t>
      </w:r>
      <w:r w:rsidRPr="00EF66BB">
        <w:rPr>
          <w:rFonts w:ascii="Times New Roman" w:hAnsi="Times New Roman" w:cs="Times New Roman"/>
        </w:rPr>
        <w:t xml:space="preserve"> planning and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uris":["http://www.mendeley.com/documents/?uuid=ddbf937a-425d-4050-949b-4c667b528f5b"]},{"id":"ITEM-2","itemData":{"DOI":"10.1002/smj","ISBN":"1097-0266","ISSN":"00014273","PMID":"31767271","author":[{"dropping-particle":"","family":"Arend","given":"R. J","non-dropping-particle":"","parse-names":false,"suffix":""},{"dropping-particle":"","family":"Zhao","given":"Y.L","non-dropping-particle":"","parse-names":false,"suffix":""},{"dropping-particle":"","family":"Song","given":"M","non-dropping-particle":"","parse-names":false,"suffix":""},{"dropping-particle":"","family":"Im","given":"S","non-dropping-particle":"","parse-names":false,"suffix":""}],"container-title":"Strategic Management Journal","id":"ITEM-2","issued":{"date-parts":[["2017"]]},"page":"1741-1752","title":"Strategic Planning as a Complex and Enabling Managerial Tool","type":"article-journal","volume":"38"},"uris":["http://www.mendeley.com/documents/?uuid=02deb6d6-895c-41fd-8b2a-bf8e5fd045c6","http://www.mendeley.com/documents/?uuid=1fadb6bb-df87-49dc-82fa-10db81c7528e"]}],"mendeley":{"formattedCitation":"(Arend et al., 2017; Wolf and Floyd, 2017)","plainTextFormattedCitation":"(Arend et al., 2017; Wolf and Floyd, 2017)","previouslyFormattedCitation":"(Arend et al., 2017; Wolf and Floyd, 2017)"},"properties":{"noteIndex":0},"schema":"https://github.com/citation-style-language/schema/raw/master/csl-citation.json"}</w:instrText>
      </w:r>
      <w:r>
        <w:rPr>
          <w:rFonts w:ascii="Times New Roman" w:hAnsi="Times New Roman" w:cs="Times New Roman"/>
        </w:rPr>
        <w:fldChar w:fldCharType="separate"/>
      </w:r>
      <w:r w:rsidRPr="0055220B">
        <w:rPr>
          <w:rFonts w:ascii="Times New Roman" w:hAnsi="Times New Roman" w:cs="Times New Roman"/>
          <w:noProof/>
        </w:rPr>
        <w:t>(Arend et al., 2017; Wolf and Floyd, 2017)</w:t>
      </w:r>
      <w:r>
        <w:rPr>
          <w:rFonts w:ascii="Times New Roman" w:hAnsi="Times New Roman" w:cs="Times New Roman"/>
        </w:rPr>
        <w:fldChar w:fldCharType="end"/>
      </w:r>
      <w:r w:rsidRPr="00EF66BB">
        <w:rPr>
          <w:rFonts w:ascii="Times New Roman" w:hAnsi="Times New Roman" w:cs="Times New Roman"/>
        </w:rPr>
        <w:t xml:space="preserve">. </w:t>
      </w:r>
      <w:r>
        <w:rPr>
          <w:rFonts w:ascii="Times New Roman" w:hAnsi="Times New Roman" w:cs="Times New Roman"/>
        </w:rPr>
        <w:t>I</w:t>
      </w:r>
      <w:r w:rsidRPr="00EF66BB">
        <w:rPr>
          <w:rFonts w:ascii="Times New Roman" w:hAnsi="Times New Roman" w:cs="Times New Roman"/>
        </w:rPr>
        <w:t xml:space="preserve">t is highlighted that strategic planning </w:t>
      </w:r>
      <w:r>
        <w:rPr>
          <w:rFonts w:ascii="Times New Roman" w:hAnsi="Times New Roman" w:cs="Times New Roman"/>
        </w:rPr>
        <w:t>influences</w:t>
      </w:r>
      <w:r w:rsidRPr="00EF66BB">
        <w:rPr>
          <w:rFonts w:ascii="Times New Roman" w:hAnsi="Times New Roman" w:cs="Times New Roman"/>
        </w:rPr>
        <w:t xml:space="preserve"> organisational performance by fostering the development of shared understandings of organisational strategy which enhances organisational commitment and contributes towards realisation of strategic ambitions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Agenda","type":"book","volume":"43"},"uris":["http://www.mendeley.com/documents/?uuid=ddbf937a-425d-4050-949b-4c667b528f5b"]}],"mendeley":{"formattedCitation":"(Wolf and Floyd, 2017)","plainTextFormattedCitation":"(Wolf and Floyd, 2017)","previouslyFormattedCitation":"(Wolf and Floyd, 2017)"},"properties":{"noteIndex":0},"schema":"https://github.com/citation-style-language/schema/raw/master/csl-citation.json"}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(Wolf and Floyd, 2017)</w:t>
      </w:r>
      <w:r>
        <w:rPr>
          <w:rFonts w:ascii="Times New Roman" w:hAnsi="Times New Roman" w:cs="Times New Roman"/>
        </w:rPr>
        <w:fldChar w:fldCharType="end"/>
      </w:r>
      <w:r w:rsidRPr="00EF66BB">
        <w:rPr>
          <w:rFonts w:ascii="Times New Roman" w:hAnsi="Times New Roman" w:cs="Times New Roman"/>
        </w:rPr>
        <w:t>. Although the value of formal planning has been questioned extensively over the past 20 years</w:t>
      </w:r>
      <w:r>
        <w:rPr>
          <w:rFonts w:ascii="Times New Roman" w:hAnsi="Times New Roman" w:cs="Times New Roman"/>
        </w:rPr>
        <w:t>,</w:t>
      </w:r>
      <w:r w:rsidRPr="00EF66BB">
        <w:rPr>
          <w:rFonts w:ascii="Times New Roman" w:hAnsi="Times New Roman" w:cs="Times New Roman"/>
        </w:rPr>
        <w:t xml:space="preserve"> </w:t>
      </w:r>
      <w:r>
        <w:rPr>
          <w:rFonts w:ascii="Times New Roman" w:hAnsi="Times New Roman" w:cs="Times New Roman"/>
        </w:rPr>
        <w:t>s</w:t>
      </w:r>
      <w:r w:rsidRPr="00EF66BB">
        <w:rPr>
          <w:rFonts w:ascii="Times New Roman" w:hAnsi="Times New Roman" w:cs="Times New Roman"/>
        </w:rPr>
        <w:t xml:space="preserve">trategic planning has </w:t>
      </w:r>
      <w:r>
        <w:rPr>
          <w:rFonts w:ascii="Times New Roman" w:hAnsi="Times New Roman" w:cs="Times New Roman"/>
        </w:rPr>
        <w:t xml:space="preserve">recently been </w:t>
      </w:r>
      <w:r w:rsidRPr="00EF66BB">
        <w:rPr>
          <w:rFonts w:ascii="Times New Roman" w:hAnsi="Times New Roman" w:cs="Times New Roman"/>
        </w:rPr>
        <w:t>re-conceptualised as a mechanism for integrating levels of management, facilitating the co-ordination of centralised an</w:t>
      </w:r>
      <w:r>
        <w:rPr>
          <w:rFonts w:ascii="Times New Roman" w:hAnsi="Times New Roman" w:cs="Times New Roman"/>
        </w:rPr>
        <w:t>d</w:t>
      </w:r>
      <w:r w:rsidRPr="00EF66BB">
        <w:rPr>
          <w:rFonts w:ascii="Times New Roman" w:hAnsi="Times New Roman" w:cs="Times New Roman"/>
        </w:rPr>
        <w:t xml:space="preserve"> peripheral sources of strategy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Agenda","type":"book","volume":"43"},"locator":"1766","uris":["http://www.mendeley.com/documents/?uuid=ddbf937a-425d-4050-949b-4c667b528f5b"]}],"mendeley":{"formattedCitation":"(Wolf and Floyd, 2017, p. 1766)","plainTextFormattedCitation":"(Wolf and Floyd, 2017, p. 1766)","previouslyFormattedCitation":"(Wolf and Floyd, 2017, p. 1766)"},"properties":{"noteIndex":0},"schema":"https://github.com/citation-style-language/schema/raw/master/csl-citation.json"}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(Wolf and Floyd, 2017, p. 1766)</w:t>
      </w:r>
      <w:r>
        <w:rPr>
          <w:rFonts w:ascii="Times New Roman" w:hAnsi="Times New Roman" w:cs="Times New Roman"/>
        </w:rPr>
        <w:fldChar w:fldCharType="end"/>
      </w:r>
      <w:r w:rsidRPr="00EF66BB">
        <w:rPr>
          <w:rFonts w:ascii="Times New Roman" w:hAnsi="Times New Roman" w:cs="Times New Roman"/>
        </w:rPr>
        <w:t xml:space="preserve">. </w:t>
      </w:r>
    </w:p>
    <w:p w14:paraId="6B49A9A6" w14:textId="77777777" w:rsidR="00844C46" w:rsidRPr="00EF66BB" w:rsidRDefault="00844C46" w:rsidP="00141231">
      <w:pPr>
        <w:spacing w:line="360" w:lineRule="auto"/>
        <w:rPr>
          <w:rFonts w:ascii="Times New Roman" w:hAnsi="Times New Roman" w:cs="Times New Roman"/>
        </w:rPr>
      </w:pPr>
    </w:p>
    <w:p w14:paraId="03FE3088" w14:textId="1C9B38C7"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rPr>
        <w:t xml:space="preserve">This conception  of planning is particularly significant in the UK </w:t>
      </w:r>
      <w:r>
        <w:rPr>
          <w:rFonts w:ascii="Times New Roman" w:hAnsi="Times New Roman" w:cs="Times New Roman"/>
        </w:rPr>
        <w:t>u</w:t>
      </w:r>
      <w:r w:rsidRPr="00EF66BB">
        <w:rPr>
          <w:rFonts w:ascii="Times New Roman" w:hAnsi="Times New Roman" w:cs="Times New Roman"/>
        </w:rPr>
        <w:t>niversity context</w:t>
      </w:r>
      <w:r>
        <w:rPr>
          <w:rFonts w:ascii="Times New Roman" w:hAnsi="Times New Roman" w:cs="Times New Roman"/>
        </w:rPr>
        <w:t xml:space="preserve"> where,</w:t>
      </w:r>
      <w:r w:rsidRPr="00EF66BB">
        <w:rPr>
          <w:rFonts w:ascii="Times New Roman" w:hAnsi="Times New Roman" w:cs="Times New Roman"/>
        </w:rPr>
        <w:t xml:space="preserve"> over the past 30 years</w:t>
      </w:r>
      <w:r>
        <w:rPr>
          <w:rFonts w:ascii="Times New Roman" w:hAnsi="Times New Roman" w:cs="Times New Roman"/>
        </w:rPr>
        <w:t>,</w:t>
      </w:r>
      <w:r w:rsidRPr="00EF66BB">
        <w:rPr>
          <w:rFonts w:ascii="Times New Roman" w:hAnsi="Times New Roman" w:cs="Times New Roman"/>
        </w:rPr>
        <w:t xml:space="preserve"> decision</w:t>
      </w:r>
      <w:r>
        <w:rPr>
          <w:rFonts w:ascii="Times New Roman" w:hAnsi="Times New Roman" w:cs="Times New Roman"/>
        </w:rPr>
        <w:t>-</w:t>
      </w:r>
      <w:r w:rsidRPr="00EF66BB">
        <w:rPr>
          <w:rFonts w:ascii="Times New Roman" w:hAnsi="Times New Roman" w:cs="Times New Roman"/>
        </w:rPr>
        <w:t xml:space="preserve">making </w:t>
      </w:r>
      <w:r>
        <w:rPr>
          <w:rFonts w:ascii="Times New Roman" w:hAnsi="Times New Roman" w:cs="Times New Roman"/>
        </w:rPr>
        <w:t xml:space="preserve">has </w:t>
      </w:r>
      <w:r w:rsidRPr="00EF66BB">
        <w:rPr>
          <w:rFonts w:ascii="Times New Roman" w:hAnsi="Times New Roman" w:cs="Times New Roman"/>
        </w:rPr>
        <w:t>shift</w:t>
      </w:r>
      <w:r>
        <w:rPr>
          <w:rFonts w:ascii="Times New Roman" w:hAnsi="Times New Roman" w:cs="Times New Roman"/>
        </w:rPr>
        <w:t>ed</w:t>
      </w:r>
      <w:r w:rsidRPr="00EF66BB">
        <w:rPr>
          <w:rFonts w:ascii="Times New Roman" w:hAnsi="Times New Roman" w:cs="Times New Roman"/>
        </w:rPr>
        <w:t xml:space="preserve"> from a participative ‘collegiate’ model towards a hierarchical ‘managerialist’ model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century","type":"article-journal","volume":"39"},"uris":["http://www.mendeley.com/documents/?uuid=24152560-a926-4d23-9fe1-dc68becea4bb"]}],"mendeley":{"formattedCitation":"(Burnes et al., 2014)","plainTextFormattedCitation":"(Burnes et al., 2014)","previouslyFormattedCitation":"(Burnes et al., 2014)"},"properties":{"noteIndex":0},"schema":"https://github.com/citation-style-language/schema/raw/master/csl-citation.json"}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(Burnes et al., 2014)</w:t>
      </w:r>
      <w:r>
        <w:rPr>
          <w:rFonts w:ascii="Times New Roman" w:hAnsi="Times New Roman" w:cs="Times New Roman"/>
        </w:rPr>
        <w:fldChar w:fldCharType="end"/>
      </w:r>
      <w:r w:rsidRPr="00EF66BB">
        <w:rPr>
          <w:rFonts w:ascii="Times New Roman" w:hAnsi="Times New Roman" w:cs="Times New Roman"/>
        </w:rPr>
        <w:t>. This managerial</w:t>
      </w:r>
      <w:r>
        <w:rPr>
          <w:rFonts w:ascii="Times New Roman" w:hAnsi="Times New Roman" w:cs="Times New Roman"/>
        </w:rPr>
        <w:t>i</w:t>
      </w:r>
      <w:r w:rsidRPr="00EF66BB">
        <w:rPr>
          <w:rFonts w:ascii="Times New Roman" w:hAnsi="Times New Roman" w:cs="Times New Roman"/>
        </w:rPr>
        <w:t xml:space="preserve">st model is reflective of classical rationalist approaches to strategic planning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{"citationItems":[{"id":"ITEM-1","itemData":{"DOI":"10.1080/13540602.2011.580516","ISSN":"01432095","abstract":"This paper resolves the long-standing debate between the two dominant process schools in strategy. Analysis of the planning practices of 656 firms shows that formal planning and incrementalism both form part of 'good' strategic planning, especially in unstable environments. Environment neither moderates the need for formal planning nor the direction of the planning/performance relationship, but does moderate firm planning capabilities and planning flexibility. In unstable environments planning capabilities are far better developed and formal plans more amenable to change. The planning/performance relationship is, however, moderated by planning duration: at least four years of formal planning are required before external performance associations are noted. [ABSTRACT FROM AUTHOR]","author":[{"dropping-particle":"","family":"Brews","given":"Peter","non-dropping-particle":"","parse-names":false,"suffix":""},{"dropping-particle":"","family":"Hunt","given":"J","non-dropping-particle":"","parse-names":false,"suffix":""}],"container-title":"Strategic Management Journal","id":"ITEM-1","issue":"10","issued":{"date-parts":[["1999"]]},"page":"889-913","title":"Learning to plan and planning to learn:","type":"article-journal","volume":"913"},"uris":["http://www.mendeley.com/documents/?uuid=d8821ef1-e60a-4424-8c22-3485412f4fa4"]}],"mendeley":{"formattedCitation":"(Brews and Hunt, 1999)","plainTextFormattedCitation":"(Brews and Hunt, 1999)","previouslyFormattedCitation":"(Brews and Hunt, 1999)"},"properties":{"noteIndex":0},"schema":"https://github.com/citation-style-language/schema/raw/master/csl-citation.json"}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(Brews and Hunt, 1999)</w:t>
      </w:r>
      <w:r>
        <w:rPr>
          <w:rFonts w:ascii="Times New Roman" w:hAnsi="Times New Roman" w:cs="Times New Roman"/>
        </w:rPr>
        <w:fldChar w:fldCharType="end"/>
      </w:r>
      <w:r w:rsidRPr="00EF66BB">
        <w:rPr>
          <w:rFonts w:ascii="Times New Roman" w:hAnsi="Times New Roman" w:cs="Times New Roman"/>
        </w:rPr>
        <w:t xml:space="preserve">, whereby decision-making authority is concentrated in a small </w:t>
      </w:r>
      <w:r>
        <w:rPr>
          <w:rFonts w:ascii="Times New Roman" w:hAnsi="Times New Roman" w:cs="Times New Roman"/>
        </w:rPr>
        <w:t xml:space="preserve">group </w:t>
      </w:r>
      <w:r w:rsidRPr="00EF66BB">
        <w:rPr>
          <w:rFonts w:ascii="Times New Roman" w:hAnsi="Times New Roman" w:cs="Times New Roman"/>
        </w:rPr>
        <w:t xml:space="preserve">of senior university managers who set strategic priorities for their respective institutions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{"citationItems":[{"id":"ITEM-1","itemData":{"DOI":"10.1007/BF02354082","ISSN":"13583883","abstract":"No abstract - interesting article about leadership and academic attitudes to it.","author":[{"dropping-particle":"","family":"Dearlove","given":"John","non-dropping-particle":"","parse-names":false,"suffix":""}],"container-title":"Tertiary Education and Management","id":"ITEM-1","issue":"2","issued":{"date-parts":[["1995"]]},"page":"161-169","title":"Collegiality, managerialism and leadership in English universities","type":"article-journal","volume":"1"},"uris":["http://www.mendeley.com/documents/?uuid=24d9a88e-7ec5-4a9c-b53b-9f274d09653e"]},{"id":"ITEM-2","itemData":{"DOI":"10.1080/1360080X.2017.1354754","ISSN":"14699508","abstract":"This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Management","id":"ITEM-2","issue":"5","issued":{"date-parts":[["2017"]]},"page":"540-558","publisher":"Routledge","title":"Management and leadership in UK universities: exploring the possibilities of change","type":"article-journal","volume":"39"},"uris":["http://www.mendeley.com/documents/?uuid=53ffff0f-fb1a-477d-aae5-a1036f8cdc58"]}],"mendeley":{"formattedCitation":"(Dearlove, 1995; Waring, 2017)","plainTextFormattedCitation":"(Dearlove, 1995; Waring, 2017)","previouslyFormattedCitation":"(Dearlove, 1995; Waring, 2017)"},"properties":{"noteIndex":0},"schema":"https://github.com/citation-style-language/schema/raw/master/csl-citation.json"}</w:instrText>
      </w:r>
      <w:r>
        <w:rPr>
          <w:rFonts w:ascii="Times New Roman" w:hAnsi="Times New Roman" w:cs="Times New Roman"/>
        </w:rPr>
        <w:fldChar w:fldCharType="separate"/>
      </w:r>
      <w:r w:rsidRPr="00226E24">
        <w:rPr>
          <w:rFonts w:ascii="Times New Roman" w:hAnsi="Times New Roman" w:cs="Times New Roman"/>
          <w:noProof/>
        </w:rPr>
        <w:t>(Dearlove, 1995; Waring, 2017)</w:t>
      </w:r>
      <w:r>
        <w:rPr>
          <w:rFonts w:ascii="Times New Roman" w:hAnsi="Times New Roman" w:cs="Times New Roman"/>
        </w:rPr>
        <w:fldChar w:fldCharType="end"/>
      </w:r>
      <w:r w:rsidRPr="00EF66BB">
        <w:rPr>
          <w:rFonts w:ascii="Times New Roman" w:hAnsi="Times New Roman" w:cs="Times New Roman"/>
        </w:rPr>
        <w:t xml:space="preserve">. Mirroring the critiques of classical rationalism within the strategy literature, this mode of planning has been questioned as strategic decisions taken by senior university administrators are short-term, transactional, inconsistent and bureaucratic in nature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century","type":"article-journal","volume":"39"},"uris":["http://www.mendeley.com/documents/?uuid=24152560-a926-4d23-9fe1-dc68becea4bb"]},{"id":"ITEM-2","itemData":{"author":[{"dropping-particle":"","family":"Pounder","given":"James S","non-dropping-particle":"","parse-names":false,"suffix":""}],"container-title":"Leadership &amp; Organization Development Journal","id":"ITEM-2","issue":"6","issued":{"date-parts":[["2001"]]},"page":"281-290","title":"'New leadership' and university organisational effectiveness : exploring the relationship","type":"article-journal","volume":"22"},"uris":["http://www.mendeley.com/documents/?uuid=bc52ea54-914e-44c8-8005-7bc989b84e83"]},{"id":"ITEM-3","itemData":{"DOI":"10.1080/1360080X.2017.1354754","ISSN":"14699508","abstract":"This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Management","id":"ITEM-3","issue":"5","issued":{"date-parts":[["2017"]]},"page":"540-558","publisher":"Routledge","title":"Management and leadership in UK universities: exploring the possibilities of change","type":"article-journal","volume":"39"},"uris":["http://www.mendeley.com/documents/?uuid=53ffff0f-fb1a-477d-aae5-a1036f8cdc58"]},{"id":"ITEM-4","itemData":{"author":[{"dropping-particle":"","family":"Smith","given":"D","non-dropping-particle":"","parse-names":false,"suffix":""},{"dropping-particle":"","family":"Adams","given":"J","non-dropping-particle":"","parse-names":false,"suffix":""},{"dropping-particle":"","family":"Mount","given":"D","non-dropping-particle":"","parse-names":false,"suffix":""}],"id":"ITEM-4","issued":{"date-parts":[["2007"]]},"publisher":"Leadership Foundation for Higher Education","publisher-place":"London","title":"UK Universities and executive officers: The changing role of pro-vice chancellors- final report","type":"article"},"uris":["http://www.mendeley.com/documents/?uuid=5c7d47d3-f321-45e8-b166-7bd0b6f169ff"]}],"mendeley":{"formattedCitation":"(Burnes et al., 2014; Pounder, 2001; Smith et al., 2007; Waring, 2017)","plainTextFormattedCitation":"(Burnes et al., 2014; Pounder, 2001; Smith et al., 2007; Waring, 2017)","previouslyFormattedCitation":"(Burnes et al., 2014; Pounder, 2001; Smith et al., 2007; Waring, 2017)"},"properties":{"noteIndex":0},"schema":"https://github.com/citation-style-language/schema/raw/master/csl-citation.json"}</w:instrText>
      </w:r>
      <w:r>
        <w:rPr>
          <w:rFonts w:ascii="Times New Roman" w:hAnsi="Times New Roman" w:cs="Times New Roman"/>
        </w:rPr>
        <w:fldChar w:fldCharType="separate"/>
      </w:r>
      <w:r w:rsidRPr="00456D06">
        <w:rPr>
          <w:rFonts w:ascii="Times New Roman" w:hAnsi="Times New Roman" w:cs="Times New Roman"/>
          <w:noProof/>
        </w:rPr>
        <w:t>(Burnes et al., 2014; Pounder, 2001; Smith et al., 2007; Waring, 2017)</w:t>
      </w:r>
      <w:r>
        <w:rPr>
          <w:rFonts w:ascii="Times New Roman" w:hAnsi="Times New Roman" w:cs="Times New Roman"/>
        </w:rPr>
        <w:fldChar w:fldCharType="end"/>
      </w:r>
      <w:r w:rsidRPr="00EF66BB">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century","type":"article-journal","volume":"39"},"uris":["http://www.mendeley.com/documents/?uuid=24152560-a926-4d23-9fe1-dc68becea4bb"]}],"mendeley":{"formattedCitation":"(Burnes et al., 2014)","manualFormatting":"Burnes et al (2014)","plainTextFormattedCitation":"(Burnes et al., 2014)","previouslyFormattedCitation":"(Burnes et al., 2014)"},"properties":{"noteIndex":0},"schema":"https://github.com/citation-style-language/schema/raw/master/csl-citation.json"}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Burnes et al</w:t>
      </w:r>
      <w:r w:rsidRPr="00C06E51">
        <w:rPr>
          <w:rFonts w:ascii="Times New Roman" w:hAnsi="Times New Roman" w:cs="Times New Roman"/>
          <w:noProof/>
        </w:rPr>
        <w:t xml:space="preserve"> </w:t>
      </w:r>
      <w:r>
        <w:rPr>
          <w:rFonts w:ascii="Times New Roman" w:hAnsi="Times New Roman" w:cs="Times New Roman"/>
          <w:noProof/>
        </w:rPr>
        <w:t>(</w:t>
      </w:r>
      <w:r w:rsidRPr="00C06E51">
        <w:rPr>
          <w:rFonts w:ascii="Times New Roman" w:hAnsi="Times New Roman" w:cs="Times New Roman"/>
          <w:noProof/>
        </w:rPr>
        <w:t>2014)</w:t>
      </w:r>
      <w:r>
        <w:rPr>
          <w:rFonts w:ascii="Times New Roman" w:hAnsi="Times New Roman" w:cs="Times New Roman"/>
        </w:rPr>
        <w:fldChar w:fldCharType="end"/>
      </w:r>
      <w:r w:rsidRPr="00EF66BB">
        <w:rPr>
          <w:rFonts w:ascii="Times New Roman" w:hAnsi="Times New Roman" w:cs="Times New Roman"/>
        </w:rPr>
        <w:t xml:space="preserve"> advocate an alternative approach to strategy that they term ‘new collegiality’, which attempts to reconcile the need for centralised strategic planning, with local, </w:t>
      </w:r>
      <w:r>
        <w:rPr>
          <w:rFonts w:ascii="Times New Roman" w:hAnsi="Times New Roman" w:cs="Times New Roman"/>
        </w:rPr>
        <w:t>d</w:t>
      </w:r>
      <w:r w:rsidRPr="00EF66BB">
        <w:rPr>
          <w:rFonts w:ascii="Times New Roman" w:hAnsi="Times New Roman" w:cs="Times New Roman"/>
        </w:rPr>
        <w:t xml:space="preserve">epartmental input (Bryman, 2007; Waring, 2017). Furthermore, they suggest that if universities are to be ‘entrepreneurial’ </w:t>
      </w:r>
      <w:r>
        <w:rPr>
          <w:rFonts w:ascii="Times New Roman" w:hAnsi="Times New Roman" w:cs="Times New Roman"/>
        </w:rPr>
        <w:fldChar w:fldCharType="begin" w:fldLock="1"/>
      </w:r>
      <w:r>
        <w:rPr>
          <w:rFonts w:ascii="Times New Roman" w:hAnsi="Times New Roman" w:cs="Times New Roman"/>
        </w:rPr>
        <w:instrText>ADDIN CSL_CITATION {"citationItems":[{"id":"ITEM-1","itemData":{"DOI":"10.1023/A:1026276308287","ISBN":"0539-0184","ISSN":"01389130","PMID":"604","abstract":"Innovation is increasingly based upon a \"Triple Helix\" of university-industry-government interactions. The increased importance of knowledge and the role of the university in incubation of technology-based firms has given it a more prominent place in the institutional firmament. The entrepreneurial university takes a proactive stance in putting knowledge to use and in broadening the input into the creation of academic knowledge. Thus it operates according to an interactive rather than a linear model of innovation. As firms raise their technological level, they move closer to an academic model, engaging in higher levels of training and in sharing of knowledge. Government acts as a public entrepreneur and venture capitalist in addition to its traditional regulatory role in setting the rules of the game. Moving beyond product development, innovation then becomes an endogenous process of \"taking the role of the other\",, encouraging hybridization among the institutional spheres.","author":[{"dropping-particle":"","family":"Etzkowitz","given":"Henry","non-dropping-particle":"","parse-names":false,"suffix":""}],"container-title":"Social Science Information","id":"ITEM-1","issue":"3","issued":{"date-parts":[["2003"]]},"page":"293-337","title":"Innovation in Innovation: The Triple Helix of university-industry-government relations","type":"article-journal","volume":"42"},"uris":["http://www.mendeley.com/documents/?uuid=3b54ad00-09b8-4154-ad87-829acf20d6a8"]}],"mendeley":{"formattedCitation":"(Etzkowitz, 2003)","plainTextFormattedCitation":"(Etzkowitz, 2003)","previouslyFormattedCitation":"(Etzkowitz, 2003)"},"properties":{"noteIndex":0},"schema":"https://github.com/citation-style-language/schema/raw/master/csl-citation.json"}</w:instrText>
      </w:r>
      <w:r>
        <w:rPr>
          <w:rFonts w:ascii="Times New Roman" w:hAnsi="Times New Roman" w:cs="Times New Roman"/>
        </w:rPr>
        <w:fldChar w:fldCharType="separate"/>
      </w:r>
      <w:r w:rsidRPr="00456D06">
        <w:rPr>
          <w:rFonts w:ascii="Times New Roman" w:hAnsi="Times New Roman" w:cs="Times New Roman"/>
          <w:noProof/>
        </w:rPr>
        <w:t>(Etzkowitz, 2003)</w:t>
      </w:r>
      <w:r>
        <w:rPr>
          <w:rFonts w:ascii="Times New Roman" w:hAnsi="Times New Roman" w:cs="Times New Roman"/>
        </w:rPr>
        <w:fldChar w:fldCharType="end"/>
      </w:r>
      <w:r w:rsidRPr="00EF66BB">
        <w:rPr>
          <w:rFonts w:ascii="Times New Roman" w:hAnsi="Times New Roman" w:cs="Times New Roman"/>
        </w:rPr>
        <w:t xml:space="preserve"> then preoccupation with ‘hard’ managerialism focused on centralised decision-making needs to give way to a more participative, collegiate mode of planning. Based on these disparate strands of literature, it </w:t>
      </w:r>
      <w:r>
        <w:rPr>
          <w:rFonts w:ascii="Times New Roman" w:hAnsi="Times New Roman" w:cs="Times New Roman"/>
        </w:rPr>
        <w:t>is</w:t>
      </w:r>
      <w:r w:rsidRPr="00EF66BB">
        <w:rPr>
          <w:rFonts w:ascii="Times New Roman" w:hAnsi="Times New Roman" w:cs="Times New Roman"/>
        </w:rPr>
        <w:t xml:space="preserve"> argued that </w:t>
      </w:r>
      <w:r w:rsidRPr="00EF66BB">
        <w:rPr>
          <w:rFonts w:ascii="Times New Roman" w:hAnsi="Times New Roman" w:cs="Times New Roman"/>
          <w:i/>
        </w:rPr>
        <w:t>strategic planning</w:t>
      </w:r>
      <w:r w:rsidRPr="00EF66BB">
        <w:rPr>
          <w:rFonts w:ascii="Times New Roman" w:hAnsi="Times New Roman" w:cs="Times New Roman"/>
        </w:rPr>
        <w:t xml:space="preserve"> can play an important role in the relationship between university strate</w:t>
      </w:r>
      <w:r>
        <w:rPr>
          <w:rFonts w:ascii="Times New Roman" w:hAnsi="Times New Roman" w:cs="Times New Roman"/>
        </w:rPr>
        <w:t>gic choices</w:t>
      </w:r>
      <w:r w:rsidRPr="00EF66BB">
        <w:rPr>
          <w:rFonts w:ascii="Times New Roman" w:hAnsi="Times New Roman" w:cs="Times New Roman"/>
        </w:rPr>
        <w:t xml:space="preserve"> and technology transfer effectiveness. </w:t>
      </w:r>
      <w:r>
        <w:rPr>
          <w:rFonts w:ascii="Times New Roman" w:hAnsi="Times New Roman" w:cs="Times New Roman"/>
        </w:rPr>
        <w:t>Specifically, it can</w:t>
      </w:r>
      <w:r w:rsidRPr="00EF66BB">
        <w:rPr>
          <w:rFonts w:ascii="Times New Roman" w:hAnsi="Times New Roman" w:cs="Times New Roman"/>
        </w:rPr>
        <w:t xml:space="preserve"> be argued that approaches to strategic planning that facilitate the integration of centralised decision making with peripheral adaption may be more impactful than classical rationalist strategic planning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{"citationItems":[{"id":"ITEM-1","itemData":{"DOI":"10.1177/0149206313478185","ISBN":"0149206313","ISSN":"15571211","PMID":"87371552","abstract":"This review incorporates strategic planning research conducted over more than 30 years and ranges from the classical model of strategic planning to recent empirical work on intermediate outcomes, such as the reduction of managers’ position bias and the coordination of subunit activity. Prior reviews have not had the benefit of more socialized perspectives that developed in response to Mintzberg’s critique of planning, including research on planned emergence and strategy-as-practice approaches. To stimulate a resurgence of research interest on strategic planning, this review therefore draws on a diverse body of theory beyond the rational design and contingency approaches that characterized research in this domain until the mid-1990s. We develop a broad conceptualization of strategic planning and identify future research opportunities for improving our understanding of how strategic planning influences organizational outcomes. Our framework incorporates the role of strategic planning practitioners; the underlying routines, norms, and procedures of strategic planning (practices); and the concrete activities of planners (praxis).","author":[{"dropping-particle":"","family":"Wolf","given":"Carola","non-dropping-particle":"","parse-names":false,"suffix":""},{"dropping-particle":"","family":"Floyd","given":"Steven W.","non-dropping-particle":"","parse-names":false,"suffix":""}],"container-title":"Journal of Management","id":"ITEM-1","issue":"6","issued":{"date-parts":[["2017"]]},"number-of-pages":"1754-1788","title":"Strategic Planning Research: Toward a Theory-Driven Agenda","type":"book","volume":"43"},"uris":["http://www.mendeley.com/documents/?uuid=ddbf937a-425d-4050-949b-4c667b528f5b"]}],"mendeley":{"formattedCitation":"(Wolf and Floyd, 2017)","plainTextFormattedCitation":"(Wolf and Floyd, 2017)","previouslyFormattedCitation":"(Wolf and Floyd, 2017)"},"properties":{"noteIndex":0},"schema":"https://github.com/citation-style-language/schema/raw/master/csl-citation.json"}</w:instrText>
      </w:r>
      <w:r>
        <w:rPr>
          <w:rFonts w:ascii="Times New Roman" w:hAnsi="Times New Roman" w:cs="Times New Roman"/>
        </w:rPr>
        <w:fldChar w:fldCharType="separate"/>
      </w:r>
      <w:r w:rsidRPr="00456D06">
        <w:rPr>
          <w:rFonts w:ascii="Times New Roman" w:hAnsi="Times New Roman" w:cs="Times New Roman"/>
          <w:noProof/>
        </w:rPr>
        <w:t>(Wolf and Floyd, 2017)</w:t>
      </w:r>
      <w:r>
        <w:rPr>
          <w:rFonts w:ascii="Times New Roman" w:hAnsi="Times New Roman" w:cs="Times New Roman"/>
        </w:rPr>
        <w:fldChar w:fldCharType="end"/>
      </w:r>
      <w:r w:rsidRPr="00EF66BB">
        <w:rPr>
          <w:rFonts w:ascii="Times New Roman" w:hAnsi="Times New Roman" w:cs="Times New Roman"/>
        </w:rPr>
        <w:t xml:space="preserve">. Therefore, we suggest that the breadth of strategic planning, that is the degree to which strategic plans are developed </w:t>
      </w:r>
      <w:r w:rsidRPr="00EF66BB">
        <w:rPr>
          <w:rFonts w:ascii="Times New Roman" w:hAnsi="Times New Roman" w:cs="Times New Roman"/>
          <w:i/>
        </w:rPr>
        <w:t xml:space="preserve">across </w:t>
      </w:r>
      <w:r w:rsidRPr="00EF66BB">
        <w:rPr>
          <w:rFonts w:ascii="Times New Roman" w:hAnsi="Times New Roman" w:cs="Times New Roman"/>
        </w:rPr>
        <w:t xml:space="preserve">the institution with input from departments outside of centralised strategic </w:t>
      </w:r>
      <w:r w:rsidRPr="00EF66BB">
        <w:rPr>
          <w:rFonts w:ascii="Times New Roman" w:hAnsi="Times New Roman" w:cs="Times New Roman"/>
        </w:rPr>
        <w:lastRenderedPageBreak/>
        <w:t xml:space="preserve">planning, plays an important role in moderating the relationship between </w:t>
      </w:r>
      <w:r>
        <w:rPr>
          <w:rFonts w:ascii="Times New Roman" w:hAnsi="Times New Roman" w:cs="Times New Roman"/>
        </w:rPr>
        <w:t>strategic choices</w:t>
      </w:r>
      <w:r w:rsidRPr="00EF66BB">
        <w:rPr>
          <w:rFonts w:ascii="Times New Roman" w:hAnsi="Times New Roman" w:cs="Times New Roman"/>
        </w:rPr>
        <w:t xml:space="preserve">, </w:t>
      </w:r>
      <w:r>
        <w:rPr>
          <w:rFonts w:ascii="Times New Roman" w:hAnsi="Times New Roman" w:cs="Times New Roman"/>
        </w:rPr>
        <w:t>organi</w:t>
      </w:r>
      <w:r w:rsidR="00CE1EC1">
        <w:rPr>
          <w:rFonts w:ascii="Times New Roman" w:hAnsi="Times New Roman" w:cs="Times New Roman"/>
        </w:rPr>
        <w:t>s</w:t>
      </w:r>
      <w:r>
        <w:rPr>
          <w:rFonts w:ascii="Times New Roman" w:hAnsi="Times New Roman" w:cs="Times New Roman"/>
        </w:rPr>
        <w:t>ational configurations</w:t>
      </w:r>
      <w:r w:rsidRPr="00EF66BB">
        <w:rPr>
          <w:rFonts w:ascii="Times New Roman" w:hAnsi="Times New Roman" w:cs="Times New Roman"/>
        </w:rPr>
        <w:t xml:space="preserve"> and technology transfer effectiveness. Thus, we propose:</w:t>
      </w:r>
    </w:p>
    <w:p w14:paraId="4998822F" w14:textId="77777777" w:rsidR="00844C46" w:rsidRPr="00EF66BB" w:rsidRDefault="00844C46" w:rsidP="00141231">
      <w:pPr>
        <w:spacing w:line="360" w:lineRule="auto"/>
        <w:rPr>
          <w:rFonts w:ascii="Times New Roman" w:hAnsi="Times New Roman" w:cs="Times New Roman"/>
          <w:b/>
        </w:rPr>
      </w:pPr>
    </w:p>
    <w:p w14:paraId="7AC7286D" w14:textId="77777777"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b/>
          <w:i/>
        </w:rPr>
        <w:t xml:space="preserve">H3a: </w:t>
      </w:r>
      <w:r w:rsidRPr="00EF66BB">
        <w:rPr>
          <w:rFonts w:ascii="Times New Roman" w:hAnsi="Times New Roman" w:cs="Times New Roman"/>
        </w:rPr>
        <w:t xml:space="preserve">The breadth of strategic planning will moderate the indirect effect of the scale of TTO support on technology transfer effectiveness (via alignment with university strategic priorities). Specifically, the indirect effect will be stronger when the breadth of strategic planning is high rather than when it is low. </w:t>
      </w:r>
    </w:p>
    <w:p w14:paraId="4566D841" w14:textId="77777777" w:rsidR="00844C46" w:rsidRPr="00EF66BB" w:rsidRDefault="00844C46" w:rsidP="00141231">
      <w:pPr>
        <w:spacing w:line="360" w:lineRule="auto"/>
        <w:rPr>
          <w:rFonts w:ascii="Times New Roman" w:hAnsi="Times New Roman" w:cs="Times New Roman"/>
          <w:b/>
          <w:i/>
        </w:rPr>
      </w:pPr>
    </w:p>
    <w:p w14:paraId="15831CCB" w14:textId="77777777"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b/>
          <w:i/>
        </w:rPr>
        <w:t xml:space="preserve">H3b: </w:t>
      </w:r>
      <w:r w:rsidRPr="00EF66BB">
        <w:rPr>
          <w:rFonts w:ascii="Times New Roman" w:hAnsi="Times New Roman" w:cs="Times New Roman"/>
        </w:rPr>
        <w:t>The breadth of strategic planning will moderate the indirect effect of the provision of incentives for technology transfer and technology transfer effectiveness (via alignment with strategic priorities). Specifically, the indirect effect will be stronger when the breadth of strategic planning is high rather than when it is low.</w:t>
      </w:r>
    </w:p>
    <w:p w14:paraId="61F44FCA" w14:textId="77777777" w:rsidR="00844C46" w:rsidRPr="00EF66BB" w:rsidRDefault="00844C46" w:rsidP="00141231">
      <w:pPr>
        <w:spacing w:line="360" w:lineRule="auto"/>
        <w:rPr>
          <w:rFonts w:ascii="Times New Roman" w:hAnsi="Times New Roman" w:cs="Times New Roman"/>
        </w:rPr>
      </w:pPr>
    </w:p>
    <w:p w14:paraId="74A5F37D" w14:textId="09DDF0A7"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rPr>
        <w:t>Before outlining how we operationalise our theoretical framework (Fig 1.0), it is important to address the theoretical and empirical rationale for concentrating on the UK. Theoretically, we suggest that the transposition of Strategic Choice Theory, which has developed in the context of private commercial enterprises, to a university setting is unproblematic in the</w:t>
      </w:r>
      <w:r>
        <w:rPr>
          <w:rFonts w:ascii="Times New Roman" w:hAnsi="Times New Roman" w:cs="Times New Roman"/>
        </w:rPr>
        <w:t xml:space="preserve"> context of</w:t>
      </w:r>
      <w:r w:rsidRPr="00EF66BB">
        <w:rPr>
          <w:rFonts w:ascii="Times New Roman" w:hAnsi="Times New Roman" w:cs="Times New Roman"/>
        </w:rPr>
        <w:t xml:space="preserve"> UK Higher Education. This is mainly because there is a strong evidence that </w:t>
      </w:r>
      <w:r>
        <w:rPr>
          <w:rFonts w:ascii="Times New Roman" w:hAnsi="Times New Roman" w:cs="Times New Roman"/>
        </w:rPr>
        <w:t>supports the notion that UK universities have moved from traditional ‘collegiate’ modes of governance towards more ‘managerialist’ models developed within private commercial enterprises.</w:t>
      </w:r>
      <w:r w:rsidRPr="00EF66BB">
        <w:rPr>
          <w:rFonts w:ascii="Times New Roman" w:hAnsi="Times New Roman" w:cs="Times New Roman"/>
        </w:rPr>
        <w:t xml:space="preserve"> Hence, UK universities are characterised by the adoption of more centralised leadership based on resource allocation, formal planning procedures, implementation of key performance indicators and the development of robust monitoring and evaluation systems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id":"ITEM-2","itemData":{"author":[{"dropping-particle":"","family":"Jarratt","given":"A","non-dropping-particle":"","parse-names":false,"suffix":""}],"id":"ITEM-2","issued":{"date-parts":[["1985"]]},"publisher":"CVCP","publisher-place":"London","title":"Steering Committee for Efficiency Studies in Universities","type":"article"},"uris":["http://www.mendeley.com/documents/?uuid=80ce3ccd-ed2a-4ecb-ad97-60b6ea40b399"]},{"id":"ITEM-3","itemData":{"DOI":"10.1080/1360080X.2017.1354754","ISSN":"14699508","abstract":"This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Management","id":"ITEM-3","issue":"5","issued":{"date-parts":[["2017"]]},"page":"540-558","publisher":"Routledge","title":"Management and leadership in UK universities: exploring the possibilities of change","type":"article-journal","volume":"39"},"uris":["http://www.mendeley.com/documents/?uuid=53ffff0f-fb1a-477d-aae5-a1036f8cdc58"]}],"mendeley":{"formattedCitation":"(Burnes et al., 2014; Jarratt, 1985; Waring, 2017)","plainTextFormattedCitation":"(Burnes et al., 2014; Jarratt, 1985; Waring, 2017)","previouslyFormattedCitation":"(Burnes et al., 2014; Jarratt, 1985; Waring, 2017)"},"properties":{"noteIndex":0},"schema":"https://github.com/citation-style-language/schema/raw/master/csl-citation.json"}</w:instrText>
      </w:r>
      <w:r>
        <w:rPr>
          <w:rFonts w:ascii="Times New Roman" w:hAnsi="Times New Roman" w:cs="Times New Roman"/>
        </w:rPr>
        <w:fldChar w:fldCharType="separate"/>
      </w:r>
      <w:r w:rsidRPr="00456D06">
        <w:rPr>
          <w:rFonts w:ascii="Times New Roman" w:hAnsi="Times New Roman" w:cs="Times New Roman"/>
          <w:noProof/>
        </w:rPr>
        <w:t>(Burnes et al., 2014; Jarratt, 1985; Waring, 2017)</w:t>
      </w:r>
      <w:r>
        <w:rPr>
          <w:rFonts w:ascii="Times New Roman" w:hAnsi="Times New Roman" w:cs="Times New Roman"/>
        </w:rPr>
        <w:fldChar w:fldCharType="end"/>
      </w:r>
      <w:r w:rsidRPr="00EF66BB">
        <w:rPr>
          <w:rFonts w:ascii="Times New Roman" w:hAnsi="Times New Roman" w:cs="Times New Roman"/>
        </w:rPr>
        <w:t>. Thus, there are reasonable grounds to assume that, over a 30</w:t>
      </w:r>
      <w:r>
        <w:rPr>
          <w:rFonts w:ascii="Times New Roman" w:hAnsi="Times New Roman" w:cs="Times New Roman"/>
        </w:rPr>
        <w:t>-</w:t>
      </w:r>
      <w:r w:rsidRPr="00EF66BB">
        <w:rPr>
          <w:rFonts w:ascii="Times New Roman" w:hAnsi="Times New Roman" w:cs="Times New Roman"/>
        </w:rPr>
        <w:t xml:space="preserve">year period, modes of operation transposed from the private commercial domain have become embedded with UK universities and, therefore, conventional organisational theory is appropriate to analyse </w:t>
      </w:r>
      <w:r w:rsidRPr="00EF66BB">
        <w:rPr>
          <w:rFonts w:ascii="Times New Roman" w:hAnsi="Times New Roman" w:cs="Times New Roman"/>
          <w:i/>
        </w:rPr>
        <w:t>public sector</w:t>
      </w:r>
      <w:r w:rsidRPr="00EF66BB">
        <w:rPr>
          <w:rFonts w:ascii="Times New Roman" w:hAnsi="Times New Roman" w:cs="Times New Roman"/>
        </w:rPr>
        <w:t xml:space="preserve"> organi</w:t>
      </w:r>
      <w:r w:rsidR="00CE1EC1">
        <w:rPr>
          <w:rFonts w:ascii="Times New Roman" w:hAnsi="Times New Roman" w:cs="Times New Roman"/>
        </w:rPr>
        <w:t>s</w:t>
      </w:r>
      <w:r w:rsidRPr="00EF66BB">
        <w:rPr>
          <w:rFonts w:ascii="Times New Roman" w:hAnsi="Times New Roman" w:cs="Times New Roman"/>
        </w:rPr>
        <w:t xml:space="preserve">ations (such as UK universities). </w:t>
      </w:r>
    </w:p>
    <w:p w14:paraId="1D7AECF6" w14:textId="77777777" w:rsidR="00844C46" w:rsidRPr="00EF66BB" w:rsidRDefault="00844C46" w:rsidP="00141231">
      <w:pPr>
        <w:spacing w:line="360" w:lineRule="auto"/>
        <w:rPr>
          <w:rFonts w:ascii="Times New Roman" w:hAnsi="Times New Roman" w:cs="Times New Roman"/>
        </w:rPr>
      </w:pPr>
    </w:p>
    <w:p w14:paraId="0FE1583C" w14:textId="2265FFA6"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rPr>
        <w:t xml:space="preserve">The second theoretical justification for our focus on the UK context relates to the institutionalisation of technology transfer practices. Specifically, </w:t>
      </w:r>
      <w:r>
        <w:rPr>
          <w:rFonts w:ascii="Times New Roman" w:hAnsi="Times New Roman" w:cs="Times New Roman"/>
        </w:rPr>
        <w:fldChar w:fldCharType="begin" w:fldLock="1"/>
      </w:r>
      <w:r>
        <w:rPr>
          <w:rFonts w:ascii="Times New Roman" w:hAnsi="Times New Roman" w:cs="Times New Roman"/>
        </w:rPr>
        <w:instrText>ADDIN CSL_CITATION {"citationItems":[{"id":"ITEM-1","itemData":{"DOI":"10.1111/1467-8551.12069","ISBN":"1045-3172","ISSN":"14678551","abstract":"In this paper we examine the institutionalization of a new organizational practice around third stream activities in UK higher education from 1994 to 2008. Employing a longi- tudinal research design, involving archival, survey and contemporary interview data, we show how a new organizational practice diffused through the use of discourse and metrics around commercialization but over time was threatened on pure economic criteria. In response to the threat we explore how actors worked to institutionalize the new practice, reshaping both discourse and metrics to ensure that they were robust so that they could align with the interests and values of major stakeholders. In addition, actors worked to align discourse and metrics, as any misalignment between the two would have under- mined the institutionalization of the new organizational practice. Institutional","author":[{"dropping-particle":"","family":"Lockett","given":"Andy","non-dropping-particle":"","parse-names":false,"suffix":""},{"dropping-particle":"","family":"Wright","given":"Mike","non-dropping-particle":"","parse-names":false,"suffix":""},{"dropping-particle":"","family":"Wild","given":"Andrew","non-dropping-particle":"","parse-names":false,"suffix":""}],"container-title":"British Journal of Management","id":"ITEM-1","issue":"1","issued":{"date-parts":[["2015"]]},"page":"78-92","title":"The institutionalization of third stream activities in UK higher education: The role of discourse and metrics","type":"article-journal","volume":"26"},"uris":["http://www.mendeley.com/documents/?uuid=a4cc6f22-23a6-4758-8258-e247adeba6ea"]}],"mendeley":{"formattedCitation":"(Lockett et al., 2015)","manualFormatting":"Lockett et al (2015)","plainTextFormattedCitation":"(Lockett et al., 2015)","previouslyFormattedCitation":"(Lockett et al., 2015)"},"properties":{"noteIndex":0},"schema":"https://github.com/citation-style-language/schema/raw/master/csl-citation.json"}</w:instrText>
      </w:r>
      <w:r>
        <w:rPr>
          <w:rFonts w:ascii="Times New Roman" w:hAnsi="Times New Roman" w:cs="Times New Roman"/>
        </w:rPr>
        <w:fldChar w:fldCharType="separate"/>
      </w:r>
      <w:r w:rsidRPr="005710B8">
        <w:rPr>
          <w:rFonts w:ascii="Times New Roman" w:hAnsi="Times New Roman" w:cs="Times New Roman"/>
          <w:noProof/>
        </w:rPr>
        <w:t>Locke</w:t>
      </w:r>
      <w:r>
        <w:rPr>
          <w:rFonts w:ascii="Times New Roman" w:hAnsi="Times New Roman" w:cs="Times New Roman"/>
          <w:noProof/>
        </w:rPr>
        <w:t>tt et al</w:t>
      </w:r>
      <w:r w:rsidRPr="005710B8">
        <w:rPr>
          <w:rFonts w:ascii="Times New Roman" w:hAnsi="Times New Roman" w:cs="Times New Roman"/>
          <w:noProof/>
        </w:rPr>
        <w:t xml:space="preserve"> </w:t>
      </w:r>
      <w:r>
        <w:rPr>
          <w:rFonts w:ascii="Times New Roman" w:hAnsi="Times New Roman" w:cs="Times New Roman"/>
          <w:noProof/>
        </w:rPr>
        <w:t>(</w:t>
      </w:r>
      <w:r w:rsidRPr="005710B8">
        <w:rPr>
          <w:rFonts w:ascii="Times New Roman" w:hAnsi="Times New Roman" w:cs="Times New Roman"/>
          <w:noProof/>
        </w:rPr>
        <w:t>2015)</w:t>
      </w:r>
      <w:r>
        <w:rPr>
          <w:rFonts w:ascii="Times New Roman" w:hAnsi="Times New Roman" w:cs="Times New Roman"/>
        </w:rPr>
        <w:fldChar w:fldCharType="end"/>
      </w:r>
      <w:r w:rsidRPr="00EF66BB">
        <w:rPr>
          <w:rFonts w:ascii="Times New Roman" w:hAnsi="Times New Roman" w:cs="Times New Roman"/>
        </w:rPr>
        <w:t xml:space="preserve"> demonstrate that organisational practices associated with technology transfer have diffused rapidly amongst UK universities; </w:t>
      </w:r>
      <w:r>
        <w:rPr>
          <w:rFonts w:ascii="Times New Roman" w:hAnsi="Times New Roman" w:cs="Times New Roman"/>
        </w:rPr>
        <w:t>in particular,</w:t>
      </w:r>
      <w:r w:rsidRPr="00EF66BB">
        <w:rPr>
          <w:rFonts w:ascii="Times New Roman" w:hAnsi="Times New Roman" w:cs="Times New Roman"/>
        </w:rPr>
        <w:t xml:space="preserve"> the proliferation of TTOs. The relative homogeneity in organisational support for technology transfer is evident in our dataset (detailed below) which shows that all 1</w:t>
      </w:r>
      <w:r>
        <w:rPr>
          <w:rFonts w:ascii="Times New Roman" w:hAnsi="Times New Roman" w:cs="Times New Roman"/>
        </w:rPr>
        <w:t>15</w:t>
      </w:r>
      <w:r w:rsidRPr="00EF66BB">
        <w:rPr>
          <w:rFonts w:ascii="Times New Roman" w:hAnsi="Times New Roman" w:cs="Times New Roman"/>
        </w:rPr>
        <w:t xml:space="preserve"> institutions have technology transfer personnel and </w:t>
      </w:r>
      <w:r w:rsidRPr="00EF66BB">
        <w:rPr>
          <w:rFonts w:ascii="Times New Roman" w:hAnsi="Times New Roman" w:cs="Times New Roman"/>
        </w:rPr>
        <w:lastRenderedPageBreak/>
        <w:t>most provide some degree of incentives for staff (only 9 institutions indicate they do not). Therefore, the UK provides an ideal context to study the potential significance of strategy in relation to technology transfer, since the impact of strategic choices on organisational effectiveness may be more discernible in a context characterised by a relatively high degree of institutional homogeneity. This relative institutional homogeneity refers not only to the fact that technology transfer practices are institutionalised in the UK but also that most UK universities are public organi</w:t>
      </w:r>
      <w:r w:rsidR="00CE1EC1">
        <w:rPr>
          <w:rFonts w:ascii="Times New Roman" w:hAnsi="Times New Roman" w:cs="Times New Roman"/>
        </w:rPr>
        <w:t>s</w:t>
      </w:r>
      <w:r w:rsidRPr="00EF66BB">
        <w:rPr>
          <w:rFonts w:ascii="Times New Roman" w:hAnsi="Times New Roman" w:cs="Times New Roman"/>
        </w:rPr>
        <w:t xml:space="preserve">ations subject to the same institutional pressures. </w:t>
      </w:r>
    </w:p>
    <w:p w14:paraId="5302B87B" w14:textId="77777777" w:rsidR="00844C46" w:rsidRPr="00EF66BB" w:rsidRDefault="00844C46" w:rsidP="00141231">
      <w:pPr>
        <w:spacing w:line="360" w:lineRule="auto"/>
        <w:rPr>
          <w:rFonts w:ascii="Times New Roman" w:hAnsi="Times New Roman" w:cs="Times New Roman"/>
        </w:rPr>
      </w:pPr>
    </w:p>
    <w:p w14:paraId="2A6C39DA" w14:textId="77777777" w:rsidR="00844C46" w:rsidRPr="00EF66BB" w:rsidRDefault="00844C46" w:rsidP="00141231">
      <w:pPr>
        <w:spacing w:line="360" w:lineRule="auto"/>
        <w:rPr>
          <w:rFonts w:ascii="Times New Roman" w:hAnsi="Times New Roman" w:cs="Times New Roman"/>
        </w:rPr>
      </w:pPr>
      <w:r w:rsidRPr="00EF66BB">
        <w:rPr>
          <w:rFonts w:ascii="Times New Roman" w:hAnsi="Times New Roman" w:cs="Times New Roman"/>
        </w:rPr>
        <w:t xml:space="preserve">The third reason we focus on the UK case is the availability of data. Although much of the work related to technology transfer activity is based on US data, drawing on AUTM survey, it has recently been suggested that data collected in the UK by the Higher Education Statistics Agency (HESA) provides the most comprehensive survey of technology transfer activity globally (Lockett et al, 2015). The particulars of this dataset are discussed in the next section. </w:t>
      </w:r>
    </w:p>
    <w:p w14:paraId="02C5C785" w14:textId="7883FD46" w:rsidR="00844C46" w:rsidRDefault="00844C46" w:rsidP="00141231"/>
    <w:p w14:paraId="4A1AB86A" w14:textId="7E21A8CC" w:rsidR="00844C46" w:rsidRPr="00844C46" w:rsidRDefault="00844C46" w:rsidP="00141231"/>
    <w:p w14:paraId="0DAEFFCD" w14:textId="77777777" w:rsidR="001A3E4C" w:rsidRPr="00EF66BB" w:rsidRDefault="00FF3FCA" w:rsidP="00141231">
      <w:pPr>
        <w:pStyle w:val="Heading2"/>
        <w:spacing w:line="360" w:lineRule="auto"/>
        <w:rPr>
          <w:rFonts w:ascii="Times New Roman" w:hAnsi="Times New Roman" w:cs="Times New Roman"/>
          <w:sz w:val="24"/>
          <w:szCs w:val="24"/>
        </w:rPr>
      </w:pPr>
      <w:r w:rsidRPr="00EF66BB">
        <w:rPr>
          <w:rFonts w:ascii="Times New Roman" w:hAnsi="Times New Roman" w:cs="Times New Roman"/>
          <w:sz w:val="24"/>
          <w:szCs w:val="24"/>
        </w:rPr>
        <w:t>3.0 Research Methods</w:t>
      </w:r>
    </w:p>
    <w:p w14:paraId="1BF883AB" w14:textId="0A65710A" w:rsidR="00994805" w:rsidRPr="00EF66BB" w:rsidRDefault="00994805" w:rsidP="00141231">
      <w:pPr>
        <w:pStyle w:val="Heading3"/>
        <w:spacing w:line="360" w:lineRule="auto"/>
        <w:rPr>
          <w:rFonts w:ascii="Times New Roman" w:hAnsi="Times New Roman" w:cs="Times New Roman"/>
        </w:rPr>
      </w:pPr>
      <w:r w:rsidRPr="00EF66BB">
        <w:rPr>
          <w:rFonts w:ascii="Times New Roman" w:hAnsi="Times New Roman" w:cs="Times New Roman"/>
        </w:rPr>
        <w:t>3.1 Data Sources</w:t>
      </w:r>
      <w:r w:rsidR="00732CB8" w:rsidRPr="00EF66BB">
        <w:rPr>
          <w:rFonts w:ascii="Times New Roman" w:hAnsi="Times New Roman" w:cs="Times New Roman"/>
        </w:rPr>
        <w:t xml:space="preserve"> </w:t>
      </w:r>
    </w:p>
    <w:p w14:paraId="7E684F19" w14:textId="1E957DEE" w:rsidR="00CD3B59" w:rsidRPr="00EF66BB" w:rsidRDefault="003C6758" w:rsidP="00141231">
      <w:pPr>
        <w:spacing w:line="360" w:lineRule="auto"/>
        <w:rPr>
          <w:rFonts w:ascii="Times New Roman" w:hAnsi="Times New Roman" w:cs="Times New Roman"/>
        </w:rPr>
      </w:pPr>
      <w:r w:rsidRPr="00EF66BB">
        <w:rPr>
          <w:rFonts w:ascii="Times New Roman" w:hAnsi="Times New Roman" w:cs="Times New Roman"/>
        </w:rPr>
        <w:t>We</w:t>
      </w:r>
      <w:r w:rsidR="00FF3FCA" w:rsidRPr="00EF66BB">
        <w:rPr>
          <w:rFonts w:ascii="Times New Roman" w:hAnsi="Times New Roman" w:cs="Times New Roman"/>
        </w:rPr>
        <w:t xml:space="preserve"> dr</w:t>
      </w:r>
      <w:r w:rsidR="00706A40" w:rsidRPr="00EF66BB">
        <w:rPr>
          <w:rFonts w:ascii="Times New Roman" w:hAnsi="Times New Roman" w:cs="Times New Roman"/>
        </w:rPr>
        <w:t>a</w:t>
      </w:r>
      <w:r w:rsidR="00FF3FCA" w:rsidRPr="00EF66BB">
        <w:rPr>
          <w:rFonts w:ascii="Times New Roman" w:hAnsi="Times New Roman" w:cs="Times New Roman"/>
        </w:rPr>
        <w:t xml:space="preserve">w </w:t>
      </w:r>
      <w:r w:rsidR="00F602C0" w:rsidRPr="00EF66BB">
        <w:rPr>
          <w:rFonts w:ascii="Times New Roman" w:hAnsi="Times New Roman" w:cs="Times New Roman"/>
        </w:rPr>
        <w:t xml:space="preserve">primarily </w:t>
      </w:r>
      <w:r w:rsidR="00FF3FCA" w:rsidRPr="00EF66BB">
        <w:rPr>
          <w:rFonts w:ascii="Times New Roman" w:hAnsi="Times New Roman" w:cs="Times New Roman"/>
        </w:rPr>
        <w:t>upon data collected by HESA</w:t>
      </w:r>
      <w:r w:rsidR="001E6098" w:rsidRPr="00EF66BB">
        <w:rPr>
          <w:rFonts w:ascii="Times New Roman" w:hAnsi="Times New Roman" w:cs="Times New Roman"/>
        </w:rPr>
        <w:t xml:space="preserve"> </w:t>
      </w:r>
      <w:r w:rsidR="00706A40" w:rsidRPr="00EF66BB">
        <w:rPr>
          <w:rFonts w:ascii="Times New Roman" w:hAnsi="Times New Roman" w:cs="Times New Roman"/>
        </w:rPr>
        <w:t xml:space="preserve">in the UK </w:t>
      </w:r>
      <w:r w:rsidR="00FF3FCA" w:rsidRPr="00EF66BB">
        <w:rPr>
          <w:rFonts w:ascii="Times New Roman" w:hAnsi="Times New Roman" w:cs="Times New Roman"/>
        </w:rPr>
        <w:t xml:space="preserve">via their Higher Education- Business Community Interaction Survey (HE-BCI). </w:t>
      </w:r>
      <w:r w:rsidR="00F602C0" w:rsidRPr="00EF66BB">
        <w:rPr>
          <w:rFonts w:ascii="Times New Roman" w:hAnsi="Times New Roman" w:cs="Times New Roman"/>
        </w:rPr>
        <w:t xml:space="preserve">The HE-BCI survey is increasingly adopted in research pertinent to university technology transfer activity </w:t>
      </w:r>
      <w:r w:rsidR="005710B8">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{"citationItems":[{"id":"ITEM-1","itemData":{"DOI":"10.1111/1467-8551.12224","ISSN":"14678551","abstract":"This paper addresses the gap in the knowledge transfer literature around how universi-ties choose specific organizational models for their knowledge transfer offices (KTOs). Organization theory points towards strong interlinkages between strategy, structure and processes in organizations. This motivates an exploration of similar links within the or-ganizational setup of KTOs. In doing so, the paper provides a unified theoretical frame-work around a university's choice of structure, business model and strategic preferences for their KTOs linked to university-specific contextual factors. A qualitative approach is used wherein four very distinct British universities are examined as individual case studies. The authors find that strategic aims of the university around practitioner engagement, the quantity of applied research and research specialization are key factors in determining the organizational characteristics of the KTO. The theoretical framework derived from the cases makes two key contributions to the university knowledge transfer literature. First, it links the university-level contextual factors to the local model of knowledge transfer. Second, it allows us to develop a set of generic models of knowledge transfer, which can potentially guide universities to develop their own specific models.","author":[{"dropping-particle":"","family":"Sengupta","given":"Abhijit","non-dropping-particle":"","parse-names":false,"suffix":""},{"dropping-particle":"","family":"Ray","given":"Amit S.","non-dropping-particle":"","parse-names":false,"suffix":""}],"container-title":"British Journal of Management","id":"ITEM-1","issue":"4","issued":{"date-parts":[["2017"]]},"page":"687-710","title":"Choice of Structure, Business Model and Portfolio: Organizational Models of Knowledge Transfer Offices in British Universities","type":"article-journal","volume":"28"},"uris":["http://www.mendeley.com/documents/?uuid=69f0919c-c25e-4005-8e21-cc66488aca4a"]},{"id":"ITEM-2","itemData":{"DOI":"10.1016/j.respol.2017.03.008","ISSN":"00487333","abstract":"This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Policy","id":"ITEM-2","issue":"5","issued":{"date-parts":[["2017"]]},"page":"881-897","publisher":"Elsevier B.V.","title":"University research and knowledge transfer: A dynamic view of ambidexterity in british universities","type":"article-journal","volume":"46"},"uris":["http://www.mendeley.com/documents/?uuid=1bae52b2-2b76-4a4b-9383-c1e21964cb01"]},{"id":"ITEM-3","itemData":{"DOI":"10.1016/j.respol.2011.10.010","ISSN":"00487333","abstract":"As the innovation process has become more open and networked, Government policy in the UK has sought to promote both research excellence in the university sector and the translation of this into economic benefit through university–business engagement. However, this policy approach has tended to be applied uniformly with little account for organisational differences within the sector. In this paper we consider if differences between universities in their research performance is reflected in their knowledge transfer activity. Specifically, as universities develop a commercialization agenda are the strategic priorities for knowledge transfer, the organisational supports in place to facilitate knowledge transfer and the scale and scope of knowledge transfer activity different for high research intensive (HRI) and low research intensive (LRI) universities? The findings demonstrate that universities’ approach to knowledge transfer is shaped by institutional and organisational resources, in particular their ethos and research quality, rather than the capability to undertake knowledge transfer through a Technology Transfer Office (TTO). Strategic priorities for knowledge transfer are reflected in activity, in terms of the dominance of specific knowledge transfer channels, the partners with which universities engage and the geography of business engagement.","author":[{"dropping-particle":"","family":"Hewitt-Dundas","given":"Nola","non-dropping-particle":"","parse-names":false,"suffix":""}],"container-title":"Research Policy","id":"ITEM-3","issue":"2","issued":{"date-parts":[["2012","3"]]},"page":"262-275","title":"Research intensity and knowledge transfer activity in UK universities","type":"article-journal","volume":"41"},"uris":["http://www.mendeley.com/documents/?uuid=dfda44a2-56de-4343-aba6-7ecd31ff1890"]},{"id":"ITEM-4","itemData":{"DOI":"10.1080/03075079.2014.914914","ISBN":"0307-5079","ISSN":"1470174X","abstract":"The issue of what indicators are most appropriate in order to measure the performance of universities in knowledge transfer (KT) activities remains relatively under-investigated. The main aim of this paper is to identify and discuss the limitations to the current measurements of university?industry KT performance, and propose some directions for improvement. We argue that university?industry KT can unfold in many ways and impact many stakeholders, and that, especially in highly differentiated university systems, choosing indicators focused on a narrow range of activities and impacts might limit the ability of universities to accurately represent their KT performance. Therefore, KT indicators should include a variety of activities and reflect a variety of impacts so as to allow comparability between different institutions and avoid the creation of undesirable behavioural incentives. To illustrate these issues empirically, the authors discuss the case of the United Kingdom's Higher Education?Business and Community Interaction (HE-BCI) survey.\\nThe issue of what indicators are most appropriate in order to measure the performance of universities in knowledge transfer (KT) activities remains relatively under-investigated. The main aim of this paper is to identify and discuss the limitations to the current measurements of university?industry KT performance, and propose some directions for improvement. We argue that university?industry KT can unfold in many ways and impact many stakeholders, and that, especially in highly differentiated university systems, choosing indicators focused on a narrow range of activities and impacts might limit the ability of universities to accurately represent their KT performance. Therefore, KT indicators should include a variety of activities and reflect a variety of impacts so as to allow comparability between different institutions and avoid the creation of undesirable behavioural incentives. To illustrate these issues empirically, the authors discuss the case of the United Kingdom's Higher Education?Business and Community Interaction (HE-BCI) survey.","author":[{"dropping-particle":"","family":"Rossi","given":"Federica","non-dropping-particle":"","parse-names":false,"suffix":""},{"dropping-particle":"","family":"Rosli","given":"Ainurul","non-dropping-particle":"","parse-names":false,"suffix":""}],"container-title":"Studies in Higher Education","id":"ITEM-4","issue":"10","issued":{"date-parts":[["2014"]]},"page":"1970-1991","title":"Indicators of university???industry knowledge transfer performance and their implications for universities: Evidence from the United Kingdom","type":"article-journal","volume":"40"},"uris":["http://www.mendeley.com/documents/?uuid=ad1e018b-947e-4044-a312-5a4f2616c0f9"]},{"id":"ITEM-5","itemData":{"DOI":"10.1111/1467-8551.12069","ISBN":"1045-3172","ISSN":"14678551","abstract":"In this paper we examine the institutionalization of a new organizational practice around third stream activities in UK higher education from 1994 to 2008. Employing a longi- tudinal research design, involving archival, survey and contemporary interview data, we show how a new organizational practice diffused through the use of discourse and metrics around commercialization but over time was threatened on pure economic criteria. In response to the threat we explore how actors worked to institutionalize the new practice, reshaping both discourse and metrics to ensure that they were robust so that they could align with the interests and values of major stakeholders. In addition, actors worked to align discourse and metrics, as any misalignment between the two would have under- mined the institutionalization of the new organizational practice. Institutional","author":[{"dropping-particle":"","family":"Lockett","given":"Andy","non-dropping-particle":"","parse-names":false,"suffix":""},{"dropping-particle":"","family":"Wright","given":"Mike","non-dropping-particle":"","parse-names":false,"suffix":""},{"dropping-particle":"","family":"Wild","given":"Andrew","non-dropping-particle":"","parse-names":false,"suffix":""}],"container-title":"British Journal of Management","id":"ITEM-5","issue":"1","issued":{"date-parts":[["2015"]]},"page":"78-92","title":"The institutionalization of third stream activities in UK higher education: The role of discourse and metrics","type":"article-journal","volume":"26"},"uris":["http://www.mendeley.com/documents/?uuid=a4cc6f22-23a6-4758-8258-e247adeba6ea"]},{"id":"ITEM-6","itemData":{"DOI":"10.1016/j.respol.2017.10.003","ISBN":"0048-7333","ISSN":"00487333","abstract":"In the UK, higher education is increasingly a marketised service sharing many characteristics with other professional services such as legal, medical or financial services. With marketisation comes competition, and the need for Higher Education Institutions (HEIs) to develop and maintain strong programmes to attract and retain high-class faculty and fee-paying students. Here, we consider the drivers of programme innovation − i.e. the introduction of new programmes and the withdrawal of existing programmes − in UK universities. Our focus is on undergraduate programmes as these account for three-quarters of all student enrolments. Using panel data for UK universities we identify significant resource, internationalisation and business engagement effects. Financial stringency and more extensive international market engagement both encourage programme introduction. Collaboration with businesses has offsetting effects depending on the nature of the interaction. The results have both strategic and systemic implications.","author":[{"dropping-particle":"","family":"Hewitt-Dundas","given":"Nola","non-dropping-particle":"","parse-names":false,"suffix":""},{"dropping-particle":"","family":"Roper","given":"Stephen","non-dropping-particle":"","parse-names":false,"suffix":""}],"container-title":"Research Policy","id":"ITEM-6","issue":"1","issued":{"date-parts":[["2018"]]},"page":"121-138","publisher":"Elsevier","title":"Innovation in UK higher education: A panel data analysis of undergraduate degree programmes","type":"article-journal","volume":"47"},"uris":["http://www.mendeley.com/documents/?uuid=f4897a18-6400-4776-818e-bee572076c61"]}],"mendeley":{"formattedCitation":"(Hewitt-Dundas, 2012; Hewitt-Dundas and Roper, 2018; Lockett et al., 2015; Rossi and Rosli, 2014; Sengupta and Ray, 2017b, 2017a)","plainTextFormattedCitation":"(Hewitt-Dundas, 2012; Hewitt-Dundas and Roper, 2018; Lockett et al., 2015; Rossi and Rosli, 2014; Sengupta and Ray, 2017b, 2017a)","previouslyFormattedCitation":"(Hewitt-Dundas, 2012; Hewitt-Dundas and Roper, 2018; Lockett et al., 2015; Rossi and Rosli, 2014; Sengupta and Ray, 2017b, 2017a)"},"properties":{"noteIndex":0},"schema":"https://github.com/citation-style-language/schema/raw/master/csl-citation.json"}</w:instrText>
      </w:r>
      <w:r w:rsidR="005710B8">
        <w:rPr>
          <w:rFonts w:ascii="Times New Roman" w:hAnsi="Times New Roman" w:cs="Times New Roman"/>
        </w:rPr>
        <w:fldChar w:fldCharType="separate"/>
      </w:r>
      <w:r w:rsidR="005710B8" w:rsidRPr="005710B8">
        <w:rPr>
          <w:rFonts w:ascii="Times New Roman" w:hAnsi="Times New Roman" w:cs="Times New Roman"/>
          <w:noProof/>
        </w:rPr>
        <w:t>(Hewitt-Dundas, 2012; Hewitt-Dundas and Roper, 2018; Lockett et al., 2015; Rossi and Rosli, 2014; Sengupta and Ray, 2017b, 2017a)</w:t>
      </w:r>
      <w:r w:rsidR="005710B8">
        <w:rPr>
          <w:rFonts w:ascii="Times New Roman" w:hAnsi="Times New Roman" w:cs="Times New Roman"/>
        </w:rPr>
        <w:fldChar w:fldCharType="end"/>
      </w:r>
      <w:r w:rsidR="00994805" w:rsidRPr="00EF66BB">
        <w:rPr>
          <w:rFonts w:ascii="Times New Roman" w:hAnsi="Times New Roman" w:cs="Times New Roman"/>
        </w:rPr>
        <w:t>. The survey consists of two main sections</w:t>
      </w:r>
      <w:r w:rsidR="00706A40" w:rsidRPr="00EF66BB">
        <w:rPr>
          <w:rFonts w:ascii="Times New Roman" w:hAnsi="Times New Roman" w:cs="Times New Roman"/>
        </w:rPr>
        <w:t xml:space="preserve">. The </w:t>
      </w:r>
      <w:r w:rsidR="00994805" w:rsidRPr="00EF66BB">
        <w:rPr>
          <w:rFonts w:ascii="Times New Roman" w:hAnsi="Times New Roman" w:cs="Times New Roman"/>
        </w:rPr>
        <w:t>first asks respondents questions about technology transfer strategy</w:t>
      </w:r>
      <w:r w:rsidR="00706A40" w:rsidRPr="00EF66BB">
        <w:rPr>
          <w:rFonts w:ascii="Times New Roman" w:hAnsi="Times New Roman" w:cs="Times New Roman"/>
        </w:rPr>
        <w:t>;</w:t>
      </w:r>
      <w:r w:rsidR="00994805" w:rsidRPr="00EF66BB">
        <w:rPr>
          <w:rFonts w:ascii="Times New Roman" w:hAnsi="Times New Roman" w:cs="Times New Roman"/>
        </w:rPr>
        <w:t xml:space="preserve"> technology transfer infrastructure</w:t>
      </w:r>
      <w:r w:rsidR="00706A40" w:rsidRPr="00EF66BB">
        <w:rPr>
          <w:rFonts w:ascii="Times New Roman" w:hAnsi="Times New Roman" w:cs="Times New Roman"/>
        </w:rPr>
        <w:t>;</w:t>
      </w:r>
      <w:r w:rsidR="00994805" w:rsidRPr="00EF66BB">
        <w:rPr>
          <w:rFonts w:ascii="Times New Roman" w:hAnsi="Times New Roman" w:cs="Times New Roman"/>
        </w:rPr>
        <w:t xml:space="preserve"> university intellectual property arrangements</w:t>
      </w:r>
      <w:r w:rsidR="00706A40" w:rsidRPr="00EF66BB">
        <w:rPr>
          <w:rFonts w:ascii="Times New Roman" w:hAnsi="Times New Roman" w:cs="Times New Roman"/>
        </w:rPr>
        <w:t>;</w:t>
      </w:r>
      <w:r w:rsidR="00994805" w:rsidRPr="00EF66BB">
        <w:rPr>
          <w:rFonts w:ascii="Times New Roman" w:hAnsi="Times New Roman" w:cs="Times New Roman"/>
        </w:rPr>
        <w:t xml:space="preserve"> approach to social, cultural and community engagement</w:t>
      </w:r>
      <w:r w:rsidR="00706A40" w:rsidRPr="00EF66BB">
        <w:rPr>
          <w:rFonts w:ascii="Times New Roman" w:hAnsi="Times New Roman" w:cs="Times New Roman"/>
        </w:rPr>
        <w:t>;</w:t>
      </w:r>
      <w:r w:rsidR="00994805" w:rsidRPr="00EF66BB">
        <w:rPr>
          <w:rFonts w:ascii="Times New Roman" w:hAnsi="Times New Roman" w:cs="Times New Roman"/>
        </w:rPr>
        <w:t xml:space="preserve"> and university arrangements for continuing professional development. </w:t>
      </w:r>
      <w:r w:rsidR="00706A40" w:rsidRPr="00EF66BB">
        <w:rPr>
          <w:rFonts w:ascii="Times New Roman" w:hAnsi="Times New Roman" w:cs="Times New Roman"/>
        </w:rPr>
        <w:t>I</w:t>
      </w:r>
      <w:r w:rsidR="006D1AF6" w:rsidRPr="00EF66BB">
        <w:rPr>
          <w:rFonts w:ascii="Times New Roman" w:hAnsi="Times New Roman" w:cs="Times New Roman"/>
        </w:rPr>
        <w:t>n t</w:t>
      </w:r>
      <w:r w:rsidR="00994805" w:rsidRPr="00EF66BB">
        <w:rPr>
          <w:rFonts w:ascii="Times New Roman" w:hAnsi="Times New Roman" w:cs="Times New Roman"/>
        </w:rPr>
        <w:t>he second section</w:t>
      </w:r>
      <w:r w:rsidR="006D1AF6" w:rsidRPr="00EF66BB">
        <w:rPr>
          <w:rFonts w:ascii="Times New Roman" w:hAnsi="Times New Roman" w:cs="Times New Roman"/>
        </w:rPr>
        <w:t>,</w:t>
      </w:r>
      <w:r w:rsidR="00994805" w:rsidRPr="00EF66BB">
        <w:rPr>
          <w:rFonts w:ascii="Times New Roman" w:hAnsi="Times New Roman" w:cs="Times New Roman"/>
        </w:rPr>
        <w:t xml:space="preserve"> respondents outline outputs generated by their institution, in terms of volume and pound (£) value</w:t>
      </w:r>
      <w:r w:rsidR="00706A40" w:rsidRPr="00EF66BB">
        <w:rPr>
          <w:rFonts w:ascii="Times New Roman" w:hAnsi="Times New Roman" w:cs="Times New Roman"/>
        </w:rPr>
        <w:t>s</w:t>
      </w:r>
      <w:r w:rsidR="00994805" w:rsidRPr="00EF66BB">
        <w:rPr>
          <w:rFonts w:ascii="Times New Roman" w:hAnsi="Times New Roman" w:cs="Times New Roman"/>
        </w:rPr>
        <w:t>, with regards to</w:t>
      </w:r>
      <w:r w:rsidR="00706A40" w:rsidRPr="00EF66BB">
        <w:rPr>
          <w:rFonts w:ascii="Times New Roman" w:hAnsi="Times New Roman" w:cs="Times New Roman"/>
        </w:rPr>
        <w:t>:</w:t>
      </w:r>
      <w:r w:rsidR="00994805" w:rsidRPr="00EF66BB">
        <w:rPr>
          <w:rFonts w:ascii="Times New Roman" w:hAnsi="Times New Roman" w:cs="Times New Roman"/>
        </w:rPr>
        <w:t xml:space="preserve"> collaborative research</w:t>
      </w:r>
      <w:r w:rsidR="00706A40" w:rsidRPr="00EF66BB">
        <w:rPr>
          <w:rFonts w:ascii="Times New Roman" w:hAnsi="Times New Roman" w:cs="Times New Roman"/>
        </w:rPr>
        <w:t>;</w:t>
      </w:r>
      <w:r w:rsidR="00994805" w:rsidRPr="00EF66BB">
        <w:rPr>
          <w:rFonts w:ascii="Times New Roman" w:hAnsi="Times New Roman" w:cs="Times New Roman"/>
        </w:rPr>
        <w:t xml:space="preserve"> contract research</w:t>
      </w:r>
      <w:r w:rsidR="00706A40" w:rsidRPr="00EF66BB">
        <w:rPr>
          <w:rFonts w:ascii="Times New Roman" w:hAnsi="Times New Roman" w:cs="Times New Roman"/>
        </w:rPr>
        <w:t>;</w:t>
      </w:r>
      <w:r w:rsidR="00994805" w:rsidRPr="00EF66BB">
        <w:rPr>
          <w:rFonts w:ascii="Times New Roman" w:hAnsi="Times New Roman" w:cs="Times New Roman"/>
        </w:rPr>
        <w:t xml:space="preserve"> facility and service provision</w:t>
      </w:r>
      <w:r w:rsidR="00706A40" w:rsidRPr="00EF66BB">
        <w:rPr>
          <w:rFonts w:ascii="Times New Roman" w:hAnsi="Times New Roman" w:cs="Times New Roman"/>
        </w:rPr>
        <w:t>;</w:t>
      </w:r>
      <w:r w:rsidR="00994805" w:rsidRPr="00EF66BB">
        <w:rPr>
          <w:rFonts w:ascii="Times New Roman" w:hAnsi="Times New Roman" w:cs="Times New Roman"/>
        </w:rPr>
        <w:t xml:space="preserve"> intellectual property (paten</w:t>
      </w:r>
      <w:r w:rsidR="00706A40" w:rsidRPr="00EF66BB">
        <w:rPr>
          <w:rFonts w:ascii="Times New Roman" w:hAnsi="Times New Roman" w:cs="Times New Roman"/>
        </w:rPr>
        <w:t>t</w:t>
      </w:r>
      <w:r w:rsidR="00994805" w:rsidRPr="00EF66BB">
        <w:rPr>
          <w:rFonts w:ascii="Times New Roman" w:hAnsi="Times New Roman" w:cs="Times New Roman"/>
        </w:rPr>
        <w:t>s, licences, sale of shares in spin-off firms)</w:t>
      </w:r>
      <w:r w:rsidR="00706A40" w:rsidRPr="00EF66BB">
        <w:rPr>
          <w:rFonts w:ascii="Times New Roman" w:hAnsi="Times New Roman" w:cs="Times New Roman"/>
        </w:rPr>
        <w:t>;</w:t>
      </w:r>
      <w:r w:rsidR="00994805" w:rsidRPr="00EF66BB">
        <w:rPr>
          <w:rFonts w:ascii="Times New Roman" w:hAnsi="Times New Roman" w:cs="Times New Roman"/>
        </w:rPr>
        <w:t xml:space="preserve"> and CPD provision</w:t>
      </w:r>
      <w:r w:rsidR="00E0272F" w:rsidRPr="00EF66BB">
        <w:rPr>
          <w:rFonts w:ascii="Times New Roman" w:hAnsi="Times New Roman" w:cs="Times New Roman"/>
        </w:rPr>
        <w:t xml:space="preserve"> and cultural, social and community engagements.  </w:t>
      </w:r>
    </w:p>
    <w:p w14:paraId="356FECE2" w14:textId="77777777" w:rsidR="001E6098" w:rsidRPr="00EF66BB" w:rsidRDefault="001E6098" w:rsidP="00141231">
      <w:pPr>
        <w:spacing w:line="360" w:lineRule="auto"/>
        <w:rPr>
          <w:rFonts w:ascii="Times New Roman" w:hAnsi="Times New Roman" w:cs="Times New Roman"/>
        </w:rPr>
      </w:pPr>
    </w:p>
    <w:p w14:paraId="27E005A6" w14:textId="4BE6AC50" w:rsidR="00FF3FCA" w:rsidRPr="00EF66BB" w:rsidRDefault="00E0272F" w:rsidP="00141231">
      <w:pPr>
        <w:spacing w:line="360" w:lineRule="auto"/>
        <w:rPr>
          <w:rFonts w:ascii="Times New Roman" w:hAnsi="Times New Roman" w:cs="Times New Roman"/>
        </w:rPr>
      </w:pPr>
      <w:r w:rsidRPr="00EF66BB">
        <w:rPr>
          <w:rFonts w:ascii="Times New Roman" w:hAnsi="Times New Roman" w:cs="Times New Roman"/>
        </w:rPr>
        <w:t xml:space="preserve">One of the key strengths </w:t>
      </w:r>
      <w:r w:rsidR="006D1AF6" w:rsidRPr="00EF66BB">
        <w:rPr>
          <w:rFonts w:ascii="Times New Roman" w:hAnsi="Times New Roman" w:cs="Times New Roman"/>
        </w:rPr>
        <w:t xml:space="preserve">is that all UK </w:t>
      </w:r>
      <w:r w:rsidR="00CD3B59" w:rsidRPr="00EF66BB">
        <w:rPr>
          <w:rFonts w:ascii="Times New Roman" w:hAnsi="Times New Roman" w:cs="Times New Roman"/>
        </w:rPr>
        <w:t xml:space="preserve">HEIs </w:t>
      </w:r>
      <w:r w:rsidR="006D1AF6" w:rsidRPr="00EF66BB">
        <w:rPr>
          <w:rFonts w:ascii="Times New Roman" w:hAnsi="Times New Roman" w:cs="Times New Roman"/>
        </w:rPr>
        <w:t>are included in</w:t>
      </w:r>
      <w:r w:rsidRPr="00EF66BB">
        <w:rPr>
          <w:rFonts w:ascii="Times New Roman" w:hAnsi="Times New Roman" w:cs="Times New Roman"/>
        </w:rPr>
        <w:t xml:space="preserve"> the HE-BCI survey</w:t>
      </w:r>
      <w:r w:rsidR="006D1AF6" w:rsidRPr="00EF66BB">
        <w:rPr>
          <w:rFonts w:ascii="Times New Roman" w:hAnsi="Times New Roman" w:cs="Times New Roman"/>
        </w:rPr>
        <w:t>.</w:t>
      </w:r>
      <w:r w:rsidRPr="00EF66BB">
        <w:rPr>
          <w:rFonts w:ascii="Times New Roman" w:hAnsi="Times New Roman" w:cs="Times New Roman"/>
        </w:rPr>
        <w:t xml:space="preserve"> </w:t>
      </w:r>
      <w:r w:rsidR="006D1AF6" w:rsidRPr="00EF66BB">
        <w:rPr>
          <w:rFonts w:ascii="Times New Roman" w:hAnsi="Times New Roman" w:cs="Times New Roman"/>
        </w:rPr>
        <w:t>H</w:t>
      </w:r>
      <w:r w:rsidRPr="00EF66BB">
        <w:rPr>
          <w:rFonts w:ascii="Times New Roman" w:hAnsi="Times New Roman" w:cs="Times New Roman"/>
        </w:rPr>
        <w:t>owever</w:t>
      </w:r>
      <w:r w:rsidR="00CD3B59" w:rsidRPr="00EF66BB">
        <w:rPr>
          <w:rFonts w:ascii="Times New Roman" w:hAnsi="Times New Roman" w:cs="Times New Roman"/>
        </w:rPr>
        <w:t>,</w:t>
      </w:r>
      <w:r w:rsidRPr="00EF66BB">
        <w:rPr>
          <w:rFonts w:ascii="Times New Roman" w:hAnsi="Times New Roman" w:cs="Times New Roman"/>
        </w:rPr>
        <w:t xml:space="preserve"> it is not appropriate for us to consider all HEIs in our analysis, since some of institutions are not ‘universities’ </w:t>
      </w:r>
      <w:r w:rsidRPr="00EF66BB">
        <w:rPr>
          <w:rFonts w:ascii="Times New Roman" w:hAnsi="Times New Roman" w:cs="Times New Roman"/>
          <w:i/>
        </w:rPr>
        <w:t>per se</w:t>
      </w:r>
      <w:r w:rsidRPr="00EF66BB">
        <w:rPr>
          <w:rFonts w:ascii="Times New Roman" w:hAnsi="Times New Roman" w:cs="Times New Roman"/>
        </w:rPr>
        <w:t xml:space="preserve"> but colleges and specialist higher education providers (</w:t>
      </w:r>
      <w:proofErr w:type="spellStart"/>
      <w:r w:rsidRPr="00EF66BB">
        <w:rPr>
          <w:rFonts w:ascii="Times New Roman" w:hAnsi="Times New Roman" w:cs="Times New Roman"/>
        </w:rPr>
        <w:t>e.g</w:t>
      </w:r>
      <w:proofErr w:type="spellEnd"/>
      <w:r w:rsidRPr="00EF66BB">
        <w:rPr>
          <w:rFonts w:ascii="Times New Roman" w:hAnsi="Times New Roman" w:cs="Times New Roman"/>
        </w:rPr>
        <w:t xml:space="preserve"> the Royal Northern School of Music). Therefore, to ensure comparability across our sample, we selected </w:t>
      </w:r>
      <w:r w:rsidRPr="00EF66BB">
        <w:rPr>
          <w:rFonts w:ascii="Times New Roman" w:hAnsi="Times New Roman" w:cs="Times New Roman"/>
        </w:rPr>
        <w:lastRenderedPageBreak/>
        <w:t>those institutions for which a completed return was submitted that was recognised as a ranked university by according the Times Higher Education Rankings in 2014. Thus</w:t>
      </w:r>
      <w:r w:rsidR="00CD3B59" w:rsidRPr="00EF66BB">
        <w:rPr>
          <w:rFonts w:ascii="Times New Roman" w:hAnsi="Times New Roman" w:cs="Times New Roman"/>
        </w:rPr>
        <w:t xml:space="preserve">, the </w:t>
      </w:r>
      <w:r w:rsidRPr="00EF66BB">
        <w:rPr>
          <w:rFonts w:ascii="Times New Roman" w:hAnsi="Times New Roman" w:cs="Times New Roman"/>
        </w:rPr>
        <w:t xml:space="preserve">final analysis was based on data from 115 ranked UK universities  </w:t>
      </w:r>
    </w:p>
    <w:p w14:paraId="54B2E9B3" w14:textId="77777777" w:rsidR="00A1067C" w:rsidRPr="00EF66BB" w:rsidRDefault="00A1067C" w:rsidP="00141231">
      <w:pPr>
        <w:spacing w:line="360" w:lineRule="auto"/>
        <w:rPr>
          <w:rFonts w:ascii="Times New Roman" w:hAnsi="Times New Roman" w:cs="Times New Roman"/>
        </w:rPr>
      </w:pPr>
    </w:p>
    <w:p w14:paraId="7B490687" w14:textId="722C93AB" w:rsidR="00FF3FCA" w:rsidRPr="00EF66BB" w:rsidRDefault="003A343A" w:rsidP="00141231">
      <w:pPr>
        <w:pStyle w:val="Heading3"/>
        <w:spacing w:line="360" w:lineRule="auto"/>
        <w:rPr>
          <w:rFonts w:ascii="Times New Roman" w:hAnsi="Times New Roman" w:cs="Times New Roman"/>
        </w:rPr>
      </w:pPr>
      <w:r w:rsidRPr="00EF66BB">
        <w:rPr>
          <w:rFonts w:ascii="Times New Roman" w:hAnsi="Times New Roman" w:cs="Times New Roman"/>
        </w:rPr>
        <w:t xml:space="preserve">3.2 </w:t>
      </w:r>
      <w:r w:rsidR="00A1067C" w:rsidRPr="00EF66BB">
        <w:rPr>
          <w:rFonts w:ascii="Times New Roman" w:hAnsi="Times New Roman" w:cs="Times New Roman"/>
        </w:rPr>
        <w:t xml:space="preserve">Measures </w:t>
      </w:r>
    </w:p>
    <w:p w14:paraId="3BF5FFA8" w14:textId="1ACCDAF1" w:rsidR="008F29B6" w:rsidRPr="00EF66BB" w:rsidRDefault="008F29B6" w:rsidP="00141231">
      <w:pPr>
        <w:spacing w:line="360" w:lineRule="auto"/>
        <w:rPr>
          <w:rFonts w:ascii="Times New Roman" w:hAnsi="Times New Roman" w:cs="Times New Roman"/>
        </w:rPr>
      </w:pPr>
      <w:r w:rsidRPr="00EF66BB">
        <w:rPr>
          <w:rFonts w:ascii="Times New Roman" w:hAnsi="Times New Roman" w:cs="Times New Roman"/>
        </w:rPr>
        <w:t xml:space="preserve">Technology transfer effectiveness, our dependent variable, </w:t>
      </w:r>
      <w:r w:rsidR="009350D7">
        <w:rPr>
          <w:rFonts w:ascii="Times New Roman" w:hAnsi="Times New Roman" w:cs="Times New Roman"/>
        </w:rPr>
        <w:t>i</w:t>
      </w:r>
      <w:r w:rsidRPr="00EF66BB">
        <w:rPr>
          <w:rFonts w:ascii="Times New Roman" w:hAnsi="Times New Roman" w:cs="Times New Roman"/>
        </w:rPr>
        <w:t>s measured by three performance indicators: (1) total IP revenue</w:t>
      </w:r>
      <w:r w:rsidR="00CD3B59" w:rsidRPr="00EF66BB">
        <w:rPr>
          <w:rFonts w:ascii="Times New Roman" w:hAnsi="Times New Roman" w:cs="Times New Roman"/>
        </w:rPr>
        <w:t>;</w:t>
      </w:r>
      <w:r w:rsidRPr="00EF66BB">
        <w:rPr>
          <w:rFonts w:ascii="Times New Roman" w:hAnsi="Times New Roman" w:cs="Times New Roman"/>
        </w:rPr>
        <w:t xml:space="preserve"> (2) value from the sales of spin-off shares</w:t>
      </w:r>
      <w:r w:rsidR="00CD3B59" w:rsidRPr="00EF66BB">
        <w:rPr>
          <w:rFonts w:ascii="Times New Roman" w:hAnsi="Times New Roman" w:cs="Times New Roman"/>
        </w:rPr>
        <w:t>;</w:t>
      </w:r>
      <w:r w:rsidRPr="00EF66BB">
        <w:rPr>
          <w:rFonts w:ascii="Times New Roman" w:hAnsi="Times New Roman" w:cs="Times New Roman"/>
        </w:rPr>
        <w:t xml:space="preserve"> and (3) total value of research contract</w:t>
      </w:r>
      <w:r w:rsidR="00E31E9F">
        <w:rPr>
          <w:rFonts w:ascii="Times New Roman" w:hAnsi="Times New Roman" w:cs="Times New Roman"/>
        </w:rPr>
        <w:t>s</w:t>
      </w:r>
      <w:r w:rsidR="00A206D7">
        <w:rPr>
          <w:rFonts w:ascii="Times New Roman" w:hAnsi="Times New Roman" w:cs="Times New Roman"/>
        </w:rPr>
        <w:t xml:space="preserve">. </w:t>
      </w:r>
      <w:r w:rsidRPr="00EF66BB">
        <w:rPr>
          <w:rFonts w:ascii="Times New Roman" w:hAnsi="Times New Roman" w:cs="Times New Roman"/>
        </w:rPr>
        <w:t xml:space="preserve">These measures were taken from </w:t>
      </w:r>
      <w:r w:rsidR="00A1067C" w:rsidRPr="00EF66BB">
        <w:rPr>
          <w:rFonts w:ascii="Times New Roman" w:hAnsi="Times New Roman" w:cs="Times New Roman"/>
        </w:rPr>
        <w:t>2013</w:t>
      </w:r>
      <w:r w:rsidRPr="00EF66BB">
        <w:rPr>
          <w:rFonts w:ascii="Times New Roman" w:hAnsi="Times New Roman" w:cs="Times New Roman"/>
        </w:rPr>
        <w:t>/</w:t>
      </w:r>
      <w:r w:rsidR="00A1067C" w:rsidRPr="00EF66BB">
        <w:rPr>
          <w:rFonts w:ascii="Times New Roman" w:hAnsi="Times New Roman" w:cs="Times New Roman"/>
        </w:rPr>
        <w:t>14 annual returns</w:t>
      </w:r>
      <w:r w:rsidRPr="00EF66BB">
        <w:rPr>
          <w:rFonts w:ascii="Times New Roman" w:hAnsi="Times New Roman" w:cs="Times New Roman"/>
        </w:rPr>
        <w:t xml:space="preserve"> giving a </w:t>
      </w:r>
      <w:r w:rsidR="00CD3B59" w:rsidRPr="00EF66BB">
        <w:rPr>
          <w:rFonts w:ascii="Times New Roman" w:hAnsi="Times New Roman" w:cs="Times New Roman"/>
        </w:rPr>
        <w:t>three-year</w:t>
      </w:r>
      <w:r w:rsidRPr="00EF66BB">
        <w:rPr>
          <w:rFonts w:ascii="Times New Roman" w:hAnsi="Times New Roman" w:cs="Times New Roman"/>
        </w:rPr>
        <w:t xml:space="preserve"> time lag between the </w:t>
      </w:r>
      <w:r w:rsidR="00A1067C" w:rsidRPr="00EF66BB">
        <w:rPr>
          <w:rFonts w:ascii="Times New Roman" w:hAnsi="Times New Roman" w:cs="Times New Roman"/>
        </w:rPr>
        <w:t xml:space="preserve">mediator variable, </w:t>
      </w:r>
      <w:r w:rsidR="00A66AB9">
        <w:rPr>
          <w:rFonts w:ascii="Times New Roman" w:hAnsi="Times New Roman" w:cs="Times New Roman"/>
        </w:rPr>
        <w:t>‘</w:t>
      </w:r>
      <w:r w:rsidR="003B2BF7" w:rsidRPr="00EF66BB">
        <w:rPr>
          <w:rFonts w:ascii="Times New Roman" w:hAnsi="Times New Roman" w:cs="Times New Roman"/>
        </w:rPr>
        <w:t>University Strategic Priority</w:t>
      </w:r>
      <w:r w:rsidR="00A66AB9">
        <w:rPr>
          <w:rFonts w:ascii="Times New Roman" w:hAnsi="Times New Roman" w:cs="Times New Roman"/>
        </w:rPr>
        <w:t>’</w:t>
      </w:r>
      <w:r w:rsidR="00A1067C" w:rsidRPr="00EF66BB">
        <w:rPr>
          <w:rFonts w:ascii="Times New Roman" w:hAnsi="Times New Roman" w:cs="Times New Roman"/>
        </w:rPr>
        <w:t xml:space="preserve"> (taken from 2010/11 returns)  </w:t>
      </w:r>
      <w:r w:rsidRPr="00EF66BB">
        <w:rPr>
          <w:rFonts w:ascii="Times New Roman" w:hAnsi="Times New Roman" w:cs="Times New Roman"/>
        </w:rPr>
        <w:t xml:space="preserve">and the outcome variable and </w:t>
      </w:r>
      <w:r w:rsidR="00CD3B59" w:rsidRPr="00EF66BB">
        <w:rPr>
          <w:rFonts w:ascii="Times New Roman" w:hAnsi="Times New Roman" w:cs="Times New Roman"/>
        </w:rPr>
        <w:t xml:space="preserve">a five </w:t>
      </w:r>
      <w:r w:rsidRPr="00EF66BB">
        <w:rPr>
          <w:rFonts w:ascii="Times New Roman" w:hAnsi="Times New Roman" w:cs="Times New Roman"/>
        </w:rPr>
        <w:t xml:space="preserve">year time lag between the </w:t>
      </w:r>
      <w:r w:rsidR="00A7512E" w:rsidRPr="00EF66BB">
        <w:rPr>
          <w:rFonts w:ascii="Times New Roman" w:hAnsi="Times New Roman" w:cs="Times New Roman"/>
        </w:rPr>
        <w:t>exogenous</w:t>
      </w:r>
      <w:r w:rsidRPr="00EF66BB">
        <w:rPr>
          <w:rFonts w:ascii="Times New Roman" w:hAnsi="Times New Roman" w:cs="Times New Roman"/>
        </w:rPr>
        <w:t xml:space="preserve"> variable</w:t>
      </w:r>
      <w:r w:rsidR="00A1067C" w:rsidRPr="00EF66BB">
        <w:rPr>
          <w:rFonts w:ascii="Times New Roman" w:hAnsi="Times New Roman" w:cs="Times New Roman"/>
        </w:rPr>
        <w:t>s, T</w:t>
      </w:r>
      <w:r w:rsidR="00A7512E" w:rsidRPr="00EF66BB">
        <w:rPr>
          <w:rFonts w:ascii="Times New Roman" w:hAnsi="Times New Roman" w:cs="Times New Roman"/>
        </w:rPr>
        <w:t xml:space="preserve">echnology </w:t>
      </w:r>
      <w:r w:rsidR="00A1067C" w:rsidRPr="00EF66BB">
        <w:rPr>
          <w:rFonts w:ascii="Times New Roman" w:hAnsi="Times New Roman" w:cs="Times New Roman"/>
        </w:rPr>
        <w:t>T</w:t>
      </w:r>
      <w:r w:rsidR="00A7512E" w:rsidRPr="00EF66BB">
        <w:rPr>
          <w:rFonts w:ascii="Times New Roman" w:hAnsi="Times New Roman" w:cs="Times New Roman"/>
        </w:rPr>
        <w:t>ransfer</w:t>
      </w:r>
      <w:r w:rsidR="00A1067C" w:rsidRPr="00EF66BB">
        <w:rPr>
          <w:rFonts w:ascii="Times New Roman" w:hAnsi="Times New Roman" w:cs="Times New Roman"/>
        </w:rPr>
        <w:t xml:space="preserve"> Support and Incentives (taken from 2008/09 returns)</w:t>
      </w:r>
      <w:r w:rsidR="00A66AE8">
        <w:rPr>
          <w:rStyle w:val="FootnoteReference"/>
          <w:rFonts w:ascii="Times New Roman" w:hAnsi="Times New Roman" w:cs="Times New Roman"/>
        </w:rPr>
        <w:footnoteReference w:id="2"/>
      </w:r>
      <w:r w:rsidRPr="00EF66BB">
        <w:rPr>
          <w:rFonts w:ascii="Times New Roman" w:hAnsi="Times New Roman" w:cs="Times New Roman"/>
        </w:rPr>
        <w:t>.  Construct validity was established through exploratory factor analysis</w:t>
      </w:r>
      <w:r w:rsidR="009A5A88" w:rsidRPr="00EF66BB">
        <w:rPr>
          <w:rFonts w:ascii="Times New Roman" w:hAnsi="Times New Roman" w:cs="Times New Roman"/>
        </w:rPr>
        <w:t xml:space="preserve"> (EFA)</w:t>
      </w:r>
      <w:r w:rsidRPr="00EF66BB">
        <w:rPr>
          <w:rFonts w:ascii="Times New Roman" w:hAnsi="Times New Roman" w:cs="Times New Roman"/>
        </w:rPr>
        <w:t xml:space="preserve">, indicating that those three items formed a single factor, eigenvalue = 2.615 with 65.37% of variance explained. Factor loadings were 0.958, 0.937 and 0.849 respectively for the three measures. </w:t>
      </w:r>
    </w:p>
    <w:p w14:paraId="23F52ACB" w14:textId="77777777" w:rsidR="008F29B6" w:rsidRPr="00EF66BB" w:rsidRDefault="008F29B6" w:rsidP="00141231">
      <w:pPr>
        <w:spacing w:line="360" w:lineRule="auto"/>
        <w:rPr>
          <w:rFonts w:ascii="Times New Roman" w:hAnsi="Times New Roman" w:cs="Times New Roman"/>
        </w:rPr>
      </w:pPr>
    </w:p>
    <w:p w14:paraId="675D9184" w14:textId="3FDDB1C5" w:rsidR="008F29B6" w:rsidRPr="00EF66BB" w:rsidRDefault="008F29B6" w:rsidP="00141231">
      <w:pPr>
        <w:autoSpaceDE w:val="0"/>
        <w:autoSpaceDN w:val="0"/>
        <w:adjustRightInd w:val="0"/>
        <w:spacing w:line="360" w:lineRule="auto"/>
        <w:rPr>
          <w:rFonts w:ascii="Times New Roman" w:hAnsi="Times New Roman" w:cs="Times New Roman"/>
          <w:bCs/>
        </w:rPr>
      </w:pPr>
      <w:r w:rsidRPr="00EF66BB">
        <w:rPr>
          <w:rFonts w:ascii="Times New Roman" w:hAnsi="Times New Roman" w:cs="Times New Roman"/>
          <w:bCs/>
        </w:rPr>
        <w:t>We used two exogenous variables relate</w:t>
      </w:r>
      <w:r w:rsidR="009350D7">
        <w:rPr>
          <w:rFonts w:ascii="Times New Roman" w:hAnsi="Times New Roman" w:cs="Times New Roman"/>
          <w:bCs/>
        </w:rPr>
        <w:t>d</w:t>
      </w:r>
      <w:r w:rsidRPr="00EF66BB">
        <w:rPr>
          <w:rFonts w:ascii="Times New Roman" w:hAnsi="Times New Roman" w:cs="Times New Roman"/>
          <w:bCs/>
        </w:rPr>
        <w:t xml:space="preserve"> to the commitment </w:t>
      </w:r>
      <w:r w:rsidR="00FA6E74" w:rsidRPr="00EF66BB">
        <w:rPr>
          <w:rFonts w:ascii="Times New Roman" w:hAnsi="Times New Roman" w:cs="Times New Roman"/>
          <w:bCs/>
        </w:rPr>
        <w:t xml:space="preserve">that </w:t>
      </w:r>
      <w:r w:rsidRPr="00EF66BB">
        <w:rPr>
          <w:rFonts w:ascii="Times New Roman" w:hAnsi="Times New Roman" w:cs="Times New Roman"/>
          <w:bCs/>
        </w:rPr>
        <w:t xml:space="preserve">each university makes in terms of realising </w:t>
      </w:r>
      <w:r w:rsidR="009350D7">
        <w:rPr>
          <w:rFonts w:ascii="Times New Roman" w:hAnsi="Times New Roman" w:cs="Times New Roman"/>
          <w:bCs/>
        </w:rPr>
        <w:t>their</w:t>
      </w:r>
      <w:r w:rsidRPr="00EF66BB">
        <w:rPr>
          <w:rFonts w:ascii="Times New Roman" w:hAnsi="Times New Roman" w:cs="Times New Roman"/>
          <w:bCs/>
        </w:rPr>
        <w:t xml:space="preserve"> strategic aims in relation</w:t>
      </w:r>
      <w:r w:rsidR="00DE16C0">
        <w:rPr>
          <w:rFonts w:ascii="Times New Roman" w:hAnsi="Times New Roman" w:cs="Times New Roman"/>
          <w:bCs/>
        </w:rPr>
        <w:t xml:space="preserve"> </w:t>
      </w:r>
      <w:r w:rsidRPr="00EF66BB">
        <w:rPr>
          <w:rFonts w:ascii="Times New Roman" w:hAnsi="Times New Roman" w:cs="Times New Roman"/>
          <w:bCs/>
        </w:rPr>
        <w:t xml:space="preserve">to technology transfer. The first of these variables is referred to as </w:t>
      </w:r>
      <w:r w:rsidR="004D0066" w:rsidRPr="00EF66BB">
        <w:rPr>
          <w:rFonts w:ascii="Times New Roman" w:hAnsi="Times New Roman" w:cs="Times New Roman"/>
          <w:bCs/>
        </w:rPr>
        <w:t>TT Support</w:t>
      </w:r>
      <w:r w:rsidRPr="00EF66BB">
        <w:rPr>
          <w:rFonts w:ascii="Times New Roman" w:hAnsi="Times New Roman" w:cs="Times New Roman"/>
          <w:bCs/>
        </w:rPr>
        <w:t xml:space="preserve"> and</w:t>
      </w:r>
      <w:r w:rsidR="009350D7">
        <w:rPr>
          <w:rFonts w:ascii="Times New Roman" w:hAnsi="Times New Roman" w:cs="Times New Roman"/>
          <w:bCs/>
        </w:rPr>
        <w:t xml:space="preserve"> is</w:t>
      </w:r>
      <w:r w:rsidRPr="00EF66BB">
        <w:rPr>
          <w:rFonts w:ascii="Times New Roman" w:hAnsi="Times New Roman" w:cs="Times New Roman"/>
          <w:bCs/>
        </w:rPr>
        <w:t xml:space="preserve"> measured through the number of commercial engagement staff employed by the TTO. Second, in the 2009 questionnaire, </w:t>
      </w:r>
      <w:r w:rsidRPr="00EF66BB">
        <w:rPr>
          <w:rFonts w:ascii="Times New Roman" w:hAnsi="Times New Roman" w:cs="Times New Roman"/>
        </w:rPr>
        <w:t xml:space="preserve">HEIs rate the level of incentives for staff to engage with external partners, assessing themselves against a five-point scale where ‘1’ represents barriers outweighing incentives and ‘5’ suggests strong incentives in place. </w:t>
      </w:r>
      <w:r w:rsidR="00FA6E74" w:rsidRPr="00EF66BB">
        <w:rPr>
          <w:rFonts w:ascii="Times New Roman" w:hAnsi="Times New Roman" w:cs="Times New Roman"/>
        </w:rPr>
        <w:t>Incentivising</w:t>
      </w:r>
      <w:r w:rsidRPr="00EF66BB">
        <w:rPr>
          <w:rFonts w:ascii="Times New Roman" w:hAnsi="Times New Roman" w:cs="Times New Roman"/>
        </w:rPr>
        <w:t xml:space="preserve"> is therefore </w:t>
      </w:r>
      <w:r w:rsidRPr="00EF66BB">
        <w:rPr>
          <w:rFonts w:ascii="Times New Roman" w:hAnsi="Times New Roman" w:cs="Times New Roman"/>
          <w:bCs/>
        </w:rPr>
        <w:t xml:space="preserve">a measure of the perceived level of commitment demonstrated through </w:t>
      </w:r>
      <w:r w:rsidR="00FA6E74" w:rsidRPr="00EF66BB">
        <w:rPr>
          <w:rFonts w:ascii="Times New Roman" w:hAnsi="Times New Roman" w:cs="Times New Roman"/>
          <w:bCs/>
        </w:rPr>
        <w:t xml:space="preserve">the </w:t>
      </w:r>
      <w:r w:rsidRPr="00EF66BB">
        <w:rPr>
          <w:rFonts w:ascii="Times New Roman" w:hAnsi="Times New Roman" w:cs="Times New Roman"/>
          <w:bCs/>
        </w:rPr>
        <w:t>offering of incentives for staff</w:t>
      </w:r>
      <w:r w:rsidR="00FA6E74" w:rsidRPr="00EF66BB">
        <w:rPr>
          <w:rFonts w:ascii="Times New Roman" w:hAnsi="Times New Roman" w:cs="Times New Roman"/>
          <w:bCs/>
        </w:rPr>
        <w:t xml:space="preserve">; </w:t>
      </w:r>
      <w:r w:rsidRPr="00EF66BB">
        <w:rPr>
          <w:rFonts w:ascii="Times New Roman" w:hAnsi="Times New Roman" w:cs="Times New Roman"/>
          <w:bCs/>
        </w:rPr>
        <w:t>higher scores indicat</w:t>
      </w:r>
      <w:r w:rsidR="00FA6E74" w:rsidRPr="00EF66BB">
        <w:rPr>
          <w:rFonts w:ascii="Times New Roman" w:hAnsi="Times New Roman" w:cs="Times New Roman"/>
          <w:bCs/>
        </w:rPr>
        <w:t>e</w:t>
      </w:r>
      <w:r w:rsidRPr="00EF66BB">
        <w:rPr>
          <w:rFonts w:ascii="Times New Roman" w:hAnsi="Times New Roman" w:cs="Times New Roman"/>
          <w:bCs/>
        </w:rPr>
        <w:t xml:space="preserve"> stronger commitment.  </w:t>
      </w:r>
    </w:p>
    <w:p w14:paraId="23DA573D" w14:textId="77777777" w:rsidR="008F29B6" w:rsidRPr="00EF66BB" w:rsidRDefault="008F29B6" w:rsidP="00141231">
      <w:pPr>
        <w:autoSpaceDE w:val="0"/>
        <w:autoSpaceDN w:val="0"/>
        <w:adjustRightInd w:val="0"/>
        <w:spacing w:line="360" w:lineRule="auto"/>
        <w:rPr>
          <w:rFonts w:ascii="Times New Roman" w:hAnsi="Times New Roman" w:cs="Times New Roman"/>
          <w:bCs/>
        </w:rPr>
      </w:pPr>
    </w:p>
    <w:p w14:paraId="0BA46BB8" w14:textId="7427307C" w:rsidR="008F29B6" w:rsidRPr="00EF66BB" w:rsidRDefault="008F29B6"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bCs/>
        </w:rPr>
        <w:t xml:space="preserve">The main mediation explanatory variable of interest is </w:t>
      </w:r>
      <w:r w:rsidR="0030131C" w:rsidRPr="00EF66BB">
        <w:rPr>
          <w:rFonts w:ascii="Times New Roman" w:hAnsi="Times New Roman" w:cs="Times New Roman"/>
          <w:bCs/>
        </w:rPr>
        <w:t xml:space="preserve">Technology Transfer </w:t>
      </w:r>
      <w:r w:rsidR="004F58F9">
        <w:rPr>
          <w:rFonts w:ascii="Times New Roman" w:hAnsi="Times New Roman" w:cs="Times New Roman"/>
          <w:bCs/>
        </w:rPr>
        <w:t>Priority</w:t>
      </w:r>
      <w:r w:rsidR="0030131C" w:rsidRPr="00EF66BB">
        <w:rPr>
          <w:rFonts w:ascii="Times New Roman" w:hAnsi="Times New Roman" w:cs="Times New Roman"/>
          <w:bCs/>
        </w:rPr>
        <w:t xml:space="preserve"> </w:t>
      </w:r>
      <w:r w:rsidR="00A1067C" w:rsidRPr="00EF66BB">
        <w:rPr>
          <w:rFonts w:ascii="Times New Roman" w:hAnsi="Times New Roman" w:cs="Times New Roman"/>
          <w:bCs/>
        </w:rPr>
        <w:t xml:space="preserve">(TT </w:t>
      </w:r>
      <w:r w:rsidR="004F58F9">
        <w:rPr>
          <w:rFonts w:ascii="Times New Roman" w:hAnsi="Times New Roman" w:cs="Times New Roman"/>
          <w:bCs/>
        </w:rPr>
        <w:t>P</w:t>
      </w:r>
      <w:r w:rsidR="0030131C" w:rsidRPr="00EF66BB">
        <w:rPr>
          <w:rFonts w:ascii="Times New Roman" w:hAnsi="Times New Roman" w:cs="Times New Roman"/>
          <w:bCs/>
        </w:rPr>
        <w:t>riority</w:t>
      </w:r>
      <w:r w:rsidR="00A1067C" w:rsidRPr="00EF66BB">
        <w:rPr>
          <w:rFonts w:ascii="Times New Roman" w:hAnsi="Times New Roman" w:cs="Times New Roman"/>
          <w:bCs/>
        </w:rPr>
        <w:t>)</w:t>
      </w:r>
      <w:r w:rsidRPr="00EF66BB">
        <w:rPr>
          <w:rFonts w:ascii="Times New Roman" w:hAnsi="Times New Roman" w:cs="Times New Roman"/>
          <w:bCs/>
        </w:rPr>
        <w:t>. In the HE-BCI survey, all respondents were asked to rate</w:t>
      </w:r>
      <w:r w:rsidR="00FA6E74" w:rsidRPr="00EF66BB">
        <w:rPr>
          <w:rFonts w:ascii="Times New Roman" w:hAnsi="Times New Roman" w:cs="Times New Roman"/>
          <w:bCs/>
        </w:rPr>
        <w:t>,</w:t>
      </w:r>
      <w:r w:rsidRPr="00EF66BB">
        <w:rPr>
          <w:rFonts w:ascii="Times New Roman" w:hAnsi="Times New Roman" w:cs="Times New Roman"/>
          <w:bCs/>
        </w:rPr>
        <w:t xml:space="preserve"> </w:t>
      </w:r>
      <w:r w:rsidR="00A02C96">
        <w:rPr>
          <w:rFonts w:ascii="Times New Roman" w:hAnsi="Times New Roman" w:cs="Times New Roman"/>
          <w:bCs/>
        </w:rPr>
        <w:t>on</w:t>
      </w:r>
      <w:r w:rsidRPr="00EF66BB">
        <w:rPr>
          <w:rFonts w:ascii="Times New Roman" w:hAnsi="Times New Roman" w:cs="Times New Roman"/>
          <w:bCs/>
        </w:rPr>
        <w:t xml:space="preserve"> a dichotomous scale</w:t>
      </w:r>
      <w:r w:rsidR="00FA6E74" w:rsidRPr="00EF66BB">
        <w:rPr>
          <w:rFonts w:ascii="Times New Roman" w:hAnsi="Times New Roman" w:cs="Times New Roman"/>
          <w:bCs/>
        </w:rPr>
        <w:t>,</w:t>
      </w:r>
      <w:r w:rsidRPr="00EF66BB">
        <w:rPr>
          <w:rFonts w:ascii="Times New Roman" w:hAnsi="Times New Roman" w:cs="Times New Roman"/>
          <w:bCs/>
        </w:rPr>
        <w:t xml:space="preserve"> three </w:t>
      </w:r>
      <w:r w:rsidR="00FA6E74" w:rsidRPr="00EF66BB">
        <w:rPr>
          <w:rFonts w:ascii="Times New Roman" w:hAnsi="Times New Roman" w:cs="Times New Roman"/>
          <w:bCs/>
        </w:rPr>
        <w:t xml:space="preserve">strategic priority areas from a list of </w:t>
      </w:r>
      <w:r w:rsidRPr="00EF66BB">
        <w:rPr>
          <w:rFonts w:ascii="Times New Roman" w:hAnsi="Times New Roman" w:cs="Times New Roman"/>
          <w:bCs/>
        </w:rPr>
        <w:t>thirteen, which the respective university regard</w:t>
      </w:r>
      <w:r w:rsidR="00FA6E74" w:rsidRPr="00EF66BB">
        <w:rPr>
          <w:rFonts w:ascii="Times New Roman" w:hAnsi="Times New Roman" w:cs="Times New Roman"/>
          <w:bCs/>
        </w:rPr>
        <w:t>s</w:t>
      </w:r>
      <w:r w:rsidRPr="00EF66BB">
        <w:rPr>
          <w:rFonts w:ascii="Times New Roman" w:hAnsi="Times New Roman" w:cs="Times New Roman"/>
          <w:bCs/>
        </w:rPr>
        <w:t xml:space="preserve"> as important for their competitive position in the market. </w:t>
      </w:r>
      <w:r w:rsidR="0094226B" w:rsidRPr="00EF66BB">
        <w:rPr>
          <w:rFonts w:ascii="Times New Roman" w:hAnsi="Times New Roman" w:cs="Times New Roman"/>
        </w:rPr>
        <w:t>TT</w:t>
      </w:r>
      <w:r w:rsidRPr="00EF66BB">
        <w:rPr>
          <w:rFonts w:ascii="Times New Roman" w:hAnsi="Times New Roman" w:cs="Times New Roman"/>
        </w:rPr>
        <w:t xml:space="preserve"> </w:t>
      </w:r>
      <w:r w:rsidR="00C93899">
        <w:rPr>
          <w:rFonts w:ascii="Times New Roman" w:hAnsi="Times New Roman" w:cs="Times New Roman"/>
        </w:rPr>
        <w:t>strategic priority</w:t>
      </w:r>
      <w:r w:rsidRPr="00EF66BB">
        <w:rPr>
          <w:rFonts w:ascii="Times New Roman" w:hAnsi="Times New Roman" w:cs="Times New Roman"/>
        </w:rPr>
        <w:t xml:space="preserve"> in this study was defined as an array of prioritised areas that facilitate </w:t>
      </w:r>
      <w:r w:rsidR="00FA6E74" w:rsidRPr="00EF66BB">
        <w:rPr>
          <w:rFonts w:ascii="Times New Roman" w:hAnsi="Times New Roman" w:cs="Times New Roman"/>
        </w:rPr>
        <w:t xml:space="preserve">the </w:t>
      </w:r>
      <w:r w:rsidRPr="00EF66BB">
        <w:rPr>
          <w:rFonts w:ascii="Times New Roman" w:hAnsi="Times New Roman" w:cs="Times New Roman"/>
        </w:rPr>
        <w:t>effective transfer of technology in HEIs course of action</w:t>
      </w:r>
      <w:r w:rsidR="00FA6E74" w:rsidRPr="00EF66BB">
        <w:rPr>
          <w:rFonts w:ascii="Times New Roman" w:hAnsi="Times New Roman" w:cs="Times New Roman"/>
        </w:rPr>
        <w:t>.</w:t>
      </w:r>
      <w:r w:rsidRPr="00EF66BB">
        <w:rPr>
          <w:rFonts w:ascii="Times New Roman" w:hAnsi="Times New Roman" w:cs="Times New Roman"/>
        </w:rPr>
        <w:t xml:space="preserve"> In this respect, strategies to attract and retain students</w:t>
      </w:r>
      <w:r w:rsidR="00FA6E74" w:rsidRPr="00EF66BB">
        <w:rPr>
          <w:rFonts w:ascii="Times New Roman" w:hAnsi="Times New Roman" w:cs="Times New Roman"/>
        </w:rPr>
        <w:t>;</w:t>
      </w:r>
      <w:r w:rsidRPr="00EF66BB">
        <w:rPr>
          <w:rFonts w:ascii="Times New Roman" w:hAnsi="Times New Roman" w:cs="Times New Roman"/>
        </w:rPr>
        <w:t xml:space="preserve"> supporting </w:t>
      </w:r>
      <w:r w:rsidRPr="00EF66BB">
        <w:rPr>
          <w:rFonts w:ascii="Times New Roman" w:hAnsi="Times New Roman" w:cs="Times New Roman"/>
        </w:rPr>
        <w:lastRenderedPageBreak/>
        <w:t>community development including meeting regional and national skill level</w:t>
      </w:r>
      <w:r w:rsidR="00FA6E74" w:rsidRPr="00EF66BB">
        <w:rPr>
          <w:rFonts w:ascii="Times New Roman" w:hAnsi="Times New Roman" w:cs="Times New Roman"/>
        </w:rPr>
        <w:t xml:space="preserve">s; </w:t>
      </w:r>
      <w:r w:rsidRPr="00EF66BB">
        <w:rPr>
          <w:rFonts w:ascii="Times New Roman" w:hAnsi="Times New Roman" w:cs="Times New Roman"/>
        </w:rPr>
        <w:t>and attract</w:t>
      </w:r>
      <w:r w:rsidR="00FA6E74" w:rsidRPr="00EF66BB">
        <w:rPr>
          <w:rFonts w:ascii="Times New Roman" w:hAnsi="Times New Roman" w:cs="Times New Roman"/>
        </w:rPr>
        <w:t>ing</w:t>
      </w:r>
      <w:r w:rsidRPr="00EF66BB">
        <w:rPr>
          <w:rFonts w:ascii="Times New Roman" w:hAnsi="Times New Roman" w:cs="Times New Roman"/>
        </w:rPr>
        <w:t xml:space="preserve"> investments were not included </w:t>
      </w:r>
      <w:r w:rsidR="00FA6E74" w:rsidRPr="00EF66BB">
        <w:rPr>
          <w:rFonts w:ascii="Times New Roman" w:hAnsi="Times New Roman" w:cs="Times New Roman"/>
        </w:rPr>
        <w:t xml:space="preserve">within </w:t>
      </w:r>
      <w:r w:rsidRPr="00EF66BB">
        <w:rPr>
          <w:rFonts w:ascii="Times New Roman" w:hAnsi="Times New Roman" w:cs="Times New Roman"/>
        </w:rPr>
        <w:t xml:space="preserve">the boundary of </w:t>
      </w:r>
      <w:r w:rsidR="00FA6E74" w:rsidRPr="00EF66BB">
        <w:rPr>
          <w:rFonts w:ascii="Times New Roman" w:hAnsi="Times New Roman" w:cs="Times New Roman"/>
        </w:rPr>
        <w:t>T</w:t>
      </w:r>
      <w:r w:rsidRPr="00EF66BB">
        <w:rPr>
          <w:rFonts w:ascii="Times New Roman" w:hAnsi="Times New Roman" w:cs="Times New Roman"/>
        </w:rPr>
        <w:t xml:space="preserve">echnology </w:t>
      </w:r>
      <w:r w:rsidR="00FA6E74" w:rsidRPr="00EF66BB">
        <w:rPr>
          <w:rFonts w:ascii="Times New Roman" w:hAnsi="Times New Roman" w:cs="Times New Roman"/>
        </w:rPr>
        <w:t>T</w:t>
      </w:r>
      <w:r w:rsidRPr="00EF66BB">
        <w:rPr>
          <w:rFonts w:ascii="Times New Roman" w:hAnsi="Times New Roman" w:cs="Times New Roman"/>
        </w:rPr>
        <w:t>ransfer in this study. Furthermore, ‘support SMEs’ was excluded from the scope of technology transfer becaus</w:t>
      </w:r>
      <w:r w:rsidR="00311E6D" w:rsidRPr="00EF66BB">
        <w:rPr>
          <w:rFonts w:ascii="Times New Roman" w:hAnsi="Times New Roman" w:cs="Times New Roman"/>
        </w:rPr>
        <w:t>e this relates principally to training and CPD rather than IP-based exchanges</w:t>
      </w:r>
      <w:r w:rsidRPr="00EF66BB">
        <w:rPr>
          <w:rFonts w:ascii="Times New Roman" w:hAnsi="Times New Roman" w:cs="Times New Roman"/>
        </w:rPr>
        <w:t xml:space="preserve">. This left us with three indicators </w:t>
      </w:r>
      <w:r w:rsidRPr="00EF66BB">
        <w:rPr>
          <w:rFonts w:ascii="Times New Roman" w:hAnsi="Times New Roman" w:cs="Times New Roman"/>
          <w:bCs/>
        </w:rPr>
        <w:t xml:space="preserve">from the 2011/12 survey </w:t>
      </w:r>
      <w:r w:rsidRPr="00EF66BB">
        <w:rPr>
          <w:rFonts w:ascii="Times New Roman" w:hAnsi="Times New Roman" w:cs="Times New Roman"/>
        </w:rPr>
        <w:t>to consider: ‘technology transfer’</w:t>
      </w:r>
      <w:r w:rsidR="000246A7" w:rsidRPr="00EF66BB">
        <w:rPr>
          <w:rFonts w:ascii="Times New Roman" w:hAnsi="Times New Roman" w:cs="Times New Roman"/>
        </w:rPr>
        <w:t>;</w:t>
      </w:r>
      <w:r w:rsidRPr="00EF66BB">
        <w:rPr>
          <w:rFonts w:ascii="Times New Roman" w:hAnsi="Times New Roman" w:cs="Times New Roman"/>
        </w:rPr>
        <w:t xml:space="preserve"> ‘research collaboration with industry’</w:t>
      </w:r>
      <w:r w:rsidR="000246A7" w:rsidRPr="00EF66BB">
        <w:rPr>
          <w:rFonts w:ascii="Times New Roman" w:hAnsi="Times New Roman" w:cs="Times New Roman"/>
        </w:rPr>
        <w:t>;</w:t>
      </w:r>
      <w:r w:rsidRPr="00EF66BB">
        <w:rPr>
          <w:rFonts w:ascii="Times New Roman" w:hAnsi="Times New Roman" w:cs="Times New Roman"/>
        </w:rPr>
        <w:t xml:space="preserve"> and ‘establish spin-offs’</w:t>
      </w:r>
      <w:r w:rsidR="002A3BBA" w:rsidRPr="00EF66BB">
        <w:rPr>
          <w:rFonts w:ascii="Times New Roman" w:hAnsi="Times New Roman" w:cs="Times New Roman"/>
        </w:rPr>
        <w:t>;</w:t>
      </w:r>
      <w:r w:rsidRPr="00EF66BB">
        <w:rPr>
          <w:rFonts w:ascii="Times New Roman" w:hAnsi="Times New Roman" w:cs="Times New Roman"/>
        </w:rPr>
        <w:t xml:space="preserve"> all </w:t>
      </w:r>
      <w:r w:rsidR="002A3BBA" w:rsidRPr="00EF66BB">
        <w:rPr>
          <w:rFonts w:ascii="Times New Roman" w:hAnsi="Times New Roman" w:cs="Times New Roman"/>
        </w:rPr>
        <w:t xml:space="preserve">are </w:t>
      </w:r>
      <w:r w:rsidRPr="00EF66BB">
        <w:rPr>
          <w:rFonts w:ascii="Times New Roman" w:hAnsi="Times New Roman" w:cs="Times New Roman"/>
          <w:bCs/>
        </w:rPr>
        <w:t xml:space="preserve">dichotomous measures where 1= is a strategy priority; 0= not a priority. </w:t>
      </w:r>
      <w:r w:rsidRPr="00EF66BB">
        <w:rPr>
          <w:rFonts w:ascii="Times New Roman" w:hAnsi="Times New Roman" w:cs="Times New Roman"/>
        </w:rPr>
        <w:t>A fourth dichotomous variable was created using the item ‘importance of commercial partners’</w:t>
      </w:r>
      <w:r w:rsidR="002A3BBA" w:rsidRPr="00EF66BB">
        <w:rPr>
          <w:rFonts w:ascii="Times New Roman" w:hAnsi="Times New Roman" w:cs="Times New Roman"/>
        </w:rPr>
        <w:t>;</w:t>
      </w:r>
      <w:r w:rsidRPr="00EF66BB">
        <w:rPr>
          <w:rFonts w:ascii="Times New Roman" w:hAnsi="Times New Roman" w:cs="Times New Roman"/>
        </w:rPr>
        <w:t xml:space="preserve"> </w:t>
      </w:r>
      <w:r w:rsidR="002A3BBA" w:rsidRPr="00EF66BB">
        <w:rPr>
          <w:rFonts w:ascii="Times New Roman" w:hAnsi="Times New Roman" w:cs="Times New Roman"/>
        </w:rPr>
        <w:t xml:space="preserve">this has </w:t>
      </w:r>
      <w:r w:rsidRPr="00EF66BB">
        <w:rPr>
          <w:rFonts w:ascii="Times New Roman" w:hAnsi="Times New Roman" w:cs="Times New Roman"/>
        </w:rPr>
        <w:t xml:space="preserve">a </w:t>
      </w:r>
      <w:r w:rsidR="00A02C96">
        <w:rPr>
          <w:rFonts w:ascii="Times New Roman" w:hAnsi="Times New Roman" w:cs="Times New Roman"/>
        </w:rPr>
        <w:t>four-</w:t>
      </w:r>
      <w:r w:rsidRPr="00EF66BB">
        <w:rPr>
          <w:rFonts w:ascii="Times New Roman" w:hAnsi="Times New Roman" w:cs="Times New Roman"/>
        </w:rPr>
        <w:t>scale measure where 1</w:t>
      </w:r>
      <w:r w:rsidR="002A3BBA" w:rsidRPr="00EF66BB">
        <w:rPr>
          <w:rFonts w:ascii="Times New Roman" w:hAnsi="Times New Roman" w:cs="Times New Roman"/>
        </w:rPr>
        <w:t>=</w:t>
      </w:r>
      <w:r w:rsidRPr="00EF66BB">
        <w:rPr>
          <w:rFonts w:ascii="Times New Roman" w:hAnsi="Times New Roman" w:cs="Times New Roman"/>
        </w:rPr>
        <w:t xml:space="preserve"> highest priority and 4</w:t>
      </w:r>
      <w:r w:rsidR="002A3BBA" w:rsidRPr="00EF66BB">
        <w:rPr>
          <w:rFonts w:ascii="Times New Roman" w:hAnsi="Times New Roman" w:cs="Times New Roman"/>
        </w:rPr>
        <w:t>=</w:t>
      </w:r>
      <w:r w:rsidRPr="00EF66BB">
        <w:rPr>
          <w:rFonts w:ascii="Times New Roman" w:hAnsi="Times New Roman" w:cs="Times New Roman"/>
        </w:rPr>
        <w:t xml:space="preserve"> lowest priority. </w:t>
      </w:r>
      <w:r w:rsidR="00D528B0" w:rsidRPr="00EF66BB">
        <w:rPr>
          <w:rFonts w:ascii="Times New Roman" w:hAnsi="Times New Roman" w:cs="Times New Roman"/>
        </w:rPr>
        <w:t xml:space="preserve">For </w:t>
      </w:r>
      <w:proofErr w:type="spellStart"/>
      <w:r w:rsidRPr="00EF66BB">
        <w:rPr>
          <w:rFonts w:ascii="Times New Roman" w:hAnsi="Times New Roman" w:cs="Times New Roman"/>
        </w:rPr>
        <w:t>unidimensionality</w:t>
      </w:r>
      <w:proofErr w:type="spellEnd"/>
      <w:r w:rsidR="00D528B0" w:rsidRPr="00EF66BB">
        <w:rPr>
          <w:rFonts w:ascii="Times New Roman" w:hAnsi="Times New Roman" w:cs="Times New Roman"/>
        </w:rPr>
        <w:t xml:space="preserve">, after </w:t>
      </w:r>
      <w:r w:rsidR="009A5A88" w:rsidRPr="00EF66BB">
        <w:rPr>
          <w:rFonts w:ascii="Times New Roman" w:hAnsi="Times New Roman" w:cs="Times New Roman"/>
        </w:rPr>
        <w:t>EFA</w:t>
      </w:r>
      <w:r w:rsidR="00D528B0" w:rsidRPr="00EF66BB">
        <w:rPr>
          <w:rFonts w:ascii="Times New Roman" w:hAnsi="Times New Roman" w:cs="Times New Roman"/>
        </w:rPr>
        <w:t xml:space="preserve">, the item ‘research collaboration with industry’ was dropped leaving </w:t>
      </w:r>
      <w:r w:rsidR="00A02C96">
        <w:rPr>
          <w:rFonts w:ascii="Times New Roman" w:hAnsi="Times New Roman" w:cs="Times New Roman"/>
        </w:rPr>
        <w:t>three</w:t>
      </w:r>
      <w:r w:rsidR="00D528B0" w:rsidRPr="00EF66BB">
        <w:rPr>
          <w:rFonts w:ascii="Times New Roman" w:hAnsi="Times New Roman" w:cs="Times New Roman"/>
        </w:rPr>
        <w:t xml:space="preserve"> items with factor loadings 0.875, 0771 and 0.699 explaining 51.6% variance to represent TT strategy latent variable in CFA and SEM analysis.   </w:t>
      </w:r>
    </w:p>
    <w:p w14:paraId="6A6E97A0" w14:textId="77777777" w:rsidR="008F29B6" w:rsidRPr="00EF66BB" w:rsidRDefault="008F29B6" w:rsidP="00141231">
      <w:pPr>
        <w:autoSpaceDE w:val="0"/>
        <w:autoSpaceDN w:val="0"/>
        <w:adjustRightInd w:val="0"/>
        <w:spacing w:line="360" w:lineRule="auto"/>
        <w:rPr>
          <w:rFonts w:ascii="Times New Roman" w:hAnsi="Times New Roman" w:cs="Times New Roman"/>
          <w:bCs/>
        </w:rPr>
      </w:pPr>
    </w:p>
    <w:p w14:paraId="3DC52180" w14:textId="21180C08" w:rsidR="008F29B6" w:rsidRPr="00EF66BB" w:rsidRDefault="008F29B6"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 xml:space="preserve">Our </w:t>
      </w:r>
      <w:r w:rsidR="00C93899">
        <w:rPr>
          <w:rFonts w:ascii="Times New Roman" w:hAnsi="Times New Roman" w:cs="Times New Roman"/>
        </w:rPr>
        <w:t xml:space="preserve">operationalisation </w:t>
      </w:r>
      <w:r w:rsidRPr="00EF66BB">
        <w:rPr>
          <w:rFonts w:ascii="Times New Roman" w:hAnsi="Times New Roman" w:cs="Times New Roman"/>
        </w:rPr>
        <w:t xml:space="preserve">of </w:t>
      </w:r>
      <w:r w:rsidR="00EE11BA">
        <w:rPr>
          <w:rFonts w:ascii="Times New Roman" w:hAnsi="Times New Roman" w:cs="Times New Roman"/>
        </w:rPr>
        <w:t>Breadth</w:t>
      </w:r>
      <w:r w:rsidR="00EE11BA" w:rsidRPr="00EF66BB">
        <w:rPr>
          <w:rFonts w:ascii="Times New Roman" w:hAnsi="Times New Roman" w:cs="Times New Roman"/>
        </w:rPr>
        <w:t xml:space="preserve"> </w:t>
      </w:r>
      <w:r w:rsidR="007836CA" w:rsidRPr="00EF66BB">
        <w:rPr>
          <w:rFonts w:ascii="Times New Roman" w:hAnsi="Times New Roman" w:cs="Times New Roman"/>
        </w:rPr>
        <w:t xml:space="preserve">of </w:t>
      </w:r>
      <w:r w:rsidRPr="00EF66BB">
        <w:rPr>
          <w:rFonts w:ascii="Times New Roman" w:hAnsi="Times New Roman" w:cs="Times New Roman"/>
        </w:rPr>
        <w:t xml:space="preserve">Strategic Planning is a measure of the extent to which a business support strategy is embedded in </w:t>
      </w:r>
      <w:r w:rsidR="002A3BBA" w:rsidRPr="00EF66BB">
        <w:rPr>
          <w:rFonts w:ascii="Times New Roman" w:hAnsi="Times New Roman" w:cs="Times New Roman"/>
        </w:rPr>
        <w:t xml:space="preserve">respective </w:t>
      </w:r>
      <w:r w:rsidRPr="00EF66BB">
        <w:rPr>
          <w:rFonts w:ascii="Times New Roman" w:hAnsi="Times New Roman" w:cs="Times New Roman"/>
        </w:rPr>
        <w:t>HEIs</w:t>
      </w:r>
      <w:r w:rsidR="002A3BBA" w:rsidRPr="00EF66BB">
        <w:rPr>
          <w:rFonts w:ascii="Times New Roman" w:hAnsi="Times New Roman" w:cs="Times New Roman"/>
        </w:rPr>
        <w:t>,</w:t>
      </w:r>
      <w:r w:rsidRPr="00EF66BB">
        <w:rPr>
          <w:rFonts w:ascii="Times New Roman" w:hAnsi="Times New Roman" w:cs="Times New Roman"/>
        </w:rPr>
        <w:t xml:space="preserve"> ranging from limited (n</w:t>
      </w:r>
      <w:r w:rsidRPr="00EF66BB">
        <w:rPr>
          <w:rFonts w:ascii="Times New Roman" w:hAnsi="Times New Roman" w:cs="Times New Roman"/>
          <w:bCs/>
        </w:rPr>
        <w:t xml:space="preserve">o strategic plan) </w:t>
      </w:r>
      <w:r w:rsidRPr="00EF66BB">
        <w:rPr>
          <w:rFonts w:ascii="Times New Roman" w:hAnsi="Times New Roman" w:cs="Times New Roman"/>
        </w:rPr>
        <w:t>to full implementation (</w:t>
      </w:r>
      <w:r w:rsidR="00A7512E" w:rsidRPr="00EF66BB">
        <w:rPr>
          <w:rFonts w:ascii="Times New Roman" w:hAnsi="Times New Roman" w:cs="Times New Roman"/>
        </w:rPr>
        <w:t>“Strategic plan developed as a result of an inclusive process across the whole HEI”</w:t>
      </w:r>
      <w:r w:rsidRPr="00EF66BB">
        <w:rPr>
          <w:rFonts w:ascii="Times New Roman" w:hAnsi="Times New Roman" w:cs="Times New Roman"/>
        </w:rPr>
        <w:t xml:space="preserve">). To create the moderation variable, the </w:t>
      </w:r>
      <w:r w:rsidR="00A02C96">
        <w:rPr>
          <w:rFonts w:ascii="Times New Roman" w:hAnsi="Times New Roman" w:cs="Times New Roman"/>
        </w:rPr>
        <w:t>five-</w:t>
      </w:r>
      <w:r w:rsidRPr="00EF66BB">
        <w:rPr>
          <w:rFonts w:ascii="Times New Roman" w:hAnsi="Times New Roman" w:cs="Times New Roman"/>
        </w:rPr>
        <w:t xml:space="preserve">point </w:t>
      </w:r>
      <w:r w:rsidR="00A02C96">
        <w:rPr>
          <w:rFonts w:ascii="Times New Roman" w:hAnsi="Times New Roman" w:cs="Times New Roman"/>
        </w:rPr>
        <w:t>L</w:t>
      </w:r>
      <w:r w:rsidRPr="00EF66BB">
        <w:rPr>
          <w:rFonts w:ascii="Times New Roman" w:hAnsi="Times New Roman" w:cs="Times New Roman"/>
        </w:rPr>
        <w:t>ikert scale ‘strategic development of business support’ measure</w:t>
      </w:r>
      <w:r w:rsidR="002A3BBA" w:rsidRPr="00EF66BB">
        <w:rPr>
          <w:rFonts w:ascii="Times New Roman" w:hAnsi="Times New Roman" w:cs="Times New Roman"/>
        </w:rPr>
        <w:t>,</w:t>
      </w:r>
      <w:r w:rsidRPr="00EF66BB">
        <w:rPr>
          <w:rFonts w:ascii="Times New Roman" w:hAnsi="Times New Roman" w:cs="Times New Roman"/>
        </w:rPr>
        <w:t xml:space="preserve"> taken from the </w:t>
      </w:r>
      <w:r w:rsidR="00D528B0" w:rsidRPr="00EF66BB">
        <w:rPr>
          <w:rFonts w:ascii="Times New Roman" w:hAnsi="Times New Roman" w:cs="Times New Roman"/>
        </w:rPr>
        <w:t>2011</w:t>
      </w:r>
      <w:r w:rsidRPr="00EF66BB">
        <w:rPr>
          <w:rFonts w:ascii="Times New Roman" w:hAnsi="Times New Roman" w:cs="Times New Roman"/>
        </w:rPr>
        <w:t>/</w:t>
      </w:r>
      <w:r w:rsidR="00D528B0" w:rsidRPr="00EF66BB">
        <w:rPr>
          <w:rFonts w:ascii="Times New Roman" w:hAnsi="Times New Roman" w:cs="Times New Roman"/>
        </w:rPr>
        <w:t xml:space="preserve">12 </w:t>
      </w:r>
      <w:r w:rsidRPr="00EF66BB">
        <w:rPr>
          <w:rFonts w:ascii="Times New Roman" w:hAnsi="Times New Roman" w:cs="Times New Roman"/>
        </w:rPr>
        <w:t>HE-BCI survey</w:t>
      </w:r>
      <w:r w:rsidR="002A3BBA" w:rsidRPr="00EF66BB">
        <w:rPr>
          <w:rFonts w:ascii="Times New Roman" w:hAnsi="Times New Roman" w:cs="Times New Roman"/>
        </w:rPr>
        <w:t>,</w:t>
      </w:r>
      <w:r w:rsidRPr="00EF66BB">
        <w:rPr>
          <w:rFonts w:ascii="Times New Roman" w:hAnsi="Times New Roman" w:cs="Times New Roman"/>
        </w:rPr>
        <w:t xml:space="preserve"> was rated dichotomously (1 = “high level of planning”</w:t>
      </w:r>
      <w:r w:rsidR="002A3BBA" w:rsidRPr="00EF66BB">
        <w:rPr>
          <w:rFonts w:ascii="Times New Roman" w:hAnsi="Times New Roman" w:cs="Times New Roman"/>
        </w:rPr>
        <w:t>;</w:t>
      </w:r>
      <w:r w:rsidRPr="00EF66BB">
        <w:rPr>
          <w:rFonts w:ascii="Times New Roman" w:hAnsi="Times New Roman" w:cs="Times New Roman"/>
        </w:rPr>
        <w:t xml:space="preserve"> and 0 = “low level of planning”). </w:t>
      </w:r>
    </w:p>
    <w:p w14:paraId="4EA2F30E" w14:textId="77777777" w:rsidR="008F29B6" w:rsidRPr="00EF66BB" w:rsidRDefault="008F29B6" w:rsidP="00141231">
      <w:pPr>
        <w:autoSpaceDE w:val="0"/>
        <w:autoSpaceDN w:val="0"/>
        <w:adjustRightInd w:val="0"/>
        <w:spacing w:line="360" w:lineRule="auto"/>
        <w:rPr>
          <w:rFonts w:ascii="Times New Roman" w:hAnsi="Times New Roman" w:cs="Times New Roman"/>
        </w:rPr>
      </w:pPr>
    </w:p>
    <w:p w14:paraId="5C534BD5" w14:textId="16F938F7" w:rsidR="008F29B6" w:rsidRPr="00EF66BB" w:rsidRDefault="008F29B6" w:rsidP="00141231">
      <w:pPr>
        <w:autoSpaceDE w:val="0"/>
        <w:autoSpaceDN w:val="0"/>
        <w:adjustRightInd w:val="0"/>
        <w:spacing w:line="360" w:lineRule="auto"/>
        <w:rPr>
          <w:rFonts w:ascii="Times New Roman" w:hAnsi="Times New Roman" w:cs="Times New Roman"/>
          <w:shd w:val="clear" w:color="auto" w:fill="FFFFFF"/>
        </w:rPr>
      </w:pPr>
      <w:r w:rsidRPr="00EF66BB">
        <w:rPr>
          <w:rFonts w:ascii="Times New Roman" w:hAnsi="Times New Roman" w:cs="Times New Roman"/>
        </w:rPr>
        <w:t xml:space="preserve">In addition, we measured three variables </w:t>
      </w:r>
      <w:r w:rsidR="002A3BBA" w:rsidRPr="00EF66BB">
        <w:rPr>
          <w:rFonts w:ascii="Times New Roman" w:hAnsi="Times New Roman" w:cs="Times New Roman"/>
        </w:rPr>
        <w:t xml:space="preserve">that </w:t>
      </w:r>
      <w:r w:rsidRPr="00EF66BB">
        <w:rPr>
          <w:rFonts w:ascii="Times New Roman" w:hAnsi="Times New Roman" w:cs="Times New Roman"/>
        </w:rPr>
        <w:t xml:space="preserve">previous studies have shown as significant drivers of a </w:t>
      </w:r>
      <w:r w:rsidR="00FA3951">
        <w:rPr>
          <w:rFonts w:ascii="Times New Roman" w:hAnsi="Times New Roman" w:cs="Times New Roman"/>
        </w:rPr>
        <w:t>u</w:t>
      </w:r>
      <w:r w:rsidRPr="00EF66BB">
        <w:rPr>
          <w:rFonts w:ascii="Times New Roman" w:hAnsi="Times New Roman" w:cs="Times New Roman"/>
        </w:rPr>
        <w:t xml:space="preserve">niversity’s level and capacity to invest in technology transfer activities with single-item scales. The log of university size measured by student numbers was a measure of capacity. The log transformed measure of age </w:t>
      </w:r>
      <w:r w:rsidR="009350D7">
        <w:rPr>
          <w:rFonts w:ascii="Times New Roman" w:hAnsi="Times New Roman" w:cs="Times New Roman"/>
        </w:rPr>
        <w:t>refers</w:t>
      </w:r>
      <w:r w:rsidR="00FA3951">
        <w:rPr>
          <w:rFonts w:ascii="Times New Roman" w:hAnsi="Times New Roman" w:cs="Times New Roman"/>
        </w:rPr>
        <w:t xml:space="preserve"> to</w:t>
      </w:r>
      <w:r w:rsidR="004019B2">
        <w:rPr>
          <w:rFonts w:ascii="Times New Roman" w:hAnsi="Times New Roman" w:cs="Times New Roman"/>
        </w:rPr>
        <w:t xml:space="preserve"> the age of the TT</w:t>
      </w:r>
      <w:r w:rsidR="00FA3951">
        <w:rPr>
          <w:rFonts w:ascii="Times New Roman" w:hAnsi="Times New Roman" w:cs="Times New Roman"/>
        </w:rPr>
        <w:t>O</w:t>
      </w:r>
      <w:r w:rsidR="00D528B0" w:rsidRPr="00EF66BB">
        <w:rPr>
          <w:rFonts w:ascii="Times New Roman" w:hAnsi="Times New Roman" w:cs="Times New Roman"/>
        </w:rPr>
        <w:t xml:space="preserve">. </w:t>
      </w:r>
      <w:r w:rsidRPr="00EF66BB">
        <w:rPr>
          <w:rFonts w:ascii="Times New Roman" w:hAnsi="Times New Roman" w:cs="Times New Roman"/>
        </w:rPr>
        <w:t xml:space="preserve">‘Research quality’ is also included, to control for the possibility that having high calibre research active staff is associated with </w:t>
      </w:r>
      <w:r w:rsidR="002A3BBA" w:rsidRPr="00EF66BB">
        <w:rPr>
          <w:rFonts w:ascii="Times New Roman" w:hAnsi="Times New Roman" w:cs="Times New Roman"/>
        </w:rPr>
        <w:t xml:space="preserve">higher </w:t>
      </w:r>
      <w:r w:rsidRPr="00EF66BB">
        <w:rPr>
          <w:rFonts w:ascii="Times New Roman" w:hAnsi="Times New Roman" w:cs="Times New Roman"/>
        </w:rPr>
        <w:t xml:space="preserve">revenues through technology transfer activities. Although industry dummies were included in a linear model (found </w:t>
      </w:r>
      <w:r w:rsidR="002A3BBA" w:rsidRPr="00EF66BB">
        <w:rPr>
          <w:rFonts w:ascii="Times New Roman" w:hAnsi="Times New Roman" w:cs="Times New Roman"/>
        </w:rPr>
        <w:t xml:space="preserve">not </w:t>
      </w:r>
      <w:r w:rsidRPr="00EF66BB">
        <w:rPr>
          <w:rFonts w:ascii="Times New Roman" w:hAnsi="Times New Roman" w:cs="Times New Roman"/>
        </w:rPr>
        <w:t>to be significant)</w:t>
      </w:r>
      <w:r w:rsidR="002A3BBA" w:rsidRPr="00EF66BB">
        <w:rPr>
          <w:rFonts w:ascii="Times New Roman" w:hAnsi="Times New Roman" w:cs="Times New Roman"/>
        </w:rPr>
        <w:t>;</w:t>
      </w:r>
      <w:r w:rsidRPr="00EF66BB">
        <w:rPr>
          <w:rFonts w:ascii="Times New Roman" w:hAnsi="Times New Roman" w:cs="Times New Roman"/>
        </w:rPr>
        <w:t xml:space="preserve"> these were not included in the SEM analysis to reduce complexity.  </w:t>
      </w:r>
      <w:r w:rsidRPr="00EF66BB">
        <w:rPr>
          <w:rFonts w:ascii="Times New Roman" w:hAnsi="Times New Roman" w:cs="Times New Roman"/>
          <w:shd w:val="clear" w:color="auto" w:fill="FFFFFF"/>
        </w:rPr>
        <w:t xml:space="preserve">Analyses </w:t>
      </w:r>
      <w:r w:rsidR="002A3BBA" w:rsidRPr="00EF66BB">
        <w:rPr>
          <w:rFonts w:ascii="Times New Roman" w:hAnsi="Times New Roman" w:cs="Times New Roman"/>
          <w:shd w:val="clear" w:color="auto" w:fill="FFFFFF"/>
        </w:rPr>
        <w:t xml:space="preserve">of </w:t>
      </w:r>
      <w:r w:rsidRPr="00EF66BB">
        <w:rPr>
          <w:rFonts w:ascii="Times New Roman" w:hAnsi="Times New Roman" w:cs="Times New Roman"/>
          <w:shd w:val="clear" w:color="auto" w:fill="FFFFFF"/>
        </w:rPr>
        <w:t xml:space="preserve">the two latent variables confirmed </w:t>
      </w:r>
      <w:proofErr w:type="spellStart"/>
      <w:r w:rsidRPr="00EF66BB">
        <w:rPr>
          <w:rFonts w:ascii="Times New Roman" w:hAnsi="Times New Roman" w:cs="Times New Roman"/>
          <w:shd w:val="clear" w:color="auto" w:fill="FFFFFF"/>
        </w:rPr>
        <w:t>unidimensionality</w:t>
      </w:r>
      <w:proofErr w:type="spellEnd"/>
      <w:r w:rsidRPr="00EF66BB">
        <w:rPr>
          <w:rFonts w:ascii="Times New Roman" w:hAnsi="Times New Roman" w:cs="Times New Roman"/>
          <w:shd w:val="clear" w:color="auto" w:fill="FFFFFF"/>
        </w:rPr>
        <w:t>, reliability, and measurement invariance of the loadings across all control variables</w:t>
      </w:r>
      <w:r w:rsidR="002A3BBA" w:rsidRPr="00EF66BB">
        <w:rPr>
          <w:rFonts w:ascii="Times New Roman" w:hAnsi="Times New Roman" w:cs="Times New Roman"/>
          <w:shd w:val="clear" w:color="auto" w:fill="FFFFFF"/>
        </w:rPr>
        <w:t>.</w:t>
      </w:r>
    </w:p>
    <w:p w14:paraId="6E630733" w14:textId="77777777" w:rsidR="008F29B6" w:rsidRPr="00EF66BB" w:rsidRDefault="008F29B6" w:rsidP="00141231">
      <w:pPr>
        <w:spacing w:line="360" w:lineRule="auto"/>
        <w:rPr>
          <w:rFonts w:ascii="Times New Roman" w:hAnsi="Times New Roman" w:cs="Times New Roman"/>
        </w:rPr>
      </w:pPr>
    </w:p>
    <w:p w14:paraId="3B8C71CA" w14:textId="7E5C0BAB" w:rsidR="001A3E4C" w:rsidRPr="00EF66BB" w:rsidRDefault="006D4C29" w:rsidP="00141231">
      <w:pPr>
        <w:pStyle w:val="Heading3"/>
        <w:spacing w:line="360" w:lineRule="auto"/>
        <w:rPr>
          <w:rFonts w:ascii="Times New Roman" w:hAnsi="Times New Roman" w:cs="Times New Roman"/>
        </w:rPr>
      </w:pPr>
      <w:r w:rsidRPr="00EF66BB">
        <w:rPr>
          <w:rFonts w:ascii="Times New Roman" w:hAnsi="Times New Roman" w:cs="Times New Roman"/>
        </w:rPr>
        <w:t>3.</w:t>
      </w:r>
      <w:r w:rsidR="003A343A" w:rsidRPr="00EF66BB">
        <w:rPr>
          <w:rFonts w:ascii="Times New Roman" w:hAnsi="Times New Roman" w:cs="Times New Roman"/>
        </w:rPr>
        <w:t>3</w:t>
      </w:r>
      <w:r w:rsidR="007836CA" w:rsidRPr="00EF66BB">
        <w:rPr>
          <w:rFonts w:ascii="Times New Roman" w:hAnsi="Times New Roman" w:cs="Times New Roman"/>
        </w:rPr>
        <w:t>Analytical Strategy</w:t>
      </w:r>
    </w:p>
    <w:p w14:paraId="1D25B9BF" w14:textId="6A04632D" w:rsidR="001A3E4C" w:rsidRPr="00EF66BB" w:rsidRDefault="00732CB8" w:rsidP="00141231">
      <w:pPr>
        <w:spacing w:line="360" w:lineRule="auto"/>
        <w:rPr>
          <w:rFonts w:ascii="Times New Roman" w:hAnsi="Times New Roman" w:cs="Times New Roman"/>
          <w:color w:val="000000"/>
        </w:rPr>
      </w:pPr>
      <w:r w:rsidRPr="00EF66BB">
        <w:rPr>
          <w:rFonts w:ascii="Times New Roman" w:hAnsi="Times New Roman" w:cs="Times New Roman"/>
        </w:rPr>
        <w:t xml:space="preserve">To test the hypothesised relationships between TT </w:t>
      </w:r>
      <w:r w:rsidR="00FA3951">
        <w:rPr>
          <w:rFonts w:ascii="Times New Roman" w:hAnsi="Times New Roman" w:cs="Times New Roman"/>
        </w:rPr>
        <w:t>S</w:t>
      </w:r>
      <w:r w:rsidRPr="00EF66BB">
        <w:rPr>
          <w:rFonts w:ascii="Times New Roman" w:hAnsi="Times New Roman" w:cs="Times New Roman"/>
        </w:rPr>
        <w:t>upport</w:t>
      </w:r>
      <w:r w:rsidR="00765A66" w:rsidRPr="00EF66BB">
        <w:rPr>
          <w:rFonts w:ascii="Times New Roman" w:hAnsi="Times New Roman" w:cs="Times New Roman"/>
        </w:rPr>
        <w:t>;</w:t>
      </w:r>
      <w:r w:rsidRPr="00EF66BB">
        <w:rPr>
          <w:rFonts w:ascii="Times New Roman" w:hAnsi="Times New Roman" w:cs="Times New Roman"/>
        </w:rPr>
        <w:t xml:space="preserve"> </w:t>
      </w:r>
      <w:r w:rsidR="007836CA" w:rsidRPr="00EF66BB">
        <w:rPr>
          <w:rFonts w:ascii="Times New Roman" w:hAnsi="Times New Roman" w:cs="Times New Roman"/>
        </w:rPr>
        <w:t>TT</w:t>
      </w:r>
      <w:r w:rsidRPr="00EF66BB">
        <w:rPr>
          <w:rFonts w:ascii="Times New Roman" w:hAnsi="Times New Roman" w:cs="Times New Roman"/>
        </w:rPr>
        <w:t xml:space="preserve"> </w:t>
      </w:r>
      <w:r w:rsidR="00FA3951">
        <w:rPr>
          <w:rFonts w:ascii="Times New Roman" w:hAnsi="Times New Roman" w:cs="Times New Roman"/>
        </w:rPr>
        <w:t>I</w:t>
      </w:r>
      <w:r w:rsidRPr="00EF66BB">
        <w:rPr>
          <w:rFonts w:ascii="Times New Roman" w:hAnsi="Times New Roman" w:cs="Times New Roman"/>
        </w:rPr>
        <w:t>ncentives</w:t>
      </w:r>
      <w:r w:rsidR="00765A66" w:rsidRPr="00EF66BB">
        <w:rPr>
          <w:rFonts w:ascii="Times New Roman" w:hAnsi="Times New Roman" w:cs="Times New Roman"/>
        </w:rPr>
        <w:t>;</w:t>
      </w:r>
      <w:r w:rsidRPr="00EF66BB">
        <w:rPr>
          <w:rFonts w:ascii="Times New Roman" w:hAnsi="Times New Roman" w:cs="Times New Roman"/>
        </w:rPr>
        <w:t xml:space="preserve"> </w:t>
      </w:r>
      <w:r w:rsidR="007836CA" w:rsidRPr="00EF66BB">
        <w:rPr>
          <w:rFonts w:ascii="Times New Roman" w:hAnsi="Times New Roman" w:cs="Times New Roman"/>
        </w:rPr>
        <w:t xml:space="preserve">University </w:t>
      </w:r>
      <w:r w:rsidR="00311E6D" w:rsidRPr="00EF66BB">
        <w:rPr>
          <w:rFonts w:ascii="Times New Roman" w:hAnsi="Times New Roman" w:cs="Times New Roman"/>
        </w:rPr>
        <w:t>S</w:t>
      </w:r>
      <w:r w:rsidR="006D4C29" w:rsidRPr="00EF66BB">
        <w:rPr>
          <w:rFonts w:ascii="Times New Roman" w:hAnsi="Times New Roman" w:cs="Times New Roman"/>
        </w:rPr>
        <w:t xml:space="preserve">trategic </w:t>
      </w:r>
      <w:r w:rsidR="00311E6D" w:rsidRPr="00EF66BB">
        <w:rPr>
          <w:rFonts w:ascii="Times New Roman" w:hAnsi="Times New Roman" w:cs="Times New Roman"/>
        </w:rPr>
        <w:t>P</w:t>
      </w:r>
      <w:r w:rsidR="006D4C29" w:rsidRPr="00EF66BB">
        <w:rPr>
          <w:rFonts w:ascii="Times New Roman" w:hAnsi="Times New Roman" w:cs="Times New Roman"/>
        </w:rPr>
        <w:t>riorities</w:t>
      </w:r>
      <w:r w:rsidR="00765A66" w:rsidRPr="00EF66BB">
        <w:rPr>
          <w:rFonts w:ascii="Times New Roman" w:hAnsi="Times New Roman" w:cs="Times New Roman"/>
        </w:rPr>
        <w:t>;</w:t>
      </w:r>
      <w:r w:rsidR="006D4C29" w:rsidRPr="00EF66BB">
        <w:rPr>
          <w:rFonts w:ascii="Times New Roman" w:hAnsi="Times New Roman" w:cs="Times New Roman"/>
        </w:rPr>
        <w:t xml:space="preserve"> </w:t>
      </w:r>
      <w:r w:rsidR="00EE11BA">
        <w:rPr>
          <w:rFonts w:ascii="Times New Roman" w:hAnsi="Times New Roman" w:cs="Times New Roman"/>
        </w:rPr>
        <w:t>Breadth</w:t>
      </w:r>
      <w:r w:rsidR="00EE11BA" w:rsidRPr="00EF66BB">
        <w:rPr>
          <w:rFonts w:ascii="Times New Roman" w:hAnsi="Times New Roman" w:cs="Times New Roman"/>
        </w:rPr>
        <w:t xml:space="preserve"> </w:t>
      </w:r>
      <w:r w:rsidR="006D4C29" w:rsidRPr="00EF66BB">
        <w:rPr>
          <w:rFonts w:ascii="Times New Roman" w:hAnsi="Times New Roman" w:cs="Times New Roman"/>
        </w:rPr>
        <w:t>of strategic planning</w:t>
      </w:r>
      <w:r w:rsidR="00765A66" w:rsidRPr="00EF66BB">
        <w:rPr>
          <w:rFonts w:ascii="Times New Roman" w:hAnsi="Times New Roman" w:cs="Times New Roman"/>
        </w:rPr>
        <w:t>;</w:t>
      </w:r>
      <w:r w:rsidR="006D4C29" w:rsidRPr="00EF66BB">
        <w:rPr>
          <w:rFonts w:ascii="Times New Roman" w:hAnsi="Times New Roman" w:cs="Times New Roman"/>
        </w:rPr>
        <w:t xml:space="preserve"> and </w:t>
      </w:r>
      <w:r w:rsidR="007836CA" w:rsidRPr="00EF66BB">
        <w:rPr>
          <w:rFonts w:ascii="Times New Roman" w:hAnsi="Times New Roman" w:cs="Times New Roman"/>
        </w:rPr>
        <w:t>TT</w:t>
      </w:r>
      <w:r w:rsidR="006D4C29" w:rsidRPr="00EF66BB">
        <w:rPr>
          <w:rFonts w:ascii="Times New Roman" w:hAnsi="Times New Roman" w:cs="Times New Roman"/>
        </w:rPr>
        <w:t xml:space="preserve"> </w:t>
      </w:r>
      <w:r w:rsidR="00FA3951">
        <w:rPr>
          <w:rFonts w:ascii="Times New Roman" w:hAnsi="Times New Roman" w:cs="Times New Roman"/>
        </w:rPr>
        <w:t>E</w:t>
      </w:r>
      <w:r w:rsidR="006D4C29" w:rsidRPr="00EF66BB">
        <w:rPr>
          <w:rFonts w:ascii="Times New Roman" w:hAnsi="Times New Roman" w:cs="Times New Roman"/>
        </w:rPr>
        <w:t>ffectiveness</w:t>
      </w:r>
      <w:r w:rsidR="00765A66" w:rsidRPr="00EF66BB">
        <w:rPr>
          <w:rFonts w:ascii="Times New Roman" w:hAnsi="Times New Roman" w:cs="Times New Roman"/>
        </w:rPr>
        <w:t>,</w:t>
      </w:r>
      <w:r w:rsidR="006D4C29" w:rsidRPr="00EF66BB">
        <w:rPr>
          <w:rFonts w:ascii="Times New Roman" w:hAnsi="Times New Roman" w:cs="Times New Roman"/>
        </w:rPr>
        <w:t xml:space="preserve"> we adopted a </w:t>
      </w:r>
      <w:r w:rsidR="006D4C29" w:rsidRPr="00EF66BB">
        <w:rPr>
          <w:rFonts w:ascii="Times New Roman" w:hAnsi="Times New Roman" w:cs="Times New Roman"/>
        </w:rPr>
        <w:lastRenderedPageBreak/>
        <w:t xml:space="preserve">structural equation modelling approach. First, </w:t>
      </w:r>
      <w:r w:rsidR="006D4C29" w:rsidRPr="00EF66BB">
        <w:rPr>
          <w:rFonts w:ascii="Times New Roman" w:hAnsi="Times New Roman" w:cs="Times New Roman"/>
          <w:color w:val="000000"/>
        </w:rPr>
        <w:t>e</w:t>
      </w:r>
      <w:r w:rsidR="001A3E4C" w:rsidRPr="00EF66BB">
        <w:rPr>
          <w:rFonts w:ascii="Times New Roman" w:hAnsi="Times New Roman" w:cs="Times New Roman"/>
          <w:color w:val="000000"/>
        </w:rPr>
        <w:t xml:space="preserve">xploratory factor analysis (EFA) followed by </w:t>
      </w:r>
      <w:r w:rsidR="006D4C29" w:rsidRPr="00EF66BB">
        <w:rPr>
          <w:rFonts w:ascii="Times New Roman" w:hAnsi="Times New Roman" w:cs="Times New Roman"/>
          <w:color w:val="000000"/>
        </w:rPr>
        <w:t>c</w:t>
      </w:r>
      <w:r w:rsidR="001A3E4C" w:rsidRPr="00EF66BB">
        <w:rPr>
          <w:rFonts w:ascii="Times New Roman" w:hAnsi="Times New Roman" w:cs="Times New Roman"/>
          <w:color w:val="000000"/>
        </w:rPr>
        <w:t>onfirmatory factor analyses (CFA) implemented in AMOS 24 were used to establish the measurement scales for the structural equation models (SEM)</w:t>
      </w:r>
      <w:r w:rsidR="00523C1E" w:rsidRPr="00EF66BB">
        <w:rPr>
          <w:rFonts w:ascii="Times New Roman" w:hAnsi="Times New Roman" w:cs="Times New Roman"/>
          <w:color w:val="000000"/>
        </w:rPr>
        <w:t>,</w:t>
      </w:r>
      <w:r w:rsidR="001A3E4C" w:rsidRPr="00EF66BB">
        <w:rPr>
          <w:rFonts w:ascii="Times New Roman" w:hAnsi="Times New Roman" w:cs="Times New Roman"/>
          <w:color w:val="000000"/>
        </w:rPr>
        <w:t xml:space="preserve"> tested using the Maximum Likelihood method</w:t>
      </w:r>
      <w:r w:rsidR="00742C6B">
        <w:rPr>
          <w:rStyle w:val="FootnoteReference"/>
          <w:rFonts w:ascii="Times New Roman" w:hAnsi="Times New Roman" w:cs="Times New Roman"/>
          <w:color w:val="000000"/>
        </w:rPr>
        <w:footnoteReference w:id="3"/>
      </w:r>
      <w:r w:rsidR="001A3E4C" w:rsidRPr="00EF66BB">
        <w:rPr>
          <w:rFonts w:ascii="Times New Roman" w:hAnsi="Times New Roman" w:cs="Times New Roman"/>
          <w:color w:val="000000"/>
        </w:rPr>
        <w:t xml:space="preserve">. </w:t>
      </w:r>
      <w:r w:rsidR="001A3E4C" w:rsidRPr="00EF66BB">
        <w:rPr>
          <w:rFonts w:ascii="Times New Roman" w:hAnsi="Times New Roman" w:cs="Times New Roman"/>
        </w:rPr>
        <w:t xml:space="preserve">SEM permits a simultaneous examination of an array of </w:t>
      </w:r>
      <w:r w:rsidR="00C93899">
        <w:rPr>
          <w:rFonts w:ascii="Times New Roman" w:hAnsi="Times New Roman" w:cs="Times New Roman"/>
        </w:rPr>
        <w:t>hypothesised</w:t>
      </w:r>
      <w:r w:rsidR="001A3E4C" w:rsidRPr="00EF66BB">
        <w:rPr>
          <w:rFonts w:ascii="Times New Roman" w:hAnsi="Times New Roman" w:cs="Times New Roman"/>
        </w:rPr>
        <w:t xml:space="preserve"> equations involving multiple endogenous variables alongside measurement errors, thus providing an accurate measure of the variance explained by exogenous variables </w:t>
      </w:r>
      <w:r w:rsidR="002834AD">
        <w:rPr>
          <w:rFonts w:ascii="Times New Roman" w:hAnsi="Times New Roman" w:cs="Times New Roman"/>
        </w:rPr>
        <w:fldChar w:fldCharType="begin" w:fldLock="1"/>
      </w:r>
      <w:r w:rsidR="002834AD">
        <w:rPr>
          <w:rFonts w:ascii="Times New Roman" w:hAnsi="Times New Roman" w:cs="Times New Roman"/>
        </w:rPr>
        <w:instrText>ADDIN CSL_CITATION {"citationItems":[{"id":"ITEM-1","itemData":{"author":[{"dropping-particle":"","family":"Kline","given":"R. B","non-dropping-particle":"","parse-names":false,"suffix":""}],"id":"ITEM-1","issued":{"date-parts":[["2016"]]},"publisher":"The Guildford Press","publisher-place":"London","title":"Principles and Practice of Structural Equation Modelling","type":"book"},"uris":["http://www.mendeley.com/documents/?uuid=88b44e86-d523-4ac4-a1d7-ac3c858ca017"]}],"mendeley":{"formattedCitation":"(Kline, 2016)","plainTextFormattedCitation":"(Kline, 2016)","previouslyFormattedCitation":"(Kline, 2016)"},"properties":{"noteIndex":0},"schema":"https://github.com/citation-style-language/schema/raw/master/csl-citation.json"}</w:instrText>
      </w:r>
      <w:r w:rsidR="002834AD">
        <w:rPr>
          <w:rFonts w:ascii="Times New Roman" w:hAnsi="Times New Roman" w:cs="Times New Roman"/>
        </w:rPr>
        <w:fldChar w:fldCharType="separate"/>
      </w:r>
      <w:r w:rsidR="002834AD" w:rsidRPr="002834AD">
        <w:rPr>
          <w:rFonts w:ascii="Times New Roman" w:hAnsi="Times New Roman" w:cs="Times New Roman"/>
          <w:noProof/>
        </w:rPr>
        <w:t>(Kline, 2016)</w:t>
      </w:r>
      <w:r w:rsidR="002834AD">
        <w:rPr>
          <w:rFonts w:ascii="Times New Roman" w:hAnsi="Times New Roman" w:cs="Times New Roman"/>
        </w:rPr>
        <w:fldChar w:fldCharType="end"/>
      </w:r>
      <w:r w:rsidR="002834AD">
        <w:rPr>
          <w:rFonts w:ascii="Times New Roman" w:hAnsi="Times New Roman" w:cs="Times New Roman"/>
        </w:rPr>
        <w:t xml:space="preserve">. </w:t>
      </w:r>
      <w:r w:rsidR="001A3E4C" w:rsidRPr="00EF66BB">
        <w:rPr>
          <w:rFonts w:ascii="Times New Roman" w:hAnsi="Times New Roman" w:cs="Times New Roman"/>
          <w:color w:val="000000"/>
        </w:rPr>
        <w:t>SEM is a particularly attractive choice when testing mediating v</w:t>
      </w:r>
      <w:r w:rsidR="00456DD6" w:rsidRPr="00EF66BB">
        <w:rPr>
          <w:rFonts w:ascii="Times New Roman" w:hAnsi="Times New Roman" w:cs="Times New Roman"/>
          <w:color w:val="000000"/>
        </w:rPr>
        <w:t>ariables in a structural model</w:t>
      </w:r>
      <w:r w:rsidR="001A3E4C" w:rsidRPr="00EF66BB">
        <w:rPr>
          <w:rFonts w:ascii="Times New Roman" w:hAnsi="Times New Roman" w:cs="Times New Roman"/>
          <w:color w:val="000000"/>
        </w:rPr>
        <w:t xml:space="preserve">. </w:t>
      </w:r>
    </w:p>
    <w:p w14:paraId="4B53A2D6" w14:textId="77777777" w:rsidR="001A3E4C" w:rsidRPr="00EF66BB" w:rsidRDefault="001A3E4C" w:rsidP="00141231">
      <w:pPr>
        <w:autoSpaceDE w:val="0"/>
        <w:autoSpaceDN w:val="0"/>
        <w:adjustRightInd w:val="0"/>
        <w:spacing w:line="360" w:lineRule="auto"/>
        <w:rPr>
          <w:rFonts w:ascii="Times New Roman" w:hAnsi="Times New Roman" w:cs="Times New Roman"/>
          <w:color w:val="000000"/>
        </w:rPr>
      </w:pPr>
    </w:p>
    <w:p w14:paraId="320832A4" w14:textId="03EA62BC" w:rsidR="003B2BF7" w:rsidRPr="00EF66BB"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Several goodness-of-fit indices were used to evaluate the model fit in both CFA and SEM: chi-square</w:t>
      </w:r>
      <w:r w:rsidR="00523C1E" w:rsidRPr="00EF66BB">
        <w:rPr>
          <w:rFonts w:ascii="Times New Roman" w:hAnsi="Times New Roman" w:cs="Times New Roman"/>
        </w:rPr>
        <w:t>;</w:t>
      </w:r>
      <w:r w:rsidRPr="00EF66BB">
        <w:rPr>
          <w:rFonts w:ascii="Times New Roman" w:hAnsi="Times New Roman" w:cs="Times New Roman"/>
        </w:rPr>
        <w:t xml:space="preserve"> normed chi-square (χ2/</w:t>
      </w:r>
      <w:proofErr w:type="spellStart"/>
      <w:r w:rsidRPr="00EF66BB">
        <w:rPr>
          <w:rFonts w:ascii="Times New Roman" w:hAnsi="Times New Roman" w:cs="Times New Roman"/>
        </w:rPr>
        <w:t>df</w:t>
      </w:r>
      <w:proofErr w:type="spellEnd"/>
      <w:r w:rsidRPr="00EF66BB">
        <w:rPr>
          <w:rFonts w:ascii="Times New Roman" w:hAnsi="Times New Roman" w:cs="Times New Roman"/>
        </w:rPr>
        <w:t xml:space="preserve"> ratio - desirable if &lt; 2)</w:t>
      </w:r>
      <w:r w:rsidR="00523C1E" w:rsidRPr="00EF66BB">
        <w:rPr>
          <w:rFonts w:ascii="Times New Roman" w:hAnsi="Times New Roman" w:cs="Times New Roman"/>
        </w:rPr>
        <w:t>;</w:t>
      </w:r>
      <w:r w:rsidRPr="00EF66BB">
        <w:rPr>
          <w:rFonts w:ascii="Times New Roman" w:hAnsi="Times New Roman" w:cs="Times New Roman"/>
        </w:rPr>
        <w:t xml:space="preserve"> root-mean-square error of approximation (RMSEA, good if &lt; 0.06)</w:t>
      </w:r>
      <w:r w:rsidR="00523C1E" w:rsidRPr="00EF66BB">
        <w:rPr>
          <w:rFonts w:ascii="Times New Roman" w:hAnsi="Times New Roman" w:cs="Times New Roman"/>
        </w:rPr>
        <w:t>;</w:t>
      </w:r>
      <w:r w:rsidRPr="00EF66BB">
        <w:rPr>
          <w:rFonts w:ascii="Times New Roman" w:hAnsi="Times New Roman" w:cs="Times New Roman"/>
        </w:rPr>
        <w:t xml:space="preserve"> Tucker-Lewis index (TLI, best if &gt; 0.95)</w:t>
      </w:r>
      <w:r w:rsidR="00523C1E" w:rsidRPr="00EF66BB">
        <w:rPr>
          <w:rFonts w:ascii="Times New Roman" w:hAnsi="Times New Roman" w:cs="Times New Roman"/>
        </w:rPr>
        <w:t>;</w:t>
      </w:r>
      <w:r w:rsidRPr="00EF66BB">
        <w:rPr>
          <w:rFonts w:ascii="Times New Roman" w:hAnsi="Times New Roman" w:cs="Times New Roman"/>
        </w:rPr>
        <w:t xml:space="preserve"> incremental fit index (IFI, best if &gt;0.95)</w:t>
      </w:r>
      <w:r w:rsidR="00523C1E" w:rsidRPr="00EF66BB">
        <w:rPr>
          <w:rFonts w:ascii="Times New Roman" w:hAnsi="Times New Roman" w:cs="Times New Roman"/>
        </w:rPr>
        <w:t>;</w:t>
      </w:r>
      <w:r w:rsidRPr="00EF66BB">
        <w:rPr>
          <w:rFonts w:ascii="Times New Roman" w:hAnsi="Times New Roman" w:cs="Times New Roman"/>
        </w:rPr>
        <w:t xml:space="preserve"> and comparative fit index (CFI, best if &gt; 0.95)</w:t>
      </w:r>
      <w:r w:rsidR="00FA3951">
        <w:rPr>
          <w:rFonts w:ascii="Times New Roman" w:hAnsi="Times New Roman" w:cs="Times New Roman"/>
        </w:rPr>
        <w:t xml:space="preserve"> </w:t>
      </w:r>
      <w:r w:rsidRPr="00EF66BB">
        <w:rPr>
          <w:rFonts w:ascii="Times New Roman" w:hAnsi="Times New Roman" w:cs="Times New Roman"/>
        </w:rPr>
        <w:t xml:space="preserve">( </w:t>
      </w:r>
      <w:r w:rsidRPr="00EF66BB">
        <w:rPr>
          <w:rFonts w:ascii="Times New Roman" w:hAnsi="Times New Roman" w:cs="Times New Roman"/>
          <w:color w:val="000000"/>
        </w:rPr>
        <w:t xml:space="preserve">Hu &amp; </w:t>
      </w:r>
      <w:proofErr w:type="spellStart"/>
      <w:r w:rsidRPr="00EF66BB">
        <w:rPr>
          <w:rFonts w:ascii="Times New Roman" w:hAnsi="Times New Roman" w:cs="Times New Roman"/>
          <w:color w:val="000000"/>
        </w:rPr>
        <w:t>Bentler</w:t>
      </w:r>
      <w:proofErr w:type="spellEnd"/>
      <w:r w:rsidRPr="00EF66BB">
        <w:rPr>
          <w:rFonts w:ascii="Times New Roman" w:hAnsi="Times New Roman" w:cs="Times New Roman"/>
          <w:color w:val="000000"/>
        </w:rPr>
        <w:t xml:space="preserve">, 1999). When undertaking CFA, measurement reliability was analysed using Cronbach’s coefficient and composite reliability. The convergent validation was evaluated using Average Variance Extraction (AVE), and discriminant validation by comparing the square root of AVE values and correlation coefficients. </w:t>
      </w:r>
      <w:r w:rsidRPr="00EF66BB">
        <w:rPr>
          <w:rFonts w:ascii="Times New Roman" w:hAnsi="Times New Roman" w:cs="Times New Roman"/>
        </w:rPr>
        <w:t>Prior to the analysis</w:t>
      </w:r>
      <w:r w:rsidR="00523C1E" w:rsidRPr="00EF66BB">
        <w:rPr>
          <w:rFonts w:ascii="Times New Roman" w:hAnsi="Times New Roman" w:cs="Times New Roman"/>
        </w:rPr>
        <w:t>,</w:t>
      </w:r>
      <w:r w:rsidRPr="00EF66BB">
        <w:rPr>
          <w:rFonts w:ascii="Times New Roman" w:hAnsi="Times New Roman" w:cs="Times New Roman"/>
        </w:rPr>
        <w:t xml:space="preserve"> we checked the data for violations of normality assumption</w:t>
      </w:r>
      <w:r w:rsidR="006D1AF6" w:rsidRPr="00EF66BB">
        <w:rPr>
          <w:rFonts w:ascii="Times New Roman" w:hAnsi="Times New Roman" w:cs="Times New Roman"/>
        </w:rPr>
        <w:t>s</w:t>
      </w:r>
      <w:r w:rsidRPr="00EF66BB">
        <w:rPr>
          <w:rFonts w:ascii="Times New Roman" w:hAnsi="Times New Roman" w:cs="Times New Roman"/>
        </w:rPr>
        <w:t xml:space="preserve">, for missing data and used the natural logarithm to transform the skewed data and mean substitution to eliminate missing data </w:t>
      </w:r>
      <w:r w:rsidR="002834AD">
        <w:rPr>
          <w:rFonts w:ascii="Times New Roman" w:hAnsi="Times New Roman" w:cs="Times New Roman"/>
        </w:rPr>
        <w:fldChar w:fldCharType="begin" w:fldLock="1"/>
      </w:r>
      <w:r w:rsidR="002834AD">
        <w:rPr>
          <w:rFonts w:ascii="Times New Roman" w:hAnsi="Times New Roman" w:cs="Times New Roman"/>
        </w:rPr>
        <w:instrText>ADDIN CSL_CITATION {"citationItems":[{"id":"ITEM-1","itemData":{"author":[{"dropping-particle":"","family":"Kline","given":"R. B","non-dropping-particle":"","parse-names":false,"suffix":""}],"id":"ITEM-1","issued":{"date-parts":[["2016"]]},"publisher":"The Guildford Press","publisher-place":"London","title":"Principles and Practice of Structural Equation Modelling","type":"book"},"uris":["http://www.mendeley.com/documents/?uuid=88b44e86-d523-4ac4-a1d7-ac3c858ca017"]}],"mendeley":{"formattedCitation":"(Kline, 2016)","plainTextFormattedCitation":"(Kline, 2016)","previouslyFormattedCitation":"(Kline, 2016)"},"properties":{"noteIndex":0},"schema":"https://github.com/citation-style-language/schema/raw/master/csl-citation.json"}</w:instrText>
      </w:r>
      <w:r w:rsidR="002834AD">
        <w:rPr>
          <w:rFonts w:ascii="Times New Roman" w:hAnsi="Times New Roman" w:cs="Times New Roman"/>
        </w:rPr>
        <w:fldChar w:fldCharType="separate"/>
      </w:r>
      <w:r w:rsidR="002834AD" w:rsidRPr="002834AD">
        <w:rPr>
          <w:rFonts w:ascii="Times New Roman" w:hAnsi="Times New Roman" w:cs="Times New Roman"/>
          <w:noProof/>
        </w:rPr>
        <w:t>(Kline, 2016)</w:t>
      </w:r>
      <w:r w:rsidR="002834AD">
        <w:rPr>
          <w:rFonts w:ascii="Times New Roman" w:hAnsi="Times New Roman" w:cs="Times New Roman"/>
        </w:rPr>
        <w:fldChar w:fldCharType="end"/>
      </w:r>
      <w:r w:rsidRPr="00EF66BB">
        <w:rPr>
          <w:rFonts w:ascii="Times New Roman" w:hAnsi="Times New Roman" w:cs="Times New Roman"/>
        </w:rPr>
        <w:t xml:space="preserve">. </w:t>
      </w:r>
    </w:p>
    <w:p w14:paraId="2651572B" w14:textId="77777777" w:rsidR="003B2BF7" w:rsidRPr="00EF66BB" w:rsidRDefault="003B2BF7" w:rsidP="00141231">
      <w:pPr>
        <w:autoSpaceDE w:val="0"/>
        <w:autoSpaceDN w:val="0"/>
        <w:adjustRightInd w:val="0"/>
        <w:spacing w:line="360" w:lineRule="auto"/>
        <w:rPr>
          <w:rFonts w:ascii="Times New Roman" w:hAnsi="Times New Roman" w:cs="Times New Roman"/>
        </w:rPr>
      </w:pPr>
    </w:p>
    <w:p w14:paraId="629ACC66" w14:textId="04E6E49F" w:rsidR="001A3E4C" w:rsidRPr="00EF66BB" w:rsidRDefault="001A3E4C" w:rsidP="00141231">
      <w:pPr>
        <w:autoSpaceDE w:val="0"/>
        <w:autoSpaceDN w:val="0"/>
        <w:adjustRightInd w:val="0"/>
        <w:spacing w:line="360" w:lineRule="auto"/>
        <w:rPr>
          <w:rFonts w:ascii="Times New Roman" w:hAnsi="Times New Roman" w:cs="Times New Roman"/>
          <w:color w:val="000000"/>
        </w:rPr>
      </w:pPr>
      <w:r w:rsidRPr="00EF66BB">
        <w:rPr>
          <w:rFonts w:ascii="Times New Roman" w:hAnsi="Times New Roman" w:cs="Times New Roman"/>
          <w:color w:val="000000"/>
        </w:rPr>
        <w:t>The missing value substitution procedure did not cause any statistically significant bias in the data; no statistically significant differences between the original and the missing value mean substituted data series w</w:t>
      </w:r>
      <w:r w:rsidR="006D1AF6" w:rsidRPr="00EF66BB">
        <w:rPr>
          <w:rFonts w:ascii="Times New Roman" w:hAnsi="Times New Roman" w:cs="Times New Roman"/>
          <w:color w:val="000000"/>
        </w:rPr>
        <w:t>ere</w:t>
      </w:r>
      <w:r w:rsidRPr="00EF66BB">
        <w:rPr>
          <w:rFonts w:ascii="Times New Roman" w:hAnsi="Times New Roman" w:cs="Times New Roman"/>
          <w:color w:val="000000"/>
        </w:rPr>
        <w:t xml:space="preserve"> observed. Nested modelling was performed in both CFA and SEM to ensure the best fitting model is chosen for the final analysis. </w:t>
      </w:r>
      <w:r w:rsidR="00142284" w:rsidRPr="00EF66BB">
        <w:rPr>
          <w:rFonts w:ascii="Times New Roman" w:hAnsi="Times New Roman" w:cs="Times New Roman"/>
          <w:color w:val="000000"/>
        </w:rPr>
        <w:t>W</w:t>
      </w:r>
      <w:r w:rsidRPr="00EF66BB">
        <w:rPr>
          <w:rFonts w:ascii="Times New Roman" w:hAnsi="Times New Roman" w:cs="Times New Roman"/>
          <w:color w:val="000000"/>
        </w:rPr>
        <w:t xml:space="preserve">ith SEM, the indirect effects were accounted for using the </w:t>
      </w:r>
      <w:r w:rsidRPr="00EF66BB">
        <w:rPr>
          <w:rFonts w:ascii="Times New Roman" w:hAnsi="Times New Roman" w:cs="Times New Roman"/>
        </w:rPr>
        <w:t xml:space="preserve">bias-corrected </w:t>
      </w:r>
      <w:r w:rsidRPr="00EF66BB">
        <w:rPr>
          <w:rFonts w:ascii="Times New Roman" w:hAnsi="Times New Roman" w:cs="Times New Roman"/>
          <w:color w:val="000000"/>
        </w:rPr>
        <w:t>95% confidence interval</w:t>
      </w:r>
      <w:r w:rsidR="00142284" w:rsidRPr="00EF66BB">
        <w:rPr>
          <w:rFonts w:ascii="Times New Roman" w:hAnsi="Times New Roman" w:cs="Times New Roman"/>
          <w:color w:val="000000"/>
        </w:rPr>
        <w:t xml:space="preserve"> with</w:t>
      </w:r>
      <w:r w:rsidRPr="00EF66BB">
        <w:rPr>
          <w:rFonts w:ascii="Times New Roman" w:hAnsi="Times New Roman" w:cs="Times New Roman"/>
          <w:color w:val="000000"/>
        </w:rPr>
        <w:t xml:space="preserve"> </w:t>
      </w:r>
      <w:r w:rsidR="000C0557" w:rsidRPr="00EF66BB">
        <w:rPr>
          <w:rFonts w:ascii="Times New Roman" w:hAnsi="Times New Roman" w:cs="Times New Roman"/>
          <w:color w:val="000000"/>
        </w:rPr>
        <w:t xml:space="preserve">2000 </w:t>
      </w:r>
      <w:r w:rsidRPr="00EF66BB">
        <w:rPr>
          <w:rFonts w:ascii="Times New Roman" w:hAnsi="Times New Roman" w:cs="Times New Roman"/>
          <w:color w:val="000000"/>
        </w:rPr>
        <w:lastRenderedPageBreak/>
        <w:t xml:space="preserve">bootstrapping samples </w:t>
      </w:r>
      <w:r w:rsidR="002834AD">
        <w:rPr>
          <w:rFonts w:ascii="Times New Roman" w:hAnsi="Times New Roman" w:cs="Times New Roman"/>
          <w:color w:val="000000"/>
        </w:rPr>
        <w:fldChar w:fldCharType="begin" w:fldLock="1"/>
      </w:r>
      <w:r w:rsidR="002834AD">
        <w:rPr>
          <w:rFonts w:ascii="Times New Roman" w:hAnsi="Times New Roman" w:cs="Times New Roman"/>
          <w:color w:val="000000"/>
        </w:rPr>
        <w:instrText>ADDIN CSL_CITATION {"citationItems":[{"id":"ITEM-1","itemData":{"author":[{"dropping-particle":"","family":"Selig","given":"J.P","non-dropping-particle":"","parse-names":false,"suffix":""},{"dropping-particle":"","family":"Preacher","given":"K.J","non-dropping-particle":"","parse-names":false,"suffix":""}],"id":"ITEM-1","issued":{"date-parts":[["2008"]]},"title":"Monte Carlo method for assessing mediation: An interactive tool for creating confidence intervals for indirect effects","type":"article"},"uris":["http://www.mendeley.com/documents/?uuid=e85bd942-0f9c-4acf-a0d2-e1488701afef"]}],"mendeley":{"formattedCitation":"(Selig and Preacher, 2008)","plainTextFormattedCitation":"(Selig and Preacher, 2008)","previouslyFormattedCitation":"(Selig and Preacher, 2008)"},"properties":{"noteIndex":0},"schema":"https://github.com/citation-style-language/schema/raw/master/csl-citation.json"}</w:instrText>
      </w:r>
      <w:r w:rsidR="002834AD">
        <w:rPr>
          <w:rFonts w:ascii="Times New Roman" w:hAnsi="Times New Roman" w:cs="Times New Roman"/>
          <w:color w:val="000000"/>
        </w:rPr>
        <w:fldChar w:fldCharType="separate"/>
      </w:r>
      <w:r w:rsidR="002834AD" w:rsidRPr="002834AD">
        <w:rPr>
          <w:rFonts w:ascii="Times New Roman" w:hAnsi="Times New Roman" w:cs="Times New Roman"/>
          <w:noProof/>
          <w:color w:val="000000"/>
        </w:rPr>
        <w:t>(Selig and Preacher, 2008)</w:t>
      </w:r>
      <w:r w:rsidR="002834AD">
        <w:rPr>
          <w:rFonts w:ascii="Times New Roman" w:hAnsi="Times New Roman" w:cs="Times New Roman"/>
          <w:color w:val="000000"/>
        </w:rPr>
        <w:fldChar w:fldCharType="end"/>
      </w:r>
      <w:r w:rsidRPr="00EF66BB">
        <w:rPr>
          <w:rFonts w:ascii="Times New Roman" w:hAnsi="Times New Roman" w:cs="Times New Roman"/>
          <w:color w:val="000000"/>
        </w:rPr>
        <w:t xml:space="preserve">. Bootstrapping was performed using nested modelling to </w:t>
      </w:r>
      <w:r w:rsidR="006D1AF6" w:rsidRPr="00EF66BB">
        <w:rPr>
          <w:rFonts w:ascii="Times New Roman" w:hAnsi="Times New Roman" w:cs="Times New Roman"/>
          <w:color w:val="000000"/>
        </w:rPr>
        <w:t xml:space="preserve">confirm full or partial </w:t>
      </w:r>
      <w:r w:rsidRPr="00EF66BB">
        <w:rPr>
          <w:rFonts w:ascii="Times New Roman" w:hAnsi="Times New Roman" w:cs="Times New Roman"/>
          <w:color w:val="000000"/>
        </w:rPr>
        <w:t>mediation.</w:t>
      </w:r>
      <w:r w:rsidR="003B2BF7" w:rsidRPr="00EF66BB">
        <w:rPr>
          <w:rFonts w:ascii="Times New Roman" w:hAnsi="Times New Roman" w:cs="Times New Roman"/>
          <w:color w:val="000000"/>
        </w:rPr>
        <w:t xml:space="preserve"> In</w:t>
      </w:r>
      <w:r w:rsidRPr="00EF66BB">
        <w:rPr>
          <w:rFonts w:ascii="Times New Roman" w:hAnsi="Times New Roman" w:cs="Times New Roman"/>
          <w:color w:val="000000"/>
        </w:rPr>
        <w:t xml:space="preserve"> </w:t>
      </w:r>
      <w:r w:rsidR="003B2BF7" w:rsidRPr="00EF66BB">
        <w:rPr>
          <w:rFonts w:ascii="Times New Roman" w:hAnsi="Times New Roman" w:cs="Times New Roman"/>
          <w:color w:val="000000"/>
        </w:rPr>
        <w:t>i</w:t>
      </w:r>
      <w:r w:rsidRPr="00EF66BB">
        <w:rPr>
          <w:rFonts w:ascii="Times New Roman" w:hAnsi="Times New Roman" w:cs="Times New Roman"/>
          <w:color w:val="000000"/>
        </w:rPr>
        <w:t>nstances where zero l</w:t>
      </w:r>
      <w:r w:rsidR="004629DB" w:rsidRPr="00EF66BB">
        <w:rPr>
          <w:rFonts w:ascii="Times New Roman" w:hAnsi="Times New Roman" w:cs="Times New Roman"/>
          <w:color w:val="000000"/>
        </w:rPr>
        <w:t xml:space="preserve">ay </w:t>
      </w:r>
      <w:r w:rsidRPr="00EF66BB">
        <w:rPr>
          <w:rFonts w:ascii="Times New Roman" w:hAnsi="Times New Roman" w:cs="Times New Roman"/>
          <w:color w:val="000000"/>
        </w:rPr>
        <w:t>within the lower and upper bound, the results associated with the indirect effect w</w:t>
      </w:r>
      <w:r w:rsidR="004629DB" w:rsidRPr="00EF66BB">
        <w:rPr>
          <w:rFonts w:ascii="Times New Roman" w:hAnsi="Times New Roman" w:cs="Times New Roman"/>
          <w:color w:val="000000"/>
        </w:rPr>
        <w:t>ere</w:t>
      </w:r>
      <w:r w:rsidRPr="00EF66BB">
        <w:rPr>
          <w:rFonts w:ascii="Times New Roman" w:hAnsi="Times New Roman" w:cs="Times New Roman"/>
          <w:color w:val="000000"/>
        </w:rPr>
        <w:t xml:space="preserve"> accepted</w:t>
      </w:r>
      <w:r w:rsidR="003B2BF7" w:rsidRPr="00EF66BB">
        <w:rPr>
          <w:rFonts w:ascii="Times New Roman" w:hAnsi="Times New Roman" w:cs="Times New Roman"/>
          <w:color w:val="000000"/>
        </w:rPr>
        <w:t>,</w:t>
      </w:r>
      <w:r w:rsidRPr="00EF66BB">
        <w:rPr>
          <w:rFonts w:ascii="Times New Roman" w:hAnsi="Times New Roman" w:cs="Times New Roman"/>
          <w:color w:val="000000"/>
        </w:rPr>
        <w:t xml:space="preserve"> rejecting the null hypothesis </w:t>
      </w:r>
      <w:r w:rsidR="00D61983" w:rsidRPr="00EF66BB">
        <w:rPr>
          <w:rFonts w:ascii="Times New Roman" w:hAnsi="Times New Roman" w:cs="Times New Roman"/>
          <w:color w:val="000000"/>
        </w:rPr>
        <w:t>with a p-value less than 0.05</w:t>
      </w:r>
      <w:r w:rsidRPr="00EF66BB">
        <w:rPr>
          <w:rFonts w:ascii="Times New Roman" w:hAnsi="Times New Roman" w:cs="Times New Roman"/>
          <w:color w:val="000000"/>
        </w:rPr>
        <w:t xml:space="preserve">.This method was more powerful than the </w:t>
      </w:r>
      <w:r w:rsidR="002834AD">
        <w:rPr>
          <w:rFonts w:ascii="Times New Roman" w:hAnsi="Times New Roman" w:cs="Times New Roman"/>
          <w:color w:val="000000"/>
        </w:rPr>
        <w:fldChar w:fldCharType="begin" w:fldLock="1"/>
      </w:r>
      <w:r w:rsidR="002834AD">
        <w:rPr>
          <w:rFonts w:ascii="Times New Roman" w:hAnsi="Times New Roman" w:cs="Times New Roman"/>
          <w:color w:val="000000"/>
        </w:rPr>
        <w:instrText>ADDIN CSL_CITATION {"citationItems":[{"id":"ITEM-1","itemData":{"DOI":"10.1037/0022-3514.51.6.1173","ISBN":"1939-1315(Electronic);0022-3514(Print)","ISSN":"0022-3514","PMID":"3806354","abstract":"In this article, we attempt to distinguish between the properties of moderator and mediator variables at a number of levels. First, we seek to make theorists and researchers aware of the importance of not using the terms moderator and mediator interchangeably by carefully elaborating, both conceptually and strategically, the many ways in which moderators and mediators differ. We then go beyond this largely pedagogical function and delineate the conceptual and strategic implications of making use of such distinctions with regard to a wide range of phenomena, including control and stress, attitudes, and personality traits. We also provide a specific compendium of analytic procedures appropriate for making the most effective use of the moderator and mediator distinction, both separately and in terms of a broader causal system that includes both moderators and mediators.","author":[{"dropping-particle":"","family":"Baron","given":"Reuben","non-dropping-particle":"","parse-names":false,"suffix":""},{"dropping-particle":"","family":"Kenny","given":"David","non-dropping-particle":"","parse-names":false,"suffix":""}],"container-title":"Journal of personality and social psychology","id":"ITEM-1","issue":"6","issued":{"date-parts":[["1986"]]},"page":"1173-1182","title":"The moderator-mediator variable distinction in social psychological research","type":"article-journal","volume":"51"},"uris":["http://www.mendeley.com/documents/?uuid=11e2304a-c917-4b50-99f5-459abf7de02d"]}],"mendeley":{"formattedCitation":"(Baron and Kenny, 1986)","manualFormatting":"Baron and Kenny (1986)","plainTextFormattedCitation":"(Baron and Kenny, 1986)","previouslyFormattedCitation":"(Baron and Kenny, 1986)"},"properties":{"noteIndex":0},"schema":"https://github.com/citation-style-language/schema/raw/master/csl-citation.json"}</w:instrText>
      </w:r>
      <w:r w:rsidR="002834AD">
        <w:rPr>
          <w:rFonts w:ascii="Times New Roman" w:hAnsi="Times New Roman" w:cs="Times New Roman"/>
          <w:color w:val="000000"/>
        </w:rPr>
        <w:fldChar w:fldCharType="separate"/>
      </w:r>
      <w:r w:rsidR="002834AD">
        <w:rPr>
          <w:rFonts w:ascii="Times New Roman" w:hAnsi="Times New Roman" w:cs="Times New Roman"/>
          <w:noProof/>
          <w:color w:val="000000"/>
        </w:rPr>
        <w:t>Baron and Kenny</w:t>
      </w:r>
      <w:r w:rsidR="002834AD" w:rsidRPr="002834AD">
        <w:rPr>
          <w:rFonts w:ascii="Times New Roman" w:hAnsi="Times New Roman" w:cs="Times New Roman"/>
          <w:noProof/>
          <w:color w:val="000000"/>
        </w:rPr>
        <w:t xml:space="preserve"> </w:t>
      </w:r>
      <w:r w:rsidR="002834AD">
        <w:rPr>
          <w:rFonts w:ascii="Times New Roman" w:hAnsi="Times New Roman" w:cs="Times New Roman"/>
          <w:noProof/>
          <w:color w:val="000000"/>
        </w:rPr>
        <w:t>(</w:t>
      </w:r>
      <w:r w:rsidR="002834AD" w:rsidRPr="002834AD">
        <w:rPr>
          <w:rFonts w:ascii="Times New Roman" w:hAnsi="Times New Roman" w:cs="Times New Roman"/>
          <w:noProof/>
          <w:color w:val="000000"/>
        </w:rPr>
        <w:t>1986)</w:t>
      </w:r>
      <w:r w:rsidR="002834AD">
        <w:rPr>
          <w:rFonts w:ascii="Times New Roman" w:hAnsi="Times New Roman" w:cs="Times New Roman"/>
          <w:color w:val="000000"/>
        </w:rPr>
        <w:fldChar w:fldCharType="end"/>
      </w:r>
      <w:r w:rsidRPr="00EF66BB">
        <w:rPr>
          <w:rFonts w:ascii="Times New Roman" w:hAnsi="Times New Roman" w:cs="Times New Roman"/>
          <w:color w:val="000000"/>
        </w:rPr>
        <w:t xml:space="preserve"> approach to test mediation effects as it calculates effect sizes for an estimate where the underlying distribution is unknown, which is the case with small sample sizes </w:t>
      </w:r>
      <w:r w:rsidR="004629DB" w:rsidRPr="00EF66BB">
        <w:rPr>
          <w:rFonts w:ascii="Times New Roman" w:hAnsi="Times New Roman" w:cs="Times New Roman"/>
          <w:color w:val="000000"/>
        </w:rPr>
        <w:t xml:space="preserve">as </w:t>
      </w:r>
      <w:r w:rsidRPr="00EF66BB">
        <w:rPr>
          <w:rFonts w:ascii="Times New Roman" w:hAnsi="Times New Roman" w:cs="Times New Roman"/>
          <w:color w:val="000000"/>
        </w:rPr>
        <w:t xml:space="preserve">used in this </w:t>
      </w:r>
      <w:r w:rsidR="004629DB" w:rsidRPr="00EF66BB">
        <w:rPr>
          <w:rFonts w:ascii="Times New Roman" w:hAnsi="Times New Roman" w:cs="Times New Roman"/>
          <w:color w:val="000000"/>
        </w:rPr>
        <w:t>research</w:t>
      </w:r>
      <w:r w:rsidRPr="00EF66BB">
        <w:rPr>
          <w:rFonts w:ascii="Times New Roman" w:hAnsi="Times New Roman" w:cs="Times New Roman"/>
          <w:color w:val="000000"/>
        </w:rPr>
        <w:t>. M</w:t>
      </w:r>
      <w:r w:rsidRPr="00EF66BB">
        <w:rPr>
          <w:rFonts w:ascii="Times New Roman" w:hAnsi="Times New Roman" w:cs="Times New Roman"/>
        </w:rPr>
        <w:t xml:space="preserve">oderated mediation using </w:t>
      </w:r>
      <w:proofErr w:type="spellStart"/>
      <w:r w:rsidRPr="00EF66BB">
        <w:rPr>
          <w:rFonts w:ascii="Times New Roman" w:hAnsi="Times New Roman" w:cs="Times New Roman"/>
        </w:rPr>
        <w:t>estima</w:t>
      </w:r>
      <w:r w:rsidR="007836CA" w:rsidRPr="00EF66BB">
        <w:rPr>
          <w:rFonts w:ascii="Times New Roman" w:hAnsi="Times New Roman" w:cs="Times New Roman"/>
        </w:rPr>
        <w:t>nd</w:t>
      </w:r>
      <w:proofErr w:type="spellEnd"/>
      <w:r w:rsidRPr="00EF66BB">
        <w:rPr>
          <w:rFonts w:ascii="Times New Roman" w:hAnsi="Times New Roman" w:cs="Times New Roman"/>
        </w:rPr>
        <w:t xml:space="preserve"> plug-in </w:t>
      </w:r>
      <w:proofErr w:type="spellStart"/>
      <w:r w:rsidRPr="00EF66BB">
        <w:rPr>
          <w:rFonts w:ascii="Times New Roman" w:hAnsi="Times New Roman" w:cs="Times New Roman"/>
        </w:rPr>
        <w:t>MyModMed</w:t>
      </w:r>
      <w:proofErr w:type="spellEnd"/>
      <w:r w:rsidRPr="00EF66BB">
        <w:rPr>
          <w:rFonts w:ascii="Times New Roman" w:hAnsi="Times New Roman" w:cs="Times New Roman"/>
        </w:rPr>
        <w:t xml:space="preserve"> in AMOS 24 was used to test for moderation of the two mediated relationships. Here</w:t>
      </w:r>
      <w:r w:rsidR="004629DB" w:rsidRPr="00EF66BB">
        <w:rPr>
          <w:rFonts w:ascii="Times New Roman" w:hAnsi="Times New Roman" w:cs="Times New Roman"/>
        </w:rPr>
        <w:t>,</w:t>
      </w:r>
      <w:r w:rsidRPr="00EF66BB">
        <w:rPr>
          <w:rFonts w:ascii="Times New Roman" w:hAnsi="Times New Roman" w:cs="Times New Roman"/>
        </w:rPr>
        <w:t xml:space="preserve"> composite measures were created to represent the mediator and the outcome variable in the SEM model</w:t>
      </w:r>
      <w:r w:rsidR="00523C1E" w:rsidRPr="00EF66BB">
        <w:rPr>
          <w:rFonts w:ascii="Times New Roman" w:hAnsi="Times New Roman" w:cs="Times New Roman"/>
        </w:rPr>
        <w:t>.</w:t>
      </w:r>
      <w:r w:rsidRPr="00EF66BB">
        <w:rPr>
          <w:rStyle w:val="FootnoteReference"/>
          <w:rFonts w:ascii="Times New Roman" w:hAnsi="Times New Roman" w:cs="Times New Roman"/>
          <w:color w:val="000000"/>
        </w:rPr>
        <w:footnoteReference w:id="4"/>
      </w:r>
      <w:r w:rsidRPr="00EF66BB">
        <w:rPr>
          <w:rFonts w:ascii="Times New Roman" w:hAnsi="Times New Roman" w:cs="Times New Roman"/>
        </w:rPr>
        <w:t xml:space="preserve"> </w:t>
      </w:r>
      <w:r w:rsidRPr="00EF66BB">
        <w:rPr>
          <w:rFonts w:ascii="Times New Roman" w:hAnsi="Times New Roman" w:cs="Times New Roman"/>
          <w:color w:val="000000"/>
        </w:rPr>
        <w:t xml:space="preserve">The </w:t>
      </w:r>
      <w:r w:rsidR="00C93899">
        <w:rPr>
          <w:rFonts w:ascii="Times New Roman" w:hAnsi="Times New Roman" w:cs="Times New Roman"/>
          <w:color w:val="000000"/>
        </w:rPr>
        <w:t>hypothesised</w:t>
      </w:r>
      <w:r w:rsidRPr="00EF66BB">
        <w:rPr>
          <w:rFonts w:ascii="Times New Roman" w:hAnsi="Times New Roman" w:cs="Times New Roman"/>
          <w:color w:val="000000"/>
        </w:rPr>
        <w:t xml:space="preserve"> moderated mediation model with latent variables was further tested using the PROCESS macro developed for SPSS </w:t>
      </w:r>
      <w:r w:rsidR="002834AD">
        <w:rPr>
          <w:rFonts w:ascii="Times New Roman" w:hAnsi="Times New Roman" w:cs="Times New Roman"/>
          <w:color w:val="000000"/>
        </w:rPr>
        <w:fldChar w:fldCharType="begin" w:fldLock="1"/>
      </w:r>
      <w:r w:rsidR="002834AD">
        <w:rPr>
          <w:rFonts w:ascii="Times New Roman" w:hAnsi="Times New Roman" w:cs="Times New Roman"/>
          <w:color w:val="000000"/>
        </w:rPr>
        <w:instrText>ADDIN CSL_CITATION {"citationItems":[{"id":"ITEM-1","itemData":{"author":[{"dropping-particle":"","family":"Hayes","given":"A.F","non-dropping-particle":"","parse-names":false,"suffix":""}],"id":"ITEM-1","issued":{"date-parts":[["2013"]]},"publisher":"Guildford Press","publisher-place":"New York: USA","title":"Methodology in the Social Sciences. Introduction to mediation, moderation and conditional process analysis: A regression-based approach","type":"book"},"uris":["http://www.mendeley.com/documents/?uuid=c5417140-c3c9-44d2-84c4-2079145afce6"]}],"mendeley":{"formattedCitation":"(Hayes, 2013)","plainTextFormattedCitation":"(Hayes, 2013)","previouslyFormattedCitation":"(Hayes, 2013)"},"properties":{"noteIndex":0},"schema":"https://github.com/citation-style-language/schema/raw/master/csl-citation.json"}</w:instrText>
      </w:r>
      <w:r w:rsidR="002834AD">
        <w:rPr>
          <w:rFonts w:ascii="Times New Roman" w:hAnsi="Times New Roman" w:cs="Times New Roman"/>
          <w:color w:val="000000"/>
        </w:rPr>
        <w:fldChar w:fldCharType="separate"/>
      </w:r>
      <w:r w:rsidR="002834AD" w:rsidRPr="002834AD">
        <w:rPr>
          <w:rFonts w:ascii="Times New Roman" w:hAnsi="Times New Roman" w:cs="Times New Roman"/>
          <w:noProof/>
          <w:color w:val="000000"/>
        </w:rPr>
        <w:t>(Hayes, 2013)</w:t>
      </w:r>
      <w:r w:rsidR="002834AD">
        <w:rPr>
          <w:rFonts w:ascii="Times New Roman" w:hAnsi="Times New Roman" w:cs="Times New Roman"/>
          <w:color w:val="000000"/>
        </w:rPr>
        <w:fldChar w:fldCharType="end"/>
      </w:r>
      <w:r w:rsidRPr="00EF66BB">
        <w:rPr>
          <w:rFonts w:ascii="Times New Roman" w:hAnsi="Times New Roman" w:cs="Times New Roman"/>
          <w:color w:val="000000"/>
        </w:rPr>
        <w:t xml:space="preserve"> and th</w:t>
      </w:r>
      <w:r w:rsidR="004629DB" w:rsidRPr="00EF66BB">
        <w:rPr>
          <w:rFonts w:ascii="Times New Roman" w:hAnsi="Times New Roman" w:cs="Times New Roman"/>
          <w:color w:val="000000"/>
        </w:rPr>
        <w:t>ese</w:t>
      </w:r>
      <w:r w:rsidRPr="00EF66BB">
        <w:rPr>
          <w:rFonts w:ascii="Times New Roman" w:hAnsi="Times New Roman" w:cs="Times New Roman"/>
          <w:color w:val="000000"/>
        </w:rPr>
        <w:t xml:space="preserve"> data w</w:t>
      </w:r>
      <w:r w:rsidR="004629DB" w:rsidRPr="00EF66BB">
        <w:rPr>
          <w:rFonts w:ascii="Times New Roman" w:hAnsi="Times New Roman" w:cs="Times New Roman"/>
          <w:color w:val="000000"/>
        </w:rPr>
        <w:t>ere</w:t>
      </w:r>
      <w:r w:rsidRPr="00EF66BB">
        <w:rPr>
          <w:rFonts w:ascii="Times New Roman" w:hAnsi="Times New Roman" w:cs="Times New Roman"/>
          <w:color w:val="000000"/>
        </w:rPr>
        <w:t xml:space="preserve"> used to provide graphical image</w:t>
      </w:r>
      <w:r w:rsidR="004629DB" w:rsidRPr="00EF66BB">
        <w:rPr>
          <w:rFonts w:ascii="Times New Roman" w:hAnsi="Times New Roman" w:cs="Times New Roman"/>
          <w:color w:val="000000"/>
        </w:rPr>
        <w:t>s</w:t>
      </w:r>
      <w:r w:rsidRPr="00EF66BB">
        <w:rPr>
          <w:rFonts w:ascii="Times New Roman" w:hAnsi="Times New Roman" w:cs="Times New Roman"/>
          <w:color w:val="000000"/>
        </w:rPr>
        <w:t xml:space="preserve"> of the moderation role. </w:t>
      </w:r>
    </w:p>
    <w:p w14:paraId="0D8F8F89" w14:textId="77777777" w:rsidR="003B2BF7" w:rsidRPr="00EF66BB" w:rsidRDefault="003B2BF7" w:rsidP="00141231">
      <w:pPr>
        <w:autoSpaceDE w:val="0"/>
        <w:autoSpaceDN w:val="0"/>
        <w:adjustRightInd w:val="0"/>
        <w:spacing w:line="360" w:lineRule="auto"/>
        <w:rPr>
          <w:rFonts w:ascii="Times New Roman" w:hAnsi="Times New Roman" w:cs="Times New Roman"/>
        </w:rPr>
      </w:pPr>
    </w:p>
    <w:p w14:paraId="33E1DDDE" w14:textId="4BFEEB24" w:rsidR="003A343A" w:rsidRPr="00EF66BB" w:rsidRDefault="003A343A" w:rsidP="00141231">
      <w:pPr>
        <w:pStyle w:val="Heading2"/>
        <w:spacing w:line="360" w:lineRule="auto"/>
        <w:rPr>
          <w:rFonts w:ascii="Times New Roman" w:hAnsi="Times New Roman" w:cs="Times New Roman"/>
          <w:sz w:val="24"/>
          <w:szCs w:val="24"/>
        </w:rPr>
      </w:pPr>
      <w:r w:rsidRPr="00EF66BB">
        <w:rPr>
          <w:rFonts w:ascii="Times New Roman" w:hAnsi="Times New Roman" w:cs="Times New Roman"/>
          <w:sz w:val="24"/>
          <w:szCs w:val="24"/>
        </w:rPr>
        <w:t xml:space="preserve">4.0 Data Analysis </w:t>
      </w:r>
    </w:p>
    <w:p w14:paraId="37B39E61" w14:textId="77777777" w:rsidR="003B2BF7" w:rsidRPr="00EF66BB" w:rsidRDefault="003B2BF7" w:rsidP="00141231">
      <w:pPr>
        <w:autoSpaceDE w:val="0"/>
        <w:autoSpaceDN w:val="0"/>
        <w:adjustRightInd w:val="0"/>
        <w:spacing w:line="360" w:lineRule="auto"/>
        <w:rPr>
          <w:rFonts w:ascii="Times New Roman" w:hAnsi="Times New Roman" w:cs="Times New Roman"/>
        </w:rPr>
      </w:pPr>
    </w:p>
    <w:p w14:paraId="5249F5B1" w14:textId="60BB649F" w:rsidR="00732CB8" w:rsidRPr="00414FA4" w:rsidRDefault="003A343A" w:rsidP="00141231">
      <w:pPr>
        <w:pStyle w:val="Heading3"/>
        <w:spacing w:line="480" w:lineRule="auto"/>
        <w:rPr>
          <w:rFonts w:ascii="Times New Roman" w:hAnsi="Times New Roman" w:cs="Times New Roman"/>
        </w:rPr>
      </w:pPr>
      <w:r w:rsidRPr="00414FA4">
        <w:rPr>
          <w:rFonts w:ascii="Times New Roman" w:hAnsi="Times New Roman" w:cs="Times New Roman"/>
        </w:rPr>
        <w:t xml:space="preserve">4.1 </w:t>
      </w:r>
      <w:r w:rsidR="009A5A88" w:rsidRPr="00414FA4">
        <w:rPr>
          <w:rFonts w:ascii="Times New Roman" w:hAnsi="Times New Roman" w:cs="Times New Roman"/>
        </w:rPr>
        <w:t>Confirmatory Factor Analysis</w:t>
      </w:r>
      <w:r w:rsidR="007A6850" w:rsidRPr="00414FA4">
        <w:rPr>
          <w:rFonts w:ascii="Times New Roman" w:hAnsi="Times New Roman" w:cs="Times New Roman"/>
        </w:rPr>
        <w:t xml:space="preserve"> (CFA)</w:t>
      </w:r>
    </w:p>
    <w:p w14:paraId="03049AC6" w14:textId="54E0D4EE" w:rsidR="001A3E4C" w:rsidRPr="00EF66BB" w:rsidRDefault="001A3E4C" w:rsidP="00141231">
      <w:pPr>
        <w:autoSpaceDE w:val="0"/>
        <w:autoSpaceDN w:val="0"/>
        <w:adjustRightInd w:val="0"/>
        <w:spacing w:line="360" w:lineRule="auto"/>
        <w:rPr>
          <w:rFonts w:ascii="Times New Roman" w:hAnsi="Times New Roman" w:cs="Times New Roman"/>
        </w:rPr>
      </w:pPr>
      <w:r w:rsidRPr="00CD0532">
        <w:rPr>
          <w:rFonts w:ascii="Times New Roman" w:hAnsi="Times New Roman" w:cs="Times New Roman"/>
        </w:rPr>
        <w:t xml:space="preserve">Using EFA results, we </w:t>
      </w:r>
      <w:r w:rsidR="007A6850" w:rsidRPr="00CD0532">
        <w:rPr>
          <w:rFonts w:ascii="Times New Roman" w:hAnsi="Times New Roman" w:cs="Times New Roman"/>
        </w:rPr>
        <w:t xml:space="preserve">compared </w:t>
      </w:r>
      <w:r w:rsidRPr="00CD0532">
        <w:rPr>
          <w:rFonts w:ascii="Times New Roman" w:hAnsi="Times New Roman" w:cs="Times New Roman"/>
        </w:rPr>
        <w:t xml:space="preserve">a series of </w:t>
      </w:r>
      <w:r w:rsidR="00AD6070" w:rsidRPr="00CD0532">
        <w:rPr>
          <w:rFonts w:ascii="Times New Roman" w:hAnsi="Times New Roman" w:cs="Times New Roman"/>
        </w:rPr>
        <w:t xml:space="preserve">nested </w:t>
      </w:r>
      <w:r w:rsidR="007A6850" w:rsidRPr="00CD0532">
        <w:rPr>
          <w:rFonts w:ascii="Times New Roman" w:hAnsi="Times New Roman" w:cs="Times New Roman"/>
        </w:rPr>
        <w:t>CFA</w:t>
      </w:r>
      <w:r w:rsidR="00AD6070" w:rsidRPr="00CD0532">
        <w:rPr>
          <w:rFonts w:ascii="Times New Roman" w:hAnsi="Times New Roman" w:cs="Times New Roman"/>
        </w:rPr>
        <w:t xml:space="preserve"> models to select the best fitting model</w:t>
      </w:r>
      <w:r w:rsidR="007A6850" w:rsidRPr="00CD0532">
        <w:rPr>
          <w:rFonts w:ascii="Times New Roman" w:hAnsi="Times New Roman" w:cs="Times New Roman"/>
        </w:rPr>
        <w:t xml:space="preserve"> (see </w:t>
      </w:r>
      <w:r w:rsidR="00244071" w:rsidRPr="00CD0532">
        <w:rPr>
          <w:rFonts w:ascii="Times New Roman" w:hAnsi="Times New Roman" w:cs="Times New Roman"/>
        </w:rPr>
        <w:t>A</w:t>
      </w:r>
      <w:r w:rsidR="007A6850" w:rsidRPr="00CD0532">
        <w:rPr>
          <w:rFonts w:ascii="Times New Roman" w:hAnsi="Times New Roman" w:cs="Times New Roman"/>
        </w:rPr>
        <w:t>ppendix 1 for results and selection process)</w:t>
      </w:r>
      <w:r w:rsidRPr="00CD0532">
        <w:rPr>
          <w:rFonts w:ascii="Times New Roman" w:hAnsi="Times New Roman" w:cs="Times New Roman"/>
        </w:rPr>
        <w:t xml:space="preserve">. </w:t>
      </w:r>
      <w:r w:rsidR="007A6850" w:rsidRPr="00CD0532">
        <w:rPr>
          <w:rFonts w:ascii="Times New Roman" w:hAnsi="Times New Roman" w:cs="Times New Roman"/>
        </w:rPr>
        <w:t>A chi-square difference test showed that the two factor model consisting of the mediator variable and the output variable exhibited a significantly better fit than any other alternative model (</w:t>
      </w:r>
      <w:r w:rsidR="007A6850" w:rsidRPr="00CD0532">
        <w:rPr>
          <w:rFonts w:ascii="Times New Roman" w:eastAsia="TimesNewRoman" w:hAnsi="Times New Roman" w:cs="Times New Roman"/>
        </w:rPr>
        <w:t>χ</w:t>
      </w:r>
      <w:r w:rsidR="007A6850" w:rsidRPr="00CD0532">
        <w:rPr>
          <w:rFonts w:ascii="Times New Roman" w:eastAsia="TimesNewRoman" w:hAnsi="Times New Roman" w:cs="Times New Roman"/>
          <w:vertAlign w:val="superscript"/>
        </w:rPr>
        <w:t>2</w:t>
      </w:r>
      <w:r w:rsidR="007A6850" w:rsidRPr="00CD0532">
        <w:rPr>
          <w:rFonts w:ascii="Times New Roman" w:eastAsia="TimesNewRoman" w:hAnsi="Times New Roman" w:cs="Times New Roman"/>
        </w:rPr>
        <w:t xml:space="preserve">= 19.468; </w:t>
      </w:r>
      <w:proofErr w:type="spellStart"/>
      <w:r w:rsidR="007A6850" w:rsidRPr="00CD0532">
        <w:rPr>
          <w:rFonts w:ascii="Times New Roman" w:eastAsia="TimesNewRoman" w:hAnsi="Times New Roman" w:cs="Times New Roman"/>
          <w:i/>
        </w:rPr>
        <w:t>df</w:t>
      </w:r>
      <w:proofErr w:type="spellEnd"/>
      <w:r w:rsidR="007A6850" w:rsidRPr="00CD0532">
        <w:rPr>
          <w:rFonts w:ascii="Times New Roman" w:eastAsia="TimesNewRoman" w:hAnsi="Times New Roman" w:cs="Times New Roman"/>
        </w:rPr>
        <w:t xml:space="preserve"> =8; CFI = 0.955).</w:t>
      </w:r>
      <w:r w:rsidR="007A6850" w:rsidRPr="009C79C2">
        <w:rPr>
          <w:rFonts w:ascii="Times New Roman" w:eastAsia="TimesNewRoman" w:hAnsi="Times New Roman" w:cs="Times New Roman"/>
          <w:sz w:val="22"/>
          <w:szCs w:val="22"/>
        </w:rPr>
        <w:t xml:space="preserve"> </w:t>
      </w:r>
      <w:r w:rsidRPr="00EF66BB">
        <w:rPr>
          <w:rFonts w:ascii="Times New Roman" w:hAnsi="Times New Roman" w:cs="Times New Roman"/>
        </w:rPr>
        <w:t xml:space="preserve">This best fitting model was then used to examine construct validity and reliability using CFA Maximum Likelihood estimation method.  </w:t>
      </w:r>
      <w:r w:rsidR="00523C1E" w:rsidRPr="00EF66BB">
        <w:rPr>
          <w:rFonts w:ascii="Times New Roman" w:hAnsi="Times New Roman" w:cs="Times New Roman"/>
        </w:rPr>
        <w:t xml:space="preserve">Regarding </w:t>
      </w:r>
      <w:r w:rsidRPr="00EF66BB">
        <w:rPr>
          <w:rFonts w:ascii="Times New Roman" w:hAnsi="Times New Roman" w:cs="Times New Roman"/>
        </w:rPr>
        <w:t>the measurement model, we assess</w:t>
      </w:r>
      <w:r w:rsidR="00523C1E" w:rsidRPr="00EF66BB">
        <w:rPr>
          <w:rFonts w:ascii="Times New Roman" w:hAnsi="Times New Roman" w:cs="Times New Roman"/>
        </w:rPr>
        <w:t>ed</w:t>
      </w:r>
      <w:r w:rsidR="0030131C" w:rsidRPr="00EF66BB">
        <w:rPr>
          <w:rFonts w:ascii="Times New Roman" w:hAnsi="Times New Roman" w:cs="Times New Roman"/>
        </w:rPr>
        <w:t xml:space="preserve"> </w:t>
      </w:r>
      <w:r w:rsidRPr="00EF66BB">
        <w:rPr>
          <w:rFonts w:ascii="Times New Roman" w:hAnsi="Times New Roman" w:cs="Times New Roman"/>
        </w:rPr>
        <w:t>individual item reliability (</w:t>
      </w:r>
      <w:r w:rsidR="009C79C2">
        <w:rPr>
          <w:rFonts w:ascii="Times New Roman" w:hAnsi="Times New Roman" w:cs="Times New Roman"/>
        </w:rPr>
        <w:t xml:space="preserve">see </w:t>
      </w:r>
      <w:r w:rsidRPr="00EF66BB">
        <w:rPr>
          <w:rFonts w:ascii="Times New Roman" w:hAnsi="Times New Roman" w:cs="Times New Roman"/>
        </w:rPr>
        <w:t>Tabl</w:t>
      </w:r>
      <w:r w:rsidR="00C72236">
        <w:rPr>
          <w:rFonts w:ascii="Times New Roman" w:hAnsi="Times New Roman" w:cs="Times New Roman"/>
        </w:rPr>
        <w:t xml:space="preserve">e </w:t>
      </w:r>
      <w:r w:rsidR="00A87C06">
        <w:rPr>
          <w:rFonts w:ascii="Times New Roman" w:hAnsi="Times New Roman" w:cs="Times New Roman"/>
        </w:rPr>
        <w:t>A</w:t>
      </w:r>
      <w:r w:rsidR="009C79C2">
        <w:rPr>
          <w:rFonts w:ascii="Times New Roman" w:hAnsi="Times New Roman" w:cs="Times New Roman"/>
        </w:rPr>
        <w:t xml:space="preserve"> in Appendix 1</w:t>
      </w:r>
      <w:r w:rsidRPr="00EF66BB">
        <w:rPr>
          <w:rFonts w:ascii="Times New Roman" w:hAnsi="Times New Roman" w:cs="Times New Roman"/>
        </w:rPr>
        <w:t xml:space="preserve">). Loadings are generally above the accepted threshold of 0.6 </w:t>
      </w:r>
      <w:r w:rsidR="002834AD">
        <w:rPr>
          <w:rFonts w:ascii="Times New Roman" w:hAnsi="Times New Roman" w:cs="Times New Roman"/>
        </w:rPr>
        <w:fldChar w:fldCharType="begin" w:fldLock="1"/>
      </w:r>
      <w:r w:rsidR="002834AD">
        <w:rPr>
          <w:rFonts w:ascii="Times New Roman" w:hAnsi="Times New Roman" w:cs="Times New Roman"/>
        </w:rPr>
        <w:instrText>ADDIN CSL_CITATION {"citationItems":[{"id":"ITEM-1","itemData":{"author":[{"dropping-particle":"","family":"Nunally","given":"J.C","non-dropping-particle":"","parse-names":false,"suffix":""}],"edition":"2nd","id":"ITEM-1","issued":{"date-parts":[["1978"]]},"publisher":"McGraw-Hill","publisher-place":"New York: USA","title":"Psychometric Theory","type":"book"},"uris":["http://www.mendeley.com/documents/?uuid=6afb330e-9bd9-4fc7-926a-42ec28500363"]}],"mendeley":{"formattedCitation":"(Nunally, 1978)","plainTextFormattedCitation":"(Nunally, 1978)","previouslyFormattedCitation":"(Nunally, 1978)"},"properties":{"noteIndex":0},"schema":"https://github.com/citation-style-language/schema/raw/master/csl-citation.json"}</w:instrText>
      </w:r>
      <w:r w:rsidR="002834AD">
        <w:rPr>
          <w:rFonts w:ascii="Times New Roman" w:hAnsi="Times New Roman" w:cs="Times New Roman"/>
        </w:rPr>
        <w:fldChar w:fldCharType="separate"/>
      </w:r>
      <w:r w:rsidR="002834AD" w:rsidRPr="002834AD">
        <w:rPr>
          <w:rFonts w:ascii="Times New Roman" w:hAnsi="Times New Roman" w:cs="Times New Roman"/>
          <w:noProof/>
        </w:rPr>
        <w:t>(Nunally, 1978)</w:t>
      </w:r>
      <w:r w:rsidR="002834AD">
        <w:rPr>
          <w:rFonts w:ascii="Times New Roman" w:hAnsi="Times New Roman" w:cs="Times New Roman"/>
        </w:rPr>
        <w:fldChar w:fldCharType="end"/>
      </w:r>
      <w:r w:rsidRPr="00EF66BB">
        <w:rPr>
          <w:rFonts w:ascii="Times New Roman" w:hAnsi="Times New Roman" w:cs="Times New Roman"/>
        </w:rPr>
        <w:t xml:space="preserve">. In addition, both constructs and dimensions achieve convergent validity as indicated by the average variance extracted (AVE) rates of over 0.5 </w:t>
      </w:r>
      <w:r w:rsidR="002834AD">
        <w:rPr>
          <w:rFonts w:ascii="Times New Roman" w:hAnsi="Times New Roman" w:cs="Times New Roman"/>
        </w:rPr>
        <w:fldChar w:fldCharType="begin" w:fldLock="1"/>
      </w:r>
      <w:r w:rsidR="007A2BD1">
        <w:rPr>
          <w:rFonts w:ascii="Times New Roman" w:hAnsi="Times New Roman" w:cs="Times New Roman"/>
        </w:rPr>
        <w:instrText>ADDIN CSL_CITATION {"citationItems":[{"id":"ITEM-1","itemData":{"DOI":"10.1007/s11747-011-0278-x","ISBN":"1174701102","ISSN":"00920703","PMID":"70072056","abstract":"We provide a comprehensive and user-friendly compendium of standards for the use and interpretation of structural equation models (SEMs). To both read about and do research that employs SEMs, it is necessary to master the art and science of the statistical procedures underpin-ning SEMs in an integrative way with the substantive concepts, theories, and hypotheses that researchers desire to examine. Our aim is to remove some of the mystery and uncertainty of the use of SEMs, while conveying the spirit of their possibilities.","author":[{"dropping-particle":"","family":"Bagozzi","given":"Richard P.","non-dropping-particle":"","parse-names":false,"suffix":""},{"dropping-particle":"","family":"Yi","given":"Youjae","non-dropping-particle":"","parse-names":false,"suffix":""}],"container-title":"Journal of the Academy of Marketing Science","id":"ITEM-1","issue":"1","issued":{"date-parts":[["2012"]]},"page":"8-34","title":"Specification, evaluation, and interpretation of structural equation models","type":"article-journal","volume":"40"},"uris":["http://www.mendeley.com/documents/?uuid=ab6cefbf-48aa-4e34-b634-52d42925130c"]}],"mendeley":{"formattedCitation":"(Bagozzi and Yi, 2012)","plainTextFormattedCitation":"(Bagozzi and Yi, 2012)","previouslyFormattedCitation":"(Bagozzi and Yi, 2012)"},"properties":{"noteIndex":0},"schema":"https://github.com/citation-style-language/schema/raw/master/csl-citation.json"}</w:instrText>
      </w:r>
      <w:r w:rsidR="002834AD">
        <w:rPr>
          <w:rFonts w:ascii="Times New Roman" w:hAnsi="Times New Roman" w:cs="Times New Roman"/>
        </w:rPr>
        <w:fldChar w:fldCharType="separate"/>
      </w:r>
      <w:r w:rsidR="002834AD" w:rsidRPr="002834AD">
        <w:rPr>
          <w:rFonts w:ascii="Times New Roman" w:hAnsi="Times New Roman" w:cs="Times New Roman"/>
          <w:noProof/>
        </w:rPr>
        <w:t>(Bagozzi and Yi, 2012)</w:t>
      </w:r>
      <w:r w:rsidR="002834AD">
        <w:rPr>
          <w:rFonts w:ascii="Times New Roman" w:hAnsi="Times New Roman" w:cs="Times New Roman"/>
        </w:rPr>
        <w:fldChar w:fldCharType="end"/>
      </w:r>
      <w:r w:rsidR="009C79C2">
        <w:rPr>
          <w:rFonts w:ascii="Times New Roman" w:hAnsi="Times New Roman" w:cs="Times New Roman"/>
        </w:rPr>
        <w:t xml:space="preserve"> and </w:t>
      </w:r>
      <w:r w:rsidRPr="00EF66BB">
        <w:rPr>
          <w:rFonts w:ascii="Times New Roman" w:hAnsi="Times New Roman" w:cs="Times New Roman"/>
        </w:rPr>
        <w:t>discriminant validity</w:t>
      </w:r>
      <w:r w:rsidR="009C79C2">
        <w:rPr>
          <w:rFonts w:ascii="Times New Roman" w:hAnsi="Times New Roman" w:cs="Times New Roman"/>
        </w:rPr>
        <w:t xml:space="preserve"> by the </w:t>
      </w:r>
      <w:r w:rsidR="009C79C2" w:rsidRPr="00EF66BB">
        <w:rPr>
          <w:rFonts w:ascii="Times New Roman" w:eastAsia="TimesNewRoman" w:hAnsi="Times New Roman" w:cs="Times New Roman"/>
        </w:rPr>
        <w:t xml:space="preserve">significant chi-square </w:t>
      </w:r>
      <w:r w:rsidR="009C79C2" w:rsidRPr="00EF66BB">
        <w:rPr>
          <w:rFonts w:ascii="Times New Roman" w:eastAsia="TimesNewRoman" w:hAnsi="Times New Roman" w:cs="Times New Roman"/>
        </w:rPr>
        <w:lastRenderedPageBreak/>
        <w:t>differences between the constrained and unconstrained models (Δχ</w:t>
      </w:r>
      <w:r w:rsidR="009C79C2" w:rsidRPr="009C79C2">
        <w:rPr>
          <w:rFonts w:ascii="Times New Roman" w:eastAsia="TimesNewRoman" w:hAnsi="Times New Roman" w:cs="Times New Roman"/>
          <w:vertAlign w:val="superscript"/>
        </w:rPr>
        <w:t>2</w:t>
      </w:r>
      <w:r w:rsidR="009C79C2" w:rsidRPr="00EF66BB">
        <w:rPr>
          <w:rFonts w:ascii="Times New Roman" w:eastAsia="TimesNewRoman" w:hAnsi="Times New Roman" w:cs="Times New Roman"/>
        </w:rPr>
        <w:t xml:space="preserve">(12) = 4.53, </w:t>
      </w:r>
      <w:r w:rsidR="009C79C2" w:rsidRPr="00EF66BB">
        <w:rPr>
          <w:rFonts w:ascii="Times New Roman" w:hAnsi="Times New Roman" w:cs="Times New Roman"/>
          <w:i/>
          <w:iCs/>
        </w:rPr>
        <w:t xml:space="preserve">p </w:t>
      </w:r>
      <w:r w:rsidR="009C79C2" w:rsidRPr="00EF66BB">
        <w:rPr>
          <w:rFonts w:ascii="Times New Roman" w:eastAsia="TimesNewRoman" w:hAnsi="Times New Roman" w:cs="Times New Roman"/>
        </w:rPr>
        <w:t>&lt; 0.05)</w:t>
      </w:r>
      <w:r w:rsidR="009C79C2">
        <w:rPr>
          <w:rFonts w:ascii="Times New Roman" w:hAnsi="Times New Roman" w:cs="Times New Roman"/>
        </w:rPr>
        <w:t xml:space="preserve"> (</w:t>
      </w:r>
      <w:r w:rsidR="009C79C2">
        <w:rPr>
          <w:rFonts w:ascii="Times New Roman" w:eastAsia="TimesNewRoman" w:hAnsi="Times New Roman" w:cs="Times New Roman"/>
        </w:rPr>
        <w:fldChar w:fldCharType="begin" w:fldLock="1"/>
      </w:r>
      <w:r w:rsidR="00CD0532">
        <w:rPr>
          <w:rFonts w:ascii="Times New Roman" w:eastAsia="TimesNewRoman" w:hAnsi="Times New Roman" w:cs="Times New Roman"/>
        </w:rPr>
        <w:instrText>ADDIN CSL_CITATION {"citationItems":[{"id":"ITEM-1","itemData":{"DOI":"10.1037/0033-2909.103.3.411","ISBN":"0033-2909\\r1939-1455","ISSN":"1939-1455","PMID":"3802905","abstract":"In this article, we provide guidance for substantive researchers on the use of structural equation modeling in practice for theory testing and development. We present a comprehensive, two-step modeling approach that employs a series of nested models and sequential chi-square difference tests. We discuss the comparative advantages of this approach over a one-step approach. Considerations in specification, assessment of fit, and respecification of measurement models using confirmatory factor analysis are reviewed. As background to the two-step approach, the distinction between ex- ploratory and confirmatory analysis, the distinction between complementary approaches for theory testing versus predictive application, and some developments in estimation methods also are dis- cussed.","author":[{"dropping-particle":"","family":"Anderson","given":"James","non-dropping-particle":"","parse-names":false,"suffix":""},{"dropping-particle":"","family":"Gerbing","given":"David","non-dropping-particle":"","parse-names":false,"suffix":""}],"container-title":"Psychological Bulletin","id":"ITEM-1","issue":"3","issued":{"date-parts":[["1988"]]},"page":"411-423","title":"Structural Equation Modeling in Practice: A Review and Recommended Two-Step Approach","type":"article-journal","volume":"103"},"uris":["http://www.mendeley.com/documents/?uuid=97e5cdc5-4c48-45cc-80cd-41e699b3d54b"]}],"mendeley":{"formattedCitation":"(Anderson and Gerbing, 1988)","manualFormatting":"Anderson and Gerbing, 1988)","plainTextFormattedCitation":"(Anderson and Gerbing, 1988)","previouslyFormattedCitation":"(Anderson and Gerbing, 1988)"},"properties":{"noteIndex":0},"schema":"https://github.com/citation-style-language/schema/raw/master/csl-citation.json"}</w:instrText>
      </w:r>
      <w:r w:rsidR="009C79C2">
        <w:rPr>
          <w:rFonts w:ascii="Times New Roman" w:eastAsia="TimesNewRoman" w:hAnsi="Times New Roman" w:cs="Times New Roman"/>
        </w:rPr>
        <w:fldChar w:fldCharType="separate"/>
      </w:r>
      <w:r w:rsidR="009C79C2" w:rsidRPr="007A2BD1">
        <w:rPr>
          <w:rFonts w:ascii="Times New Roman" w:eastAsia="TimesNewRoman" w:hAnsi="Times New Roman" w:cs="Times New Roman"/>
          <w:noProof/>
        </w:rPr>
        <w:t>Ander</w:t>
      </w:r>
      <w:r w:rsidR="009C79C2">
        <w:rPr>
          <w:rFonts w:ascii="Times New Roman" w:eastAsia="TimesNewRoman" w:hAnsi="Times New Roman" w:cs="Times New Roman"/>
          <w:noProof/>
        </w:rPr>
        <w:t xml:space="preserve">son and Gerbing, </w:t>
      </w:r>
      <w:r w:rsidR="009C79C2" w:rsidRPr="007A2BD1">
        <w:rPr>
          <w:rFonts w:ascii="Times New Roman" w:eastAsia="TimesNewRoman" w:hAnsi="Times New Roman" w:cs="Times New Roman"/>
          <w:noProof/>
        </w:rPr>
        <w:t>1988)</w:t>
      </w:r>
      <w:r w:rsidR="009C79C2">
        <w:rPr>
          <w:rFonts w:ascii="Times New Roman" w:eastAsia="TimesNewRoman" w:hAnsi="Times New Roman" w:cs="Times New Roman"/>
        </w:rPr>
        <w:fldChar w:fldCharType="end"/>
      </w:r>
      <w:r w:rsidR="009C79C2">
        <w:rPr>
          <w:rStyle w:val="FootnoteReference"/>
          <w:rFonts w:ascii="Times New Roman" w:eastAsia="TimesNewRoman" w:hAnsi="Times New Roman" w:cs="Times New Roman"/>
        </w:rPr>
        <w:footnoteReference w:id="5"/>
      </w:r>
      <w:r w:rsidR="00A87C06">
        <w:rPr>
          <w:rFonts w:ascii="Times New Roman" w:hAnsi="Times New Roman" w:cs="Times New Roman"/>
        </w:rPr>
        <w:t>.</w:t>
      </w:r>
    </w:p>
    <w:p w14:paraId="515BAF6F" w14:textId="77777777" w:rsidR="00A87C06" w:rsidRDefault="00A87C06" w:rsidP="00141231">
      <w:pPr>
        <w:autoSpaceDE w:val="0"/>
        <w:autoSpaceDN w:val="0"/>
        <w:adjustRightInd w:val="0"/>
        <w:spacing w:line="360" w:lineRule="auto"/>
        <w:rPr>
          <w:rFonts w:ascii="Times New Roman" w:eastAsia="TimesNewRoman" w:hAnsi="Times New Roman" w:cs="Times New Roman"/>
        </w:rPr>
      </w:pPr>
    </w:p>
    <w:p w14:paraId="36282BD0" w14:textId="566FB4BC" w:rsidR="00CE0F15" w:rsidRDefault="001A3E4C" w:rsidP="00141231">
      <w:pPr>
        <w:autoSpaceDE w:val="0"/>
        <w:autoSpaceDN w:val="0"/>
        <w:adjustRightInd w:val="0"/>
        <w:spacing w:line="360" w:lineRule="auto"/>
        <w:rPr>
          <w:rFonts w:ascii="Times New Roman" w:hAnsi="Times New Roman" w:cs="Times New Roman"/>
        </w:rPr>
      </w:pPr>
      <w:r w:rsidRPr="00EF66BB">
        <w:rPr>
          <w:rFonts w:ascii="Times New Roman" w:eastAsia="TimesNewRoman" w:hAnsi="Times New Roman" w:cs="Times New Roman"/>
        </w:rPr>
        <w:t xml:space="preserve">Table </w:t>
      </w:r>
      <w:r w:rsidR="00A87C06">
        <w:rPr>
          <w:rFonts w:ascii="Times New Roman" w:eastAsia="TimesNewRoman" w:hAnsi="Times New Roman" w:cs="Times New Roman"/>
        </w:rPr>
        <w:t>1</w:t>
      </w:r>
      <w:r w:rsidRPr="00EF66BB">
        <w:rPr>
          <w:rFonts w:ascii="Times New Roman" w:eastAsia="TimesNewRoman" w:hAnsi="Times New Roman" w:cs="Times New Roman"/>
        </w:rPr>
        <w:t xml:space="preserve"> presents the descriptive statistics, zero-order correlations for latent variables, the two exogenous variables and control variables. </w:t>
      </w:r>
      <w:r w:rsidRPr="00EF66BB">
        <w:rPr>
          <w:rFonts w:ascii="Times New Roman" w:hAnsi="Times New Roman" w:cs="Times New Roman"/>
        </w:rPr>
        <w:t xml:space="preserve">As shown in the </w:t>
      </w:r>
      <w:r w:rsidR="00523C1E" w:rsidRPr="00EF66BB">
        <w:rPr>
          <w:rFonts w:ascii="Times New Roman" w:hAnsi="Times New Roman" w:cs="Times New Roman"/>
        </w:rPr>
        <w:t>T</w:t>
      </w:r>
      <w:r w:rsidRPr="00EF66BB">
        <w:rPr>
          <w:rFonts w:ascii="Times New Roman" w:hAnsi="Times New Roman" w:cs="Times New Roman"/>
        </w:rPr>
        <w:t xml:space="preserve">able, moderate positive or negative correlations were evident among the variables. We also studied the bi-variate correlations for regional dummies but as none of them significantly associated with the mediator and outcome variables these were not included in the </w:t>
      </w:r>
      <w:r w:rsidR="00523C1E" w:rsidRPr="00EF66BB">
        <w:rPr>
          <w:rFonts w:ascii="Times New Roman" w:hAnsi="Times New Roman" w:cs="Times New Roman"/>
        </w:rPr>
        <w:t>T</w:t>
      </w:r>
      <w:r w:rsidRPr="00EF66BB">
        <w:rPr>
          <w:rFonts w:ascii="Times New Roman" w:hAnsi="Times New Roman" w:cs="Times New Roman"/>
        </w:rPr>
        <w:t>able or in</w:t>
      </w:r>
      <w:r w:rsidR="007A2BD1">
        <w:rPr>
          <w:rFonts w:ascii="Times New Roman" w:hAnsi="Times New Roman" w:cs="Times New Roman"/>
        </w:rPr>
        <w:t xml:space="preserve"> the SEM model for parsimony.</w:t>
      </w:r>
      <w:r w:rsidR="001D1B15">
        <w:rPr>
          <w:rFonts w:ascii="Times New Roman" w:hAnsi="Times New Roman" w:cs="Times New Roman"/>
        </w:rPr>
        <w:t xml:space="preserve"> The correlations between the key variables suggest that the coefficients </w:t>
      </w:r>
      <w:r w:rsidR="001D1B15" w:rsidRPr="00FE1D43">
        <w:rPr>
          <w:rFonts w:ascii="Times New Roman" w:hAnsi="Times New Roman" w:cs="Times New Roman"/>
        </w:rPr>
        <w:t>are largely in the expected direction</w:t>
      </w:r>
      <w:r w:rsidR="001D1B15">
        <w:rPr>
          <w:rFonts w:ascii="Times New Roman" w:hAnsi="Times New Roman" w:cs="Times New Roman"/>
        </w:rPr>
        <w:t xml:space="preserve"> and are statistically significant. </w:t>
      </w:r>
    </w:p>
    <w:p w14:paraId="167575E7" w14:textId="77777777" w:rsidR="00414FA4" w:rsidRDefault="00414FA4" w:rsidP="00141231">
      <w:pPr>
        <w:autoSpaceDE w:val="0"/>
        <w:autoSpaceDN w:val="0"/>
        <w:adjustRightInd w:val="0"/>
        <w:spacing w:line="360" w:lineRule="auto"/>
        <w:rPr>
          <w:rFonts w:ascii="Times New Roman" w:hAnsi="Times New Roman" w:cs="Times New Roman"/>
        </w:rPr>
      </w:pPr>
    </w:p>
    <w:p w14:paraId="48BE4E44" w14:textId="065A4CFD" w:rsidR="001A3E4C" w:rsidRPr="00EF66BB" w:rsidRDefault="001A3E4C" w:rsidP="00141231">
      <w:pPr>
        <w:autoSpaceDE w:val="0"/>
        <w:autoSpaceDN w:val="0"/>
        <w:adjustRightInd w:val="0"/>
        <w:spacing w:line="360" w:lineRule="auto"/>
        <w:outlineLvl w:val="0"/>
        <w:rPr>
          <w:rFonts w:ascii="Times New Roman" w:hAnsi="Times New Roman" w:cs="Times New Roman"/>
        </w:rPr>
      </w:pPr>
      <w:r w:rsidRPr="00EF66BB">
        <w:rPr>
          <w:rFonts w:ascii="Times New Roman" w:hAnsi="Times New Roman" w:cs="Times New Roman"/>
        </w:rPr>
        <w:t xml:space="preserve">Table </w:t>
      </w:r>
      <w:r w:rsidR="00A87C06">
        <w:rPr>
          <w:rFonts w:ascii="Times New Roman" w:hAnsi="Times New Roman" w:cs="Times New Roman"/>
        </w:rPr>
        <w:t>1</w:t>
      </w:r>
      <w:r w:rsidRPr="00EF66BB">
        <w:rPr>
          <w:rFonts w:ascii="Times New Roman" w:hAnsi="Times New Roman" w:cs="Times New Roman"/>
        </w:rPr>
        <w:t xml:space="preserve">: Descriptive statistics and the correlation matrix. </w:t>
      </w:r>
    </w:p>
    <w:tbl>
      <w:tblPr>
        <w:tblStyle w:val="TableGrid"/>
        <w:tblW w:w="9209" w:type="dxa"/>
        <w:tblLook w:val="04A0" w:firstRow="1" w:lastRow="0" w:firstColumn="1" w:lastColumn="0" w:noHBand="0" w:noVBand="1"/>
      </w:tblPr>
      <w:tblGrid>
        <w:gridCol w:w="2036"/>
        <w:gridCol w:w="672"/>
        <w:gridCol w:w="676"/>
        <w:gridCol w:w="869"/>
        <w:gridCol w:w="866"/>
        <w:gridCol w:w="829"/>
        <w:gridCol w:w="866"/>
        <w:gridCol w:w="663"/>
        <w:gridCol w:w="866"/>
        <w:gridCol w:w="866"/>
      </w:tblGrid>
      <w:tr w:rsidR="008F29B6" w:rsidRPr="00A151A5" w14:paraId="75F8F83C" w14:textId="77777777" w:rsidTr="008F29B6">
        <w:tc>
          <w:tcPr>
            <w:tcW w:w="2122" w:type="dxa"/>
          </w:tcPr>
          <w:p w14:paraId="47CD64F6" w14:textId="77777777" w:rsidR="001A3E4C" w:rsidRPr="00F97854" w:rsidRDefault="001A3E4C" w:rsidP="00141231">
            <w:pPr>
              <w:pStyle w:val="NoSpacing"/>
              <w:rPr>
                <w:rFonts w:ascii="Times New Roman" w:hAnsi="Times New Roman" w:cs="Times New Roman"/>
                <w:sz w:val="20"/>
                <w:szCs w:val="20"/>
              </w:rPr>
            </w:pPr>
          </w:p>
        </w:tc>
        <w:tc>
          <w:tcPr>
            <w:tcW w:w="567" w:type="dxa"/>
          </w:tcPr>
          <w:p w14:paraId="2DA71E8A"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Mean</w:t>
            </w:r>
          </w:p>
        </w:tc>
        <w:tc>
          <w:tcPr>
            <w:tcW w:w="677" w:type="dxa"/>
          </w:tcPr>
          <w:p w14:paraId="7F4B608E"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S.D. </w:t>
            </w:r>
          </w:p>
        </w:tc>
        <w:tc>
          <w:tcPr>
            <w:tcW w:w="869" w:type="dxa"/>
          </w:tcPr>
          <w:p w14:paraId="09C43248"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866" w:type="dxa"/>
          </w:tcPr>
          <w:p w14:paraId="46C9B006"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w:t>
            </w:r>
          </w:p>
        </w:tc>
        <w:tc>
          <w:tcPr>
            <w:tcW w:w="836" w:type="dxa"/>
          </w:tcPr>
          <w:p w14:paraId="4272B50A"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w:t>
            </w:r>
          </w:p>
        </w:tc>
        <w:tc>
          <w:tcPr>
            <w:tcW w:w="866" w:type="dxa"/>
          </w:tcPr>
          <w:p w14:paraId="459818D3"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4</w:t>
            </w:r>
          </w:p>
        </w:tc>
        <w:tc>
          <w:tcPr>
            <w:tcW w:w="674" w:type="dxa"/>
          </w:tcPr>
          <w:p w14:paraId="76FD287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5</w:t>
            </w:r>
          </w:p>
        </w:tc>
        <w:tc>
          <w:tcPr>
            <w:tcW w:w="866" w:type="dxa"/>
          </w:tcPr>
          <w:p w14:paraId="69069148"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w:t>
            </w:r>
          </w:p>
        </w:tc>
        <w:tc>
          <w:tcPr>
            <w:tcW w:w="866" w:type="dxa"/>
          </w:tcPr>
          <w:p w14:paraId="3C006394"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7</w:t>
            </w:r>
          </w:p>
        </w:tc>
      </w:tr>
      <w:tr w:rsidR="008F29B6" w:rsidRPr="00A151A5" w14:paraId="1AC32958" w14:textId="77777777" w:rsidTr="008F29B6">
        <w:tc>
          <w:tcPr>
            <w:tcW w:w="2122" w:type="dxa"/>
          </w:tcPr>
          <w:p w14:paraId="6B57FCF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TT Effectiveness (ln)</w:t>
            </w:r>
          </w:p>
        </w:tc>
        <w:tc>
          <w:tcPr>
            <w:tcW w:w="567" w:type="dxa"/>
          </w:tcPr>
          <w:p w14:paraId="2990BAF1"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6.07</w:t>
            </w:r>
          </w:p>
        </w:tc>
        <w:tc>
          <w:tcPr>
            <w:tcW w:w="677" w:type="dxa"/>
          </w:tcPr>
          <w:p w14:paraId="30608B57"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1.98</w:t>
            </w:r>
          </w:p>
        </w:tc>
        <w:tc>
          <w:tcPr>
            <w:tcW w:w="869" w:type="dxa"/>
          </w:tcPr>
          <w:p w14:paraId="02CE4FA4"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866" w:type="dxa"/>
          </w:tcPr>
          <w:p w14:paraId="3FD2018C" w14:textId="77777777" w:rsidR="001A3E4C" w:rsidRPr="00F97854" w:rsidRDefault="001A3E4C" w:rsidP="00141231">
            <w:pPr>
              <w:pStyle w:val="NoSpacing"/>
              <w:rPr>
                <w:rFonts w:ascii="Times New Roman" w:hAnsi="Times New Roman" w:cs="Times New Roman"/>
                <w:sz w:val="20"/>
                <w:szCs w:val="20"/>
              </w:rPr>
            </w:pPr>
          </w:p>
        </w:tc>
        <w:tc>
          <w:tcPr>
            <w:tcW w:w="836" w:type="dxa"/>
          </w:tcPr>
          <w:p w14:paraId="76922FD3"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6141ABEF" w14:textId="77777777" w:rsidR="001A3E4C" w:rsidRPr="00F97854" w:rsidRDefault="001A3E4C" w:rsidP="00141231">
            <w:pPr>
              <w:pStyle w:val="NoSpacing"/>
              <w:rPr>
                <w:rFonts w:ascii="Times New Roman" w:hAnsi="Times New Roman" w:cs="Times New Roman"/>
                <w:sz w:val="20"/>
                <w:szCs w:val="20"/>
              </w:rPr>
            </w:pPr>
          </w:p>
        </w:tc>
        <w:tc>
          <w:tcPr>
            <w:tcW w:w="674" w:type="dxa"/>
          </w:tcPr>
          <w:p w14:paraId="2F6DDA73"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24623376"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665D0CDB" w14:textId="77777777" w:rsidR="001A3E4C" w:rsidRPr="00F97854" w:rsidRDefault="001A3E4C" w:rsidP="00141231">
            <w:pPr>
              <w:pStyle w:val="NoSpacing"/>
              <w:rPr>
                <w:rFonts w:ascii="Times New Roman" w:hAnsi="Times New Roman" w:cs="Times New Roman"/>
                <w:sz w:val="20"/>
                <w:szCs w:val="20"/>
              </w:rPr>
            </w:pPr>
          </w:p>
        </w:tc>
      </w:tr>
      <w:tr w:rsidR="008F29B6" w:rsidRPr="00A151A5" w14:paraId="09E3A8E6" w14:textId="77777777" w:rsidTr="008F29B6">
        <w:tc>
          <w:tcPr>
            <w:tcW w:w="2122" w:type="dxa"/>
          </w:tcPr>
          <w:p w14:paraId="4C15CB24"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TTO Support </w:t>
            </w:r>
          </w:p>
        </w:tc>
        <w:tc>
          <w:tcPr>
            <w:tcW w:w="567" w:type="dxa"/>
          </w:tcPr>
          <w:p w14:paraId="7B1F0A6D"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2.96</w:t>
            </w:r>
          </w:p>
        </w:tc>
        <w:tc>
          <w:tcPr>
            <w:tcW w:w="677" w:type="dxa"/>
          </w:tcPr>
          <w:p w14:paraId="70DFFC71"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1.07</w:t>
            </w:r>
          </w:p>
        </w:tc>
        <w:tc>
          <w:tcPr>
            <w:tcW w:w="869" w:type="dxa"/>
          </w:tcPr>
          <w:p w14:paraId="5BE47D33"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.467***</w:t>
            </w:r>
          </w:p>
        </w:tc>
        <w:tc>
          <w:tcPr>
            <w:tcW w:w="866" w:type="dxa"/>
          </w:tcPr>
          <w:p w14:paraId="67A3FAFF"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836" w:type="dxa"/>
          </w:tcPr>
          <w:p w14:paraId="18E0F0F1"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0887FB09" w14:textId="77777777" w:rsidR="001A3E4C" w:rsidRPr="00F97854" w:rsidRDefault="001A3E4C" w:rsidP="00141231">
            <w:pPr>
              <w:pStyle w:val="NoSpacing"/>
              <w:rPr>
                <w:rFonts w:ascii="Times New Roman" w:hAnsi="Times New Roman" w:cs="Times New Roman"/>
                <w:sz w:val="20"/>
                <w:szCs w:val="20"/>
              </w:rPr>
            </w:pPr>
          </w:p>
        </w:tc>
        <w:tc>
          <w:tcPr>
            <w:tcW w:w="674" w:type="dxa"/>
          </w:tcPr>
          <w:p w14:paraId="63B6458F"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62976F1D"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668EA883" w14:textId="77777777" w:rsidR="001A3E4C" w:rsidRPr="00F97854" w:rsidRDefault="001A3E4C" w:rsidP="00141231">
            <w:pPr>
              <w:pStyle w:val="NoSpacing"/>
              <w:rPr>
                <w:rFonts w:ascii="Times New Roman" w:hAnsi="Times New Roman" w:cs="Times New Roman"/>
                <w:sz w:val="20"/>
                <w:szCs w:val="20"/>
              </w:rPr>
            </w:pPr>
          </w:p>
        </w:tc>
      </w:tr>
      <w:tr w:rsidR="008F29B6" w:rsidRPr="00A151A5" w14:paraId="4782B48D" w14:textId="77777777" w:rsidTr="008F29B6">
        <w:tc>
          <w:tcPr>
            <w:tcW w:w="2122" w:type="dxa"/>
          </w:tcPr>
          <w:p w14:paraId="7DD323F7"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Provision of incentives </w:t>
            </w:r>
          </w:p>
        </w:tc>
        <w:tc>
          <w:tcPr>
            <w:tcW w:w="567" w:type="dxa"/>
          </w:tcPr>
          <w:p w14:paraId="2817C593"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3.79</w:t>
            </w:r>
          </w:p>
        </w:tc>
        <w:tc>
          <w:tcPr>
            <w:tcW w:w="677" w:type="dxa"/>
          </w:tcPr>
          <w:p w14:paraId="33036235"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0.87</w:t>
            </w:r>
          </w:p>
        </w:tc>
        <w:tc>
          <w:tcPr>
            <w:tcW w:w="869" w:type="dxa"/>
          </w:tcPr>
          <w:p w14:paraId="23DB61E0"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.231*</w:t>
            </w:r>
          </w:p>
        </w:tc>
        <w:tc>
          <w:tcPr>
            <w:tcW w:w="866" w:type="dxa"/>
          </w:tcPr>
          <w:p w14:paraId="324680F4"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.265**</w:t>
            </w:r>
          </w:p>
        </w:tc>
        <w:tc>
          <w:tcPr>
            <w:tcW w:w="836" w:type="dxa"/>
          </w:tcPr>
          <w:p w14:paraId="55CDDB6B"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866" w:type="dxa"/>
          </w:tcPr>
          <w:p w14:paraId="55677C59" w14:textId="77777777" w:rsidR="001A3E4C" w:rsidRPr="00F97854" w:rsidRDefault="001A3E4C" w:rsidP="00141231">
            <w:pPr>
              <w:pStyle w:val="NoSpacing"/>
              <w:rPr>
                <w:rFonts w:ascii="Times New Roman" w:hAnsi="Times New Roman" w:cs="Times New Roman"/>
                <w:sz w:val="20"/>
                <w:szCs w:val="20"/>
              </w:rPr>
            </w:pPr>
          </w:p>
        </w:tc>
        <w:tc>
          <w:tcPr>
            <w:tcW w:w="674" w:type="dxa"/>
          </w:tcPr>
          <w:p w14:paraId="7E1A526C"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52D8EF3F"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675F2105" w14:textId="77777777" w:rsidR="001A3E4C" w:rsidRPr="00F97854" w:rsidRDefault="001A3E4C" w:rsidP="00141231">
            <w:pPr>
              <w:pStyle w:val="NoSpacing"/>
              <w:rPr>
                <w:rFonts w:ascii="Times New Roman" w:hAnsi="Times New Roman" w:cs="Times New Roman"/>
                <w:sz w:val="20"/>
                <w:szCs w:val="20"/>
              </w:rPr>
            </w:pPr>
          </w:p>
        </w:tc>
      </w:tr>
      <w:tr w:rsidR="008F29B6" w:rsidRPr="00A151A5" w14:paraId="11687C4E" w14:textId="77777777" w:rsidTr="008F29B6">
        <w:tc>
          <w:tcPr>
            <w:tcW w:w="2122" w:type="dxa"/>
          </w:tcPr>
          <w:p w14:paraId="7C55691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TT strategy </w:t>
            </w:r>
          </w:p>
        </w:tc>
        <w:tc>
          <w:tcPr>
            <w:tcW w:w="567" w:type="dxa"/>
          </w:tcPr>
          <w:p w14:paraId="73ADE927"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0.47</w:t>
            </w:r>
          </w:p>
        </w:tc>
        <w:tc>
          <w:tcPr>
            <w:tcW w:w="677" w:type="dxa"/>
          </w:tcPr>
          <w:p w14:paraId="71D66DC8"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0.35</w:t>
            </w:r>
          </w:p>
        </w:tc>
        <w:tc>
          <w:tcPr>
            <w:tcW w:w="869" w:type="dxa"/>
          </w:tcPr>
          <w:p w14:paraId="4A3E9228"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.658***</w:t>
            </w:r>
          </w:p>
        </w:tc>
        <w:tc>
          <w:tcPr>
            <w:tcW w:w="866" w:type="dxa"/>
          </w:tcPr>
          <w:p w14:paraId="5D79F626"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.310***</w:t>
            </w:r>
          </w:p>
        </w:tc>
        <w:tc>
          <w:tcPr>
            <w:tcW w:w="836" w:type="dxa"/>
          </w:tcPr>
          <w:p w14:paraId="2AE5060B"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.239**</w:t>
            </w:r>
          </w:p>
        </w:tc>
        <w:tc>
          <w:tcPr>
            <w:tcW w:w="866" w:type="dxa"/>
          </w:tcPr>
          <w:p w14:paraId="2F259F9A"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674" w:type="dxa"/>
          </w:tcPr>
          <w:p w14:paraId="516894FC"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342870AC"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0E774A42" w14:textId="77777777" w:rsidR="001A3E4C" w:rsidRPr="00F97854" w:rsidRDefault="001A3E4C" w:rsidP="00141231">
            <w:pPr>
              <w:pStyle w:val="NoSpacing"/>
              <w:rPr>
                <w:rFonts w:ascii="Times New Roman" w:hAnsi="Times New Roman" w:cs="Times New Roman"/>
                <w:sz w:val="20"/>
                <w:szCs w:val="20"/>
              </w:rPr>
            </w:pPr>
          </w:p>
        </w:tc>
      </w:tr>
      <w:tr w:rsidR="008F29B6" w:rsidRPr="00A151A5" w14:paraId="257608C1" w14:textId="77777777" w:rsidTr="008F29B6">
        <w:tc>
          <w:tcPr>
            <w:tcW w:w="2122" w:type="dxa"/>
          </w:tcPr>
          <w:p w14:paraId="707563E5"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Strategic planning </w:t>
            </w:r>
          </w:p>
        </w:tc>
        <w:tc>
          <w:tcPr>
            <w:tcW w:w="567" w:type="dxa"/>
          </w:tcPr>
          <w:p w14:paraId="628644CC"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4.31</w:t>
            </w:r>
          </w:p>
        </w:tc>
        <w:tc>
          <w:tcPr>
            <w:tcW w:w="677" w:type="dxa"/>
          </w:tcPr>
          <w:p w14:paraId="540A22A5"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0.76</w:t>
            </w:r>
          </w:p>
        </w:tc>
        <w:tc>
          <w:tcPr>
            <w:tcW w:w="869" w:type="dxa"/>
          </w:tcPr>
          <w:p w14:paraId="23DFFA4C"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.113</w:t>
            </w:r>
          </w:p>
        </w:tc>
        <w:tc>
          <w:tcPr>
            <w:tcW w:w="866" w:type="dxa"/>
          </w:tcPr>
          <w:p w14:paraId="6291EDBB"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.173</w:t>
            </w:r>
          </w:p>
        </w:tc>
        <w:tc>
          <w:tcPr>
            <w:tcW w:w="836" w:type="dxa"/>
          </w:tcPr>
          <w:p w14:paraId="1359FAA6"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.185*</w:t>
            </w:r>
          </w:p>
        </w:tc>
        <w:tc>
          <w:tcPr>
            <w:tcW w:w="866" w:type="dxa"/>
          </w:tcPr>
          <w:p w14:paraId="7DF1725D"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..098</w:t>
            </w:r>
          </w:p>
        </w:tc>
        <w:tc>
          <w:tcPr>
            <w:tcW w:w="674" w:type="dxa"/>
          </w:tcPr>
          <w:p w14:paraId="32BD659A"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866" w:type="dxa"/>
          </w:tcPr>
          <w:p w14:paraId="26EF9CB0" w14:textId="77777777" w:rsidR="001A3E4C" w:rsidRPr="00F97854" w:rsidRDefault="001A3E4C" w:rsidP="00141231">
            <w:pPr>
              <w:pStyle w:val="NoSpacing"/>
              <w:rPr>
                <w:rFonts w:ascii="Times New Roman" w:hAnsi="Times New Roman" w:cs="Times New Roman"/>
                <w:sz w:val="20"/>
                <w:szCs w:val="20"/>
              </w:rPr>
            </w:pPr>
          </w:p>
        </w:tc>
        <w:tc>
          <w:tcPr>
            <w:tcW w:w="866" w:type="dxa"/>
          </w:tcPr>
          <w:p w14:paraId="515ADA50" w14:textId="77777777" w:rsidR="001A3E4C" w:rsidRPr="00F97854" w:rsidRDefault="001A3E4C" w:rsidP="00141231">
            <w:pPr>
              <w:pStyle w:val="NoSpacing"/>
              <w:rPr>
                <w:rFonts w:ascii="Times New Roman" w:hAnsi="Times New Roman" w:cs="Times New Roman"/>
                <w:sz w:val="20"/>
                <w:szCs w:val="20"/>
              </w:rPr>
            </w:pPr>
          </w:p>
        </w:tc>
      </w:tr>
      <w:tr w:rsidR="008F29B6" w:rsidRPr="00A151A5" w14:paraId="4AEE7F33" w14:textId="77777777" w:rsidTr="008F29B6">
        <w:tc>
          <w:tcPr>
            <w:tcW w:w="2122" w:type="dxa"/>
          </w:tcPr>
          <w:p w14:paraId="3C3A97D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University Size (ln)</w:t>
            </w:r>
          </w:p>
        </w:tc>
        <w:tc>
          <w:tcPr>
            <w:tcW w:w="567" w:type="dxa"/>
          </w:tcPr>
          <w:p w14:paraId="2EE04177"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9.63</w:t>
            </w:r>
          </w:p>
        </w:tc>
        <w:tc>
          <w:tcPr>
            <w:tcW w:w="677" w:type="dxa"/>
          </w:tcPr>
          <w:p w14:paraId="6C3C3FB4"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0.57</w:t>
            </w:r>
          </w:p>
        </w:tc>
        <w:tc>
          <w:tcPr>
            <w:tcW w:w="869" w:type="dxa"/>
          </w:tcPr>
          <w:p w14:paraId="5E64D58C"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.643***</w:t>
            </w:r>
          </w:p>
        </w:tc>
        <w:tc>
          <w:tcPr>
            <w:tcW w:w="866" w:type="dxa"/>
          </w:tcPr>
          <w:p w14:paraId="5D61511F"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.610***</w:t>
            </w:r>
          </w:p>
        </w:tc>
        <w:tc>
          <w:tcPr>
            <w:tcW w:w="836" w:type="dxa"/>
          </w:tcPr>
          <w:p w14:paraId="7971F65D"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.190*</w:t>
            </w:r>
          </w:p>
        </w:tc>
        <w:tc>
          <w:tcPr>
            <w:tcW w:w="866" w:type="dxa"/>
          </w:tcPr>
          <w:p w14:paraId="24054167"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.368***</w:t>
            </w:r>
          </w:p>
        </w:tc>
        <w:tc>
          <w:tcPr>
            <w:tcW w:w="674" w:type="dxa"/>
          </w:tcPr>
          <w:p w14:paraId="78AACA61"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.166</w:t>
            </w:r>
          </w:p>
        </w:tc>
        <w:tc>
          <w:tcPr>
            <w:tcW w:w="866" w:type="dxa"/>
          </w:tcPr>
          <w:p w14:paraId="4B22F3C2"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c>
          <w:tcPr>
            <w:tcW w:w="866" w:type="dxa"/>
          </w:tcPr>
          <w:p w14:paraId="16EE3185" w14:textId="77777777" w:rsidR="001A3E4C" w:rsidRPr="00F97854" w:rsidRDefault="001A3E4C" w:rsidP="00141231">
            <w:pPr>
              <w:pStyle w:val="NoSpacing"/>
              <w:rPr>
                <w:rFonts w:ascii="Times New Roman" w:hAnsi="Times New Roman" w:cs="Times New Roman"/>
                <w:sz w:val="20"/>
                <w:szCs w:val="20"/>
              </w:rPr>
            </w:pPr>
          </w:p>
        </w:tc>
      </w:tr>
      <w:tr w:rsidR="008F29B6" w:rsidRPr="00A151A5" w14:paraId="7BEE882B" w14:textId="77777777" w:rsidTr="008F29B6">
        <w:tc>
          <w:tcPr>
            <w:tcW w:w="2122" w:type="dxa"/>
          </w:tcPr>
          <w:p w14:paraId="3A92B719" w14:textId="4F75B5B9" w:rsidR="001A3E4C" w:rsidRPr="00F97854" w:rsidRDefault="001D1B15" w:rsidP="00141231">
            <w:pPr>
              <w:pStyle w:val="NoSpacing"/>
              <w:rPr>
                <w:rFonts w:ascii="Times New Roman" w:hAnsi="Times New Roman" w:cs="Times New Roman"/>
                <w:sz w:val="20"/>
                <w:szCs w:val="20"/>
              </w:rPr>
            </w:pPr>
            <w:r>
              <w:rPr>
                <w:rFonts w:ascii="Times New Roman" w:hAnsi="Times New Roman" w:cs="Times New Roman"/>
                <w:sz w:val="20"/>
                <w:szCs w:val="20"/>
              </w:rPr>
              <w:t>Age of the TTO</w:t>
            </w:r>
            <w:r w:rsidR="001A3E4C" w:rsidRPr="00F97854">
              <w:rPr>
                <w:rFonts w:ascii="Times New Roman" w:hAnsi="Times New Roman" w:cs="Times New Roman"/>
                <w:sz w:val="20"/>
                <w:szCs w:val="20"/>
              </w:rPr>
              <w:t xml:space="preserve"> (ln)</w:t>
            </w:r>
          </w:p>
        </w:tc>
        <w:tc>
          <w:tcPr>
            <w:tcW w:w="567" w:type="dxa"/>
          </w:tcPr>
          <w:p w14:paraId="2986FF51"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2.71</w:t>
            </w:r>
          </w:p>
        </w:tc>
        <w:tc>
          <w:tcPr>
            <w:tcW w:w="677" w:type="dxa"/>
          </w:tcPr>
          <w:p w14:paraId="3AFD99F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0.74</w:t>
            </w:r>
          </w:p>
        </w:tc>
        <w:tc>
          <w:tcPr>
            <w:tcW w:w="869" w:type="dxa"/>
          </w:tcPr>
          <w:p w14:paraId="2E08AD3D"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.340***</w:t>
            </w:r>
          </w:p>
        </w:tc>
        <w:tc>
          <w:tcPr>
            <w:tcW w:w="866" w:type="dxa"/>
          </w:tcPr>
          <w:p w14:paraId="1DEAD773"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.267*</w:t>
            </w:r>
          </w:p>
        </w:tc>
        <w:tc>
          <w:tcPr>
            <w:tcW w:w="836" w:type="dxa"/>
          </w:tcPr>
          <w:p w14:paraId="55582BE5"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.238*</w:t>
            </w:r>
          </w:p>
        </w:tc>
        <w:tc>
          <w:tcPr>
            <w:tcW w:w="866" w:type="dxa"/>
          </w:tcPr>
          <w:p w14:paraId="3298D738"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.263**</w:t>
            </w:r>
          </w:p>
        </w:tc>
        <w:tc>
          <w:tcPr>
            <w:tcW w:w="674" w:type="dxa"/>
          </w:tcPr>
          <w:p w14:paraId="2C854FD1"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.016</w:t>
            </w:r>
          </w:p>
        </w:tc>
        <w:tc>
          <w:tcPr>
            <w:tcW w:w="866" w:type="dxa"/>
          </w:tcPr>
          <w:p w14:paraId="1153E1EA"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.340***</w:t>
            </w:r>
          </w:p>
        </w:tc>
        <w:tc>
          <w:tcPr>
            <w:tcW w:w="866" w:type="dxa"/>
          </w:tcPr>
          <w:p w14:paraId="5A0E9171"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w:t>
            </w:r>
          </w:p>
        </w:tc>
      </w:tr>
      <w:tr w:rsidR="008F29B6" w:rsidRPr="00A151A5" w14:paraId="4FC1A3AB" w14:textId="77777777" w:rsidTr="008F29B6">
        <w:tc>
          <w:tcPr>
            <w:tcW w:w="2122" w:type="dxa"/>
          </w:tcPr>
          <w:p w14:paraId="08EADDF3"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Impact (%)</w:t>
            </w:r>
          </w:p>
        </w:tc>
        <w:tc>
          <w:tcPr>
            <w:tcW w:w="567" w:type="dxa"/>
          </w:tcPr>
          <w:p w14:paraId="35515E5D"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34.3</w:t>
            </w:r>
          </w:p>
        </w:tc>
        <w:tc>
          <w:tcPr>
            <w:tcW w:w="677" w:type="dxa"/>
          </w:tcPr>
          <w:p w14:paraId="0D9DDA46"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12.03</w:t>
            </w:r>
          </w:p>
        </w:tc>
        <w:tc>
          <w:tcPr>
            <w:tcW w:w="869" w:type="dxa"/>
          </w:tcPr>
          <w:p w14:paraId="7BCB63A7"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.737***</w:t>
            </w:r>
          </w:p>
        </w:tc>
        <w:tc>
          <w:tcPr>
            <w:tcW w:w="866" w:type="dxa"/>
          </w:tcPr>
          <w:p w14:paraId="44BAEEA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.283**</w:t>
            </w:r>
          </w:p>
        </w:tc>
        <w:tc>
          <w:tcPr>
            <w:tcW w:w="836" w:type="dxa"/>
          </w:tcPr>
          <w:p w14:paraId="52629FF0"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.183*</w:t>
            </w:r>
          </w:p>
        </w:tc>
        <w:tc>
          <w:tcPr>
            <w:tcW w:w="866" w:type="dxa"/>
          </w:tcPr>
          <w:p w14:paraId="2C9E8C29"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.511***</w:t>
            </w:r>
          </w:p>
        </w:tc>
        <w:tc>
          <w:tcPr>
            <w:tcW w:w="674" w:type="dxa"/>
          </w:tcPr>
          <w:p w14:paraId="5973CFCB"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.084</w:t>
            </w:r>
          </w:p>
        </w:tc>
        <w:tc>
          <w:tcPr>
            <w:tcW w:w="866" w:type="dxa"/>
          </w:tcPr>
          <w:p w14:paraId="4AF782DA"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.539***</w:t>
            </w:r>
          </w:p>
        </w:tc>
        <w:tc>
          <w:tcPr>
            <w:tcW w:w="866" w:type="dxa"/>
          </w:tcPr>
          <w:p w14:paraId="1463B273" w14:textId="77777777" w:rsidR="001A3E4C" w:rsidRPr="00F97854" w:rsidRDefault="001A3E4C"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.341***</w:t>
            </w:r>
          </w:p>
        </w:tc>
      </w:tr>
    </w:tbl>
    <w:p w14:paraId="52B0B24F" w14:textId="77777777" w:rsidR="001A3E4C" w:rsidRPr="00F97854" w:rsidRDefault="001A3E4C" w:rsidP="00141231">
      <w:pPr>
        <w:autoSpaceDE w:val="0"/>
        <w:autoSpaceDN w:val="0"/>
        <w:adjustRightInd w:val="0"/>
        <w:spacing w:line="360" w:lineRule="auto"/>
        <w:rPr>
          <w:rFonts w:ascii="Times New Roman" w:hAnsi="Times New Roman" w:cs="Times New Roman"/>
          <w:sz w:val="20"/>
          <w:szCs w:val="20"/>
        </w:rPr>
      </w:pPr>
      <w:r w:rsidRPr="00F97854">
        <w:rPr>
          <w:rFonts w:ascii="Times New Roman" w:hAnsi="Times New Roman" w:cs="Times New Roman"/>
          <w:sz w:val="20"/>
          <w:szCs w:val="20"/>
        </w:rPr>
        <w:t>*p&lt;0.05; **p&lt;0.01; ***p&lt;0.000</w:t>
      </w:r>
    </w:p>
    <w:p w14:paraId="5FB55CB6" w14:textId="77777777" w:rsidR="001A3E4C" w:rsidRPr="00EF66BB" w:rsidRDefault="001A3E4C" w:rsidP="00141231">
      <w:pPr>
        <w:autoSpaceDE w:val="0"/>
        <w:autoSpaceDN w:val="0"/>
        <w:adjustRightInd w:val="0"/>
        <w:spacing w:line="360" w:lineRule="auto"/>
        <w:rPr>
          <w:rFonts w:ascii="Times New Roman" w:hAnsi="Times New Roman" w:cs="Times New Roman"/>
        </w:rPr>
      </w:pPr>
    </w:p>
    <w:p w14:paraId="01492511" w14:textId="1855C3FD" w:rsidR="001A3E4C" w:rsidRPr="00EF66BB" w:rsidRDefault="003A343A" w:rsidP="00141231">
      <w:pPr>
        <w:pStyle w:val="Heading3"/>
        <w:spacing w:line="360" w:lineRule="auto"/>
        <w:rPr>
          <w:rFonts w:ascii="Times New Roman" w:hAnsi="Times New Roman" w:cs="Times New Roman"/>
        </w:rPr>
      </w:pPr>
      <w:r w:rsidRPr="00EF66BB">
        <w:rPr>
          <w:rFonts w:ascii="Times New Roman" w:hAnsi="Times New Roman" w:cs="Times New Roman"/>
        </w:rPr>
        <w:t xml:space="preserve">4.2 </w:t>
      </w:r>
      <w:r w:rsidR="00AC11E8" w:rsidRPr="00EF66BB">
        <w:rPr>
          <w:rFonts w:ascii="Times New Roman" w:hAnsi="Times New Roman" w:cs="Times New Roman"/>
        </w:rPr>
        <w:t xml:space="preserve"> </w:t>
      </w:r>
      <w:r w:rsidR="009A5A88" w:rsidRPr="00EF66BB">
        <w:rPr>
          <w:rFonts w:ascii="Times New Roman" w:hAnsi="Times New Roman" w:cs="Times New Roman"/>
        </w:rPr>
        <w:t xml:space="preserve">Hypotheses </w:t>
      </w:r>
      <w:r w:rsidR="00AC11E8" w:rsidRPr="00EF66BB">
        <w:rPr>
          <w:rFonts w:ascii="Times New Roman" w:hAnsi="Times New Roman" w:cs="Times New Roman"/>
        </w:rPr>
        <w:t>Testing</w:t>
      </w:r>
      <w:r w:rsidRPr="00EF66BB">
        <w:rPr>
          <w:rFonts w:ascii="Times New Roman" w:hAnsi="Times New Roman" w:cs="Times New Roman"/>
        </w:rPr>
        <w:t xml:space="preserve">: SEM modelling </w:t>
      </w:r>
    </w:p>
    <w:p w14:paraId="6E1FB30C" w14:textId="119308EB" w:rsidR="001A3E4C" w:rsidRPr="00EF66BB"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 xml:space="preserve">Following the previous CFA analysis, a SEM analysis using technology transfer </w:t>
      </w:r>
      <w:r w:rsidR="0030131C" w:rsidRPr="00EF66BB">
        <w:rPr>
          <w:rFonts w:ascii="Times New Roman" w:hAnsi="Times New Roman" w:cs="Times New Roman"/>
        </w:rPr>
        <w:t xml:space="preserve">priority </w:t>
      </w:r>
      <w:r w:rsidRPr="00EF66BB">
        <w:rPr>
          <w:rFonts w:ascii="Times New Roman" w:hAnsi="Times New Roman" w:cs="Times New Roman"/>
        </w:rPr>
        <w:t>as a latent variable with three indicators</w:t>
      </w:r>
      <w:r w:rsidR="0077155B" w:rsidRPr="00EF66BB">
        <w:rPr>
          <w:rFonts w:ascii="Times New Roman" w:hAnsi="Times New Roman" w:cs="Times New Roman"/>
        </w:rPr>
        <w:t>;</w:t>
      </w:r>
      <w:r w:rsidRPr="00EF66BB">
        <w:rPr>
          <w:rFonts w:ascii="Times New Roman" w:hAnsi="Times New Roman" w:cs="Times New Roman"/>
        </w:rPr>
        <w:t xml:space="preserve"> technology transfer effectiveness as a latent variable with three indicators</w:t>
      </w:r>
      <w:r w:rsidR="0077155B" w:rsidRPr="00EF66BB">
        <w:rPr>
          <w:rFonts w:ascii="Times New Roman" w:hAnsi="Times New Roman" w:cs="Times New Roman"/>
        </w:rPr>
        <w:t>;</w:t>
      </w:r>
      <w:r w:rsidRPr="00EF66BB">
        <w:rPr>
          <w:rFonts w:ascii="Times New Roman" w:hAnsi="Times New Roman" w:cs="Times New Roman"/>
        </w:rPr>
        <w:t xml:space="preserve"> and TTO support and provision of incentives as single item observed variables</w:t>
      </w:r>
      <w:r w:rsidR="0077155B" w:rsidRPr="00EF66BB">
        <w:rPr>
          <w:rFonts w:ascii="Times New Roman" w:hAnsi="Times New Roman" w:cs="Times New Roman"/>
        </w:rPr>
        <w:t>,</w:t>
      </w:r>
      <w:r w:rsidRPr="00EF66BB">
        <w:rPr>
          <w:rFonts w:ascii="Times New Roman" w:hAnsi="Times New Roman" w:cs="Times New Roman"/>
        </w:rPr>
        <w:t xml:space="preserve"> was performed. As the two exogenous variables represent conceptually related processes, we allowed TTO support and pro</w:t>
      </w:r>
      <w:r w:rsidR="007A2BD1">
        <w:rPr>
          <w:rFonts w:ascii="Times New Roman" w:hAnsi="Times New Roman" w:cs="Times New Roman"/>
        </w:rPr>
        <w:t>vision of incentives to co-vary</w:t>
      </w:r>
      <w:r w:rsidRPr="00EF66BB">
        <w:rPr>
          <w:rFonts w:ascii="Times New Roman" w:hAnsi="Times New Roman" w:cs="Times New Roman"/>
        </w:rPr>
        <w:t xml:space="preserve"> and controlled for the effects of institutional size, age and the impact of research activity on all endogenous variables.</w:t>
      </w:r>
    </w:p>
    <w:p w14:paraId="5124C434" w14:textId="77777777" w:rsidR="001A3E4C" w:rsidRPr="00EF66BB" w:rsidRDefault="001A3E4C" w:rsidP="00141231">
      <w:pPr>
        <w:autoSpaceDE w:val="0"/>
        <w:autoSpaceDN w:val="0"/>
        <w:adjustRightInd w:val="0"/>
        <w:spacing w:line="360" w:lineRule="auto"/>
        <w:rPr>
          <w:rFonts w:ascii="Times New Roman" w:hAnsi="Times New Roman" w:cs="Times New Roman"/>
        </w:rPr>
      </w:pPr>
    </w:p>
    <w:p w14:paraId="0A87D30A" w14:textId="58963E55" w:rsidR="001A3E4C" w:rsidRPr="00EF66BB"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lastRenderedPageBreak/>
        <w:t xml:space="preserve">Mediation was analysed with the help of structural regression models in AMOS 24 and performed bootstrapping as recommended by </w:t>
      </w:r>
      <w:r w:rsidR="007A2BD1">
        <w:rPr>
          <w:rFonts w:ascii="Times New Roman" w:hAnsi="Times New Roman" w:cs="Times New Roman"/>
        </w:rPr>
        <w:fldChar w:fldCharType="begin" w:fldLock="1"/>
      </w:r>
      <w:r w:rsidR="007A2BD1">
        <w:rPr>
          <w:rFonts w:ascii="Times New Roman" w:hAnsi="Times New Roman" w:cs="Times New Roman"/>
        </w:rPr>
        <w:instrText>ADDIN CSL_CITATION {"citationItems":[{"id":"ITEM-1","itemData":{"DOI":"10.3758/BF03206553","ISBN":"0743-3808","ISSN":"0743-3808","PMID":"15641418","author":[{"dropping-particle":"","family":"Preacher","given":"K.J","non-dropping-particle":"","parse-names":false,"suffix":""},{"dropping-particle":"","family":"Hayes","given":"A.F","non-dropping-particle":"","parse-names":false,"suffix":""}],"container-title":"Bahaviour Research Methods, Instruments &amp; Computers","id":"ITEM-1","issue":"4","issued":{"date-parts":[["2004"]]},"page":"717-731","title":"SPSS and SAS procedures for estimating indirect effects in simple mediation models","type":"article-journal","volume":"36"},"uris":["http://www.mendeley.com/documents/?uuid=b629f50d-40c7-408c-a522-a3c3fb95f54f"]},{"id":"ITEM-2","itemData":{"author":[{"dropping-particle":"","family":"Preacher","given":"K.J","non-dropping-particle":"","parse-names":false,"suffix":""},{"dropping-particle":"","family":"Hayes","given":"A.F","non-dropping-particle":"","parse-names":false,"suffix":""}],"container-title":"Behavior Research Methods","id":"ITEM-2","issue":"3","issued":{"date-parts":[["2008"]]},"page":"879-891","title":"Asymptotic and resampling strategies for assessing and comparing indirect effects in multilpe indicator models","type":"article-journal","volume":"40"},"uris":["http://www.mendeley.com/documents/?uuid=73c478e3-09f8-49c7-85d0-cd14f825173d"]}],"mendeley":{"formattedCitation":"(Preacher and Hayes, 2008, 2004)","manualFormatting":"Preacher and Hayes (2008, 2004)","plainTextFormattedCitation":"(Preacher and Hayes, 2008, 2004)","previouslyFormattedCitation":"(Preacher and Hayes, 2008, 2004)"},"properties":{"noteIndex":0},"schema":"https://github.com/citation-style-language/schema/raw/master/csl-citation.json"}</w:instrText>
      </w:r>
      <w:r w:rsidR="007A2BD1">
        <w:rPr>
          <w:rFonts w:ascii="Times New Roman" w:hAnsi="Times New Roman" w:cs="Times New Roman"/>
        </w:rPr>
        <w:fldChar w:fldCharType="separate"/>
      </w:r>
      <w:r w:rsidR="007A2BD1">
        <w:rPr>
          <w:rFonts w:ascii="Times New Roman" w:hAnsi="Times New Roman" w:cs="Times New Roman"/>
          <w:noProof/>
        </w:rPr>
        <w:t>Preacher and Hayes</w:t>
      </w:r>
      <w:r w:rsidR="007A2BD1" w:rsidRPr="007A2BD1">
        <w:rPr>
          <w:rFonts w:ascii="Times New Roman" w:hAnsi="Times New Roman" w:cs="Times New Roman"/>
          <w:noProof/>
        </w:rPr>
        <w:t xml:space="preserve"> </w:t>
      </w:r>
      <w:r w:rsidR="007A2BD1">
        <w:rPr>
          <w:rFonts w:ascii="Times New Roman" w:hAnsi="Times New Roman" w:cs="Times New Roman"/>
          <w:noProof/>
        </w:rPr>
        <w:t>(</w:t>
      </w:r>
      <w:r w:rsidR="007A2BD1" w:rsidRPr="007A2BD1">
        <w:rPr>
          <w:rFonts w:ascii="Times New Roman" w:hAnsi="Times New Roman" w:cs="Times New Roman"/>
          <w:noProof/>
        </w:rPr>
        <w:t>2008, 2004)</w:t>
      </w:r>
      <w:r w:rsidR="007A2BD1">
        <w:rPr>
          <w:rFonts w:ascii="Times New Roman" w:hAnsi="Times New Roman" w:cs="Times New Roman"/>
        </w:rPr>
        <w:fldChar w:fldCharType="end"/>
      </w:r>
      <w:r w:rsidRPr="00EF66BB">
        <w:rPr>
          <w:rFonts w:ascii="Times New Roman" w:hAnsi="Times New Roman" w:cs="Times New Roman"/>
        </w:rPr>
        <w:t xml:space="preserve">. In this study, we model </w:t>
      </w:r>
      <w:r w:rsidR="009A5A88" w:rsidRPr="00EF66BB">
        <w:rPr>
          <w:rFonts w:ascii="Times New Roman" w:hAnsi="Times New Roman" w:cs="Times New Roman"/>
        </w:rPr>
        <w:t>T</w:t>
      </w:r>
      <w:r w:rsidR="00F97854">
        <w:rPr>
          <w:rFonts w:ascii="Times New Roman" w:hAnsi="Times New Roman" w:cs="Times New Roman"/>
        </w:rPr>
        <w:t>echnology Transfer Strategic Priority</w:t>
      </w:r>
      <w:r w:rsidR="009A5A88" w:rsidRPr="00EF66BB">
        <w:rPr>
          <w:rFonts w:ascii="Times New Roman" w:hAnsi="Times New Roman" w:cs="Times New Roman"/>
        </w:rPr>
        <w:t xml:space="preserve"> </w:t>
      </w:r>
      <w:r w:rsidRPr="00EF66BB">
        <w:rPr>
          <w:rFonts w:ascii="Times New Roman" w:hAnsi="Times New Roman" w:cs="Times New Roman"/>
        </w:rPr>
        <w:t xml:space="preserve">as a mediating variable. Mediation </w:t>
      </w:r>
      <w:r w:rsidR="00A151A5">
        <w:rPr>
          <w:rFonts w:ascii="Times New Roman" w:hAnsi="Times New Roman" w:cs="Times New Roman"/>
        </w:rPr>
        <w:t>(</w:t>
      </w:r>
      <w:r w:rsidR="00A151A5" w:rsidRPr="00EF66BB">
        <w:rPr>
          <w:rFonts w:ascii="Times New Roman" w:hAnsi="Times New Roman" w:cs="Times New Roman"/>
        </w:rPr>
        <w:t xml:space="preserve">TT </w:t>
      </w:r>
      <w:r w:rsidR="00A87C06">
        <w:rPr>
          <w:rFonts w:ascii="Times New Roman" w:hAnsi="Times New Roman" w:cs="Times New Roman"/>
        </w:rPr>
        <w:t>S</w:t>
      </w:r>
      <w:r w:rsidR="00A151A5" w:rsidRPr="00EF66BB">
        <w:rPr>
          <w:rFonts w:ascii="Times New Roman" w:hAnsi="Times New Roman" w:cs="Times New Roman"/>
        </w:rPr>
        <w:t>trateg</w:t>
      </w:r>
      <w:r w:rsidR="00F97854">
        <w:rPr>
          <w:rFonts w:ascii="Times New Roman" w:hAnsi="Times New Roman" w:cs="Times New Roman"/>
        </w:rPr>
        <w:t xml:space="preserve">ic </w:t>
      </w:r>
      <w:r w:rsidR="00A87C06">
        <w:rPr>
          <w:rFonts w:ascii="Times New Roman" w:hAnsi="Times New Roman" w:cs="Times New Roman"/>
        </w:rPr>
        <w:t>P</w:t>
      </w:r>
      <w:r w:rsidR="00F97854">
        <w:rPr>
          <w:rFonts w:ascii="Times New Roman" w:hAnsi="Times New Roman" w:cs="Times New Roman"/>
        </w:rPr>
        <w:t>riority</w:t>
      </w:r>
      <w:r w:rsidR="00A151A5">
        <w:rPr>
          <w:rFonts w:ascii="Times New Roman" w:hAnsi="Times New Roman" w:cs="Times New Roman"/>
        </w:rPr>
        <w:t>)</w:t>
      </w:r>
      <w:r w:rsidR="00A151A5" w:rsidRPr="00EF66BB">
        <w:rPr>
          <w:rFonts w:ascii="Times New Roman" w:hAnsi="Times New Roman" w:cs="Times New Roman"/>
        </w:rPr>
        <w:t xml:space="preserve"> </w:t>
      </w:r>
      <w:r w:rsidRPr="00EF66BB">
        <w:rPr>
          <w:rFonts w:ascii="Times New Roman" w:hAnsi="Times New Roman" w:cs="Times New Roman"/>
        </w:rPr>
        <w:t>tests specify the presence of a significant intervening mechanism between antecedent variables (TT</w:t>
      </w:r>
      <w:r w:rsidR="00F97854">
        <w:rPr>
          <w:rFonts w:ascii="Times New Roman" w:hAnsi="Times New Roman" w:cs="Times New Roman"/>
        </w:rPr>
        <w:t>O</w:t>
      </w:r>
      <w:r w:rsidRPr="00EF66BB">
        <w:rPr>
          <w:rFonts w:ascii="Times New Roman" w:hAnsi="Times New Roman" w:cs="Times New Roman"/>
        </w:rPr>
        <w:t xml:space="preserve"> </w:t>
      </w:r>
      <w:r w:rsidR="00F97854">
        <w:rPr>
          <w:rFonts w:ascii="Times New Roman" w:hAnsi="Times New Roman" w:cs="Times New Roman"/>
        </w:rPr>
        <w:t>S</w:t>
      </w:r>
      <w:r w:rsidRPr="00EF66BB">
        <w:rPr>
          <w:rFonts w:ascii="Times New Roman" w:hAnsi="Times New Roman" w:cs="Times New Roman"/>
        </w:rPr>
        <w:t xml:space="preserve">upport and </w:t>
      </w:r>
      <w:r w:rsidR="00F97854">
        <w:rPr>
          <w:rFonts w:ascii="Times New Roman" w:hAnsi="Times New Roman" w:cs="Times New Roman"/>
        </w:rPr>
        <w:t>P</w:t>
      </w:r>
      <w:r w:rsidRPr="00EF66BB">
        <w:rPr>
          <w:rFonts w:ascii="Times New Roman" w:hAnsi="Times New Roman" w:cs="Times New Roman"/>
        </w:rPr>
        <w:t xml:space="preserve">rovision of </w:t>
      </w:r>
      <w:r w:rsidR="00F97854">
        <w:rPr>
          <w:rFonts w:ascii="Times New Roman" w:hAnsi="Times New Roman" w:cs="Times New Roman"/>
        </w:rPr>
        <w:t>I</w:t>
      </w:r>
      <w:r w:rsidRPr="00EF66BB">
        <w:rPr>
          <w:rFonts w:ascii="Times New Roman" w:hAnsi="Times New Roman" w:cs="Times New Roman"/>
        </w:rPr>
        <w:t>ncentives) and the outcome variable (</w:t>
      </w:r>
      <w:r w:rsidR="004E4B50" w:rsidRPr="00EF66BB">
        <w:rPr>
          <w:rFonts w:ascii="Times New Roman" w:hAnsi="Times New Roman" w:cs="Times New Roman"/>
        </w:rPr>
        <w:t>TT</w:t>
      </w:r>
      <w:r w:rsidRPr="00EF66BB">
        <w:rPr>
          <w:rFonts w:ascii="Times New Roman" w:hAnsi="Times New Roman" w:cs="Times New Roman"/>
        </w:rPr>
        <w:t xml:space="preserve"> </w:t>
      </w:r>
      <w:r w:rsidR="00A87C06">
        <w:rPr>
          <w:rFonts w:ascii="Times New Roman" w:hAnsi="Times New Roman" w:cs="Times New Roman"/>
        </w:rPr>
        <w:t>E</w:t>
      </w:r>
      <w:r w:rsidRPr="00EF66BB">
        <w:rPr>
          <w:rFonts w:ascii="Times New Roman" w:hAnsi="Times New Roman" w:cs="Times New Roman"/>
        </w:rPr>
        <w:t xml:space="preserve">ffectiveness). </w:t>
      </w:r>
      <w:r w:rsidR="004629DB" w:rsidRPr="00EF66BB">
        <w:rPr>
          <w:rFonts w:ascii="Times New Roman" w:hAnsi="Times New Roman" w:cs="Times New Roman"/>
        </w:rPr>
        <w:t>F</w:t>
      </w:r>
      <w:r w:rsidRPr="00EF66BB">
        <w:rPr>
          <w:rFonts w:ascii="Times New Roman" w:hAnsi="Times New Roman" w:cs="Times New Roman"/>
        </w:rPr>
        <w:t>or a strong mediation, the mediator variable (</w:t>
      </w:r>
      <w:r w:rsidR="004E4B50" w:rsidRPr="00EF66BB">
        <w:rPr>
          <w:rFonts w:ascii="Times New Roman" w:hAnsi="Times New Roman" w:cs="Times New Roman"/>
        </w:rPr>
        <w:t>TT</w:t>
      </w:r>
      <w:r w:rsidRPr="00EF66BB">
        <w:rPr>
          <w:rFonts w:ascii="Times New Roman" w:hAnsi="Times New Roman" w:cs="Times New Roman"/>
        </w:rPr>
        <w:t xml:space="preserve"> </w:t>
      </w:r>
      <w:r w:rsidR="00A87C06">
        <w:rPr>
          <w:rFonts w:ascii="Times New Roman" w:hAnsi="Times New Roman" w:cs="Times New Roman"/>
        </w:rPr>
        <w:t>S</w:t>
      </w:r>
      <w:r w:rsidRPr="00EF66BB">
        <w:rPr>
          <w:rFonts w:ascii="Times New Roman" w:hAnsi="Times New Roman" w:cs="Times New Roman"/>
        </w:rPr>
        <w:t>trateg</w:t>
      </w:r>
      <w:r w:rsidR="00A87C06">
        <w:rPr>
          <w:rFonts w:ascii="Times New Roman" w:hAnsi="Times New Roman" w:cs="Times New Roman"/>
        </w:rPr>
        <w:t>ic Priority</w:t>
      </w:r>
      <w:r w:rsidRPr="00EF66BB">
        <w:rPr>
          <w:rFonts w:ascii="Times New Roman" w:hAnsi="Times New Roman" w:cs="Times New Roman"/>
        </w:rPr>
        <w:t xml:space="preserve">) should account for a significant proportion of the relationship between the intervening and the outcome variables. Mediation can be full or partial. While in full mediation the presence of the mediator variable is necessary for a significant outcome between the independent variable and the dependent variable (e.g. prioritisation of technology transfer is necessary for </w:t>
      </w:r>
      <w:r w:rsidR="006E6D78" w:rsidRPr="00EF66BB">
        <w:rPr>
          <w:rFonts w:ascii="Times New Roman" w:hAnsi="Times New Roman" w:cs="Times New Roman"/>
        </w:rPr>
        <w:t xml:space="preserve">a TTO </w:t>
      </w:r>
      <w:r w:rsidRPr="00EF66BB">
        <w:rPr>
          <w:rFonts w:ascii="Times New Roman" w:hAnsi="Times New Roman" w:cs="Times New Roman"/>
        </w:rPr>
        <w:t xml:space="preserve">to reap </w:t>
      </w:r>
      <w:r w:rsidR="006E6D78" w:rsidRPr="00EF66BB">
        <w:rPr>
          <w:rFonts w:ascii="Times New Roman" w:hAnsi="Times New Roman" w:cs="Times New Roman"/>
        </w:rPr>
        <w:t xml:space="preserve">the </w:t>
      </w:r>
      <w:r w:rsidRPr="00EF66BB">
        <w:rPr>
          <w:rFonts w:ascii="Times New Roman" w:hAnsi="Times New Roman" w:cs="Times New Roman"/>
        </w:rPr>
        <w:t>benefits from technology transfer activities) the partial mediation explains both a direct and an indirect relationship</w:t>
      </w:r>
      <w:r w:rsidR="004629DB" w:rsidRPr="00EF66BB">
        <w:rPr>
          <w:rFonts w:ascii="Times New Roman" w:hAnsi="Times New Roman" w:cs="Times New Roman"/>
        </w:rPr>
        <w:t>. This</w:t>
      </w:r>
      <w:r w:rsidRPr="00EF66BB">
        <w:rPr>
          <w:rFonts w:ascii="Times New Roman" w:hAnsi="Times New Roman" w:cs="Times New Roman"/>
        </w:rPr>
        <w:t xml:space="preserve"> mean</w:t>
      </w:r>
      <w:r w:rsidR="004629DB" w:rsidRPr="00EF66BB">
        <w:rPr>
          <w:rFonts w:ascii="Times New Roman" w:hAnsi="Times New Roman" w:cs="Times New Roman"/>
        </w:rPr>
        <w:t>s</w:t>
      </w:r>
      <w:r w:rsidRPr="00EF66BB">
        <w:rPr>
          <w:rFonts w:ascii="Times New Roman" w:hAnsi="Times New Roman" w:cs="Times New Roman"/>
        </w:rPr>
        <w:t xml:space="preserve"> that the mediator alone does</w:t>
      </w:r>
      <w:r w:rsidR="004629DB" w:rsidRPr="00EF66BB">
        <w:rPr>
          <w:rFonts w:ascii="Times New Roman" w:hAnsi="Times New Roman" w:cs="Times New Roman"/>
        </w:rPr>
        <w:t xml:space="preserve"> not </w:t>
      </w:r>
      <w:r w:rsidRPr="00EF66BB">
        <w:rPr>
          <w:rFonts w:ascii="Times New Roman" w:hAnsi="Times New Roman" w:cs="Times New Roman"/>
        </w:rPr>
        <w:t>influence the relationship between the independent and the dependent variable</w:t>
      </w:r>
      <w:r w:rsidR="004629DB" w:rsidRPr="00EF66BB">
        <w:rPr>
          <w:rFonts w:ascii="Times New Roman" w:hAnsi="Times New Roman" w:cs="Times New Roman"/>
        </w:rPr>
        <w:t>s</w:t>
      </w:r>
      <w:r w:rsidRPr="00EF66BB">
        <w:rPr>
          <w:rFonts w:ascii="Times New Roman" w:hAnsi="Times New Roman" w:cs="Times New Roman"/>
        </w:rPr>
        <w:t xml:space="preserve">, although it is </w:t>
      </w:r>
      <w:r w:rsidR="006E6D78" w:rsidRPr="00EF66BB">
        <w:rPr>
          <w:rFonts w:ascii="Times New Roman" w:hAnsi="Times New Roman" w:cs="Times New Roman"/>
        </w:rPr>
        <w:t>an important criterion</w:t>
      </w:r>
      <w:r w:rsidR="00A63D6E" w:rsidRPr="00EF66BB">
        <w:rPr>
          <w:rFonts w:ascii="Times New Roman" w:hAnsi="Times New Roman" w:cs="Times New Roman"/>
        </w:rPr>
        <w:t xml:space="preserve"> </w:t>
      </w:r>
      <w:r w:rsidRPr="00EF66BB">
        <w:rPr>
          <w:rFonts w:ascii="Times New Roman" w:hAnsi="Times New Roman" w:cs="Times New Roman"/>
        </w:rPr>
        <w:t xml:space="preserve">(e.g. technology transfer </w:t>
      </w:r>
      <w:r w:rsidR="0030131C" w:rsidRPr="00EF66BB">
        <w:rPr>
          <w:rFonts w:ascii="Times New Roman" w:hAnsi="Times New Roman" w:cs="Times New Roman"/>
        </w:rPr>
        <w:t xml:space="preserve">priority </w:t>
      </w:r>
      <w:r w:rsidRPr="00EF66BB">
        <w:rPr>
          <w:rFonts w:ascii="Times New Roman" w:hAnsi="Times New Roman" w:cs="Times New Roman"/>
        </w:rPr>
        <w:t>alone do</w:t>
      </w:r>
      <w:r w:rsidR="006E6D78" w:rsidRPr="00EF66BB">
        <w:rPr>
          <w:rFonts w:ascii="Times New Roman" w:hAnsi="Times New Roman" w:cs="Times New Roman"/>
        </w:rPr>
        <w:t>es</w:t>
      </w:r>
      <w:r w:rsidRPr="00EF66BB">
        <w:rPr>
          <w:rFonts w:ascii="Times New Roman" w:hAnsi="Times New Roman" w:cs="Times New Roman"/>
        </w:rPr>
        <w:t xml:space="preserve"> not facilitate the provision of incentives to produce financ</w:t>
      </w:r>
      <w:r w:rsidR="00B4456C">
        <w:rPr>
          <w:rFonts w:ascii="Times New Roman" w:hAnsi="Times New Roman" w:cs="Times New Roman"/>
        </w:rPr>
        <w:t>ial</w:t>
      </w:r>
      <w:r w:rsidRPr="00EF66BB">
        <w:rPr>
          <w:rFonts w:ascii="Times New Roman" w:hAnsi="Times New Roman" w:cs="Times New Roman"/>
        </w:rPr>
        <w:t xml:space="preserve"> returns from the technology transfer activities, although the presence of a strategy is a significant enabler). Fig</w:t>
      </w:r>
      <w:r w:rsidR="006E6D78" w:rsidRPr="00EF66BB">
        <w:rPr>
          <w:rFonts w:ascii="Times New Roman" w:hAnsi="Times New Roman" w:cs="Times New Roman"/>
        </w:rPr>
        <w:t>ure</w:t>
      </w:r>
      <w:r w:rsidRPr="00EF66BB">
        <w:rPr>
          <w:rFonts w:ascii="Times New Roman" w:hAnsi="Times New Roman" w:cs="Times New Roman"/>
        </w:rPr>
        <w:t xml:space="preserve"> 1 provides a schematic representation of the mediated (and the moderated) model.</w:t>
      </w:r>
    </w:p>
    <w:p w14:paraId="059356EB" w14:textId="77777777" w:rsidR="004629DB" w:rsidRPr="00EF66BB" w:rsidRDefault="004629DB" w:rsidP="00141231">
      <w:pPr>
        <w:autoSpaceDE w:val="0"/>
        <w:autoSpaceDN w:val="0"/>
        <w:adjustRightInd w:val="0"/>
        <w:spacing w:line="360" w:lineRule="auto"/>
        <w:rPr>
          <w:rFonts w:ascii="Times New Roman" w:hAnsi="Times New Roman" w:cs="Times New Roman"/>
        </w:rPr>
      </w:pPr>
    </w:p>
    <w:p w14:paraId="41A7F2B5" w14:textId="7E647D3E" w:rsidR="007B4FF2" w:rsidRDefault="008747C5"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Fig</w:t>
      </w:r>
      <w:r w:rsidR="006E6D78" w:rsidRPr="00EF66BB">
        <w:rPr>
          <w:rFonts w:ascii="Times New Roman" w:hAnsi="Times New Roman" w:cs="Times New Roman"/>
        </w:rPr>
        <w:t xml:space="preserve">ure </w:t>
      </w:r>
      <w:r w:rsidRPr="00EF66BB">
        <w:rPr>
          <w:rFonts w:ascii="Times New Roman" w:hAnsi="Times New Roman" w:cs="Times New Roman"/>
        </w:rPr>
        <w:t>1</w:t>
      </w:r>
      <w:r w:rsidR="006E6D78" w:rsidRPr="00EF66BB">
        <w:rPr>
          <w:rFonts w:ascii="Times New Roman" w:hAnsi="Times New Roman" w:cs="Times New Roman"/>
        </w:rPr>
        <w:t>:</w:t>
      </w:r>
      <w:r w:rsidRPr="00EF66BB">
        <w:rPr>
          <w:rFonts w:ascii="Times New Roman" w:hAnsi="Times New Roman" w:cs="Times New Roman"/>
        </w:rPr>
        <w:t xml:space="preserve"> Schematic Overview of Mediated and Moderated-Mediation Models</w:t>
      </w:r>
      <w:r w:rsidR="007B4FF2" w:rsidRPr="007B4FF2">
        <w:rPr>
          <w:rFonts w:ascii="Times New Roman" w:hAnsi="Times New Roman" w:cs="Times New Roman"/>
          <w:noProof/>
          <w:lang w:eastAsia="en-GB"/>
        </w:rPr>
        <mc:AlternateContent>
          <mc:Choice Requires="wps">
            <w:drawing>
              <wp:anchor distT="45720" distB="45720" distL="114300" distR="114300" simplePos="0" relativeHeight="251744256" behindDoc="0" locked="0" layoutInCell="1" allowOverlap="1" wp14:anchorId="5238705A" wp14:editId="3C9B348A">
                <wp:simplePos x="0" y="0"/>
                <wp:positionH relativeFrom="margin">
                  <wp:align>left</wp:align>
                </wp:positionH>
                <wp:positionV relativeFrom="paragraph">
                  <wp:posOffset>300355</wp:posOffset>
                </wp:positionV>
                <wp:extent cx="6038850" cy="3124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3124200"/>
                        </a:xfrm>
                        <a:prstGeom prst="rect">
                          <a:avLst/>
                        </a:prstGeom>
                        <a:solidFill>
                          <a:srgbClr val="FFFFFF"/>
                        </a:solidFill>
                        <a:ln w="9525">
                          <a:solidFill>
                            <a:srgbClr val="000000"/>
                          </a:solidFill>
                          <a:miter lim="800000"/>
                          <a:headEnd/>
                          <a:tailEnd/>
                        </a:ln>
                      </wps:spPr>
                      <wps:txbx>
                        <w:txbxContent>
                          <w:p w14:paraId="5179975D" w14:textId="262EE16E" w:rsidR="007B4FF2" w:rsidRDefault="007B4FF2">
                            <w:r w:rsidRPr="007B4FF2">
                              <w:rPr>
                                <w:noProof/>
                              </w:rPr>
                              <w:drawing>
                                <wp:inline distT="0" distB="0" distL="0" distR="0" wp14:anchorId="71FDBB91" wp14:editId="7B9A2E24">
                                  <wp:extent cx="5835389" cy="302323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7314" cy="302941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38705A" id="_x0000_t202" coordsize="21600,21600" o:spt="202" path="m,l,21600r21600,l21600,xe">
                <v:stroke joinstyle="miter"/>
                <v:path gradientshapeok="t" o:connecttype="rect"/>
              </v:shapetype>
              <v:shape id="Text Box 2" o:spid="_x0000_s1026" type="#_x0000_t202" style="position:absolute;margin-left:0;margin-top:23.65pt;width:475.5pt;height:246pt;z-index:251744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">
                <v:textbox>
                  <w:txbxContent>
                    <w:p w14:paraId="5179975D" w14:textId="262EE16E" w:rsidR="007B4FF2" w:rsidRDefault="007B4FF2">
                      <w:r w:rsidRPr="007B4FF2">
                        <w:drawing>
                          <wp:inline distT="0" distB="0" distL="0" distR="0" wp14:anchorId="71FDBB91" wp14:editId="7B9A2E24">
                            <wp:extent cx="5835389" cy="302323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7314" cy="3029413"/>
                                    </a:xfrm>
                                    <a:prstGeom prst="rect">
                                      <a:avLst/>
                                    </a:prstGeom>
                                    <a:noFill/>
                                    <a:ln>
                                      <a:noFill/>
                                    </a:ln>
                                  </pic:spPr>
                                </pic:pic>
                              </a:graphicData>
                            </a:graphic>
                          </wp:inline>
                        </w:drawing>
                      </w:r>
                    </w:p>
                  </w:txbxContent>
                </v:textbox>
                <w10:wrap type="square" anchorx="margin"/>
              </v:shape>
            </w:pict>
          </mc:Fallback>
        </mc:AlternateContent>
      </w:r>
    </w:p>
    <w:p w14:paraId="4513874B" w14:textId="00C4A0C0" w:rsidR="007B4FF2" w:rsidRDefault="007B4FF2" w:rsidP="00141231">
      <w:pPr>
        <w:autoSpaceDE w:val="0"/>
        <w:autoSpaceDN w:val="0"/>
        <w:adjustRightInd w:val="0"/>
        <w:spacing w:line="360" w:lineRule="auto"/>
        <w:rPr>
          <w:rFonts w:ascii="Times New Roman" w:hAnsi="Times New Roman" w:cs="Times New Roman"/>
        </w:rPr>
      </w:pPr>
    </w:p>
    <w:p w14:paraId="0707AD7B" w14:textId="7961E90C" w:rsidR="00AF28AD" w:rsidRDefault="001A3E4C" w:rsidP="00141231">
      <w:pPr>
        <w:autoSpaceDE w:val="0"/>
        <w:autoSpaceDN w:val="0"/>
        <w:adjustRightInd w:val="0"/>
        <w:spacing w:line="360" w:lineRule="auto"/>
        <w:rPr>
          <w:rFonts w:ascii="Times New Roman" w:hAnsi="Times New Roman" w:cs="Times New Roman"/>
        </w:rPr>
      </w:pPr>
      <w:r w:rsidRPr="00EF66BB">
        <w:rPr>
          <w:rFonts w:ascii="Times New Roman" w:eastAsia="TimesNewRoman" w:hAnsi="Times New Roman" w:cs="Times New Roman"/>
        </w:rPr>
        <w:lastRenderedPageBreak/>
        <w:t>Before testing the hypothesised relationships, we estimated a series of competing nested models against the baseline model using sequential chi-square tests. This provides</w:t>
      </w:r>
      <w:r w:rsidRPr="00EF66BB">
        <w:rPr>
          <w:rFonts w:ascii="Times New Roman" w:hAnsi="Times New Roman" w:cs="Times New Roman"/>
        </w:rPr>
        <w:t xml:space="preserve"> successive fit assessments </w:t>
      </w:r>
      <w:r w:rsidR="007A2BD1">
        <w:rPr>
          <w:rFonts w:ascii="Times New Roman" w:hAnsi="Times New Roman" w:cs="Times New Roman"/>
        </w:rPr>
        <w:fldChar w:fldCharType="begin" w:fldLock="1"/>
      </w:r>
      <w:r w:rsidR="007A2BD1">
        <w:rPr>
          <w:rFonts w:ascii="Times New Roman" w:hAnsi="Times New Roman" w:cs="Times New Roman"/>
        </w:rPr>
        <w:instrText>ADDIN CSL_CITATION {"citationItems":[{"id":"ITEM-1","itemData":{"author":[{"dropping-particle":"","family":"Steiger","given":"J.H.","non-dropping-particle":"","parse-names":false,"suffix":""},{"dropping-particle":"","family":"Shapiro","given":"A.","non-dropping-particle":"","parse-names":false,"suffix":""},{"dropping-particle":"","family":"Browne","given":"M.W.","non-dropping-particle":"","parse-names":false,"suffix":""}],"container-title":"Psychometrika","id":"ITEM-1","issue":"3","issued":{"date-parts":[["1985"]]},"page":"253-264","title":"On the Multivariate Asymptotic Distribution of Sequential Chi Square Statistics","type":"article-journal","volume":"50"},"uris":["http://www.mendeley.com/documents/?uuid=d67066bb-f600-4b50-93b3-2f9c4bccc3ab"]}],"mendeley":{"formattedCitation":"(Steiger et al., 1985)","plainTextFormattedCitation":"(Steiger et al., 1985)","previouslyFormattedCitation":"(Steiger et al., 1985)"},"properties":{"noteIndex":0},"schema":"https://github.com/citation-style-language/schema/raw/master/csl-citation.json"}</w:instrText>
      </w:r>
      <w:r w:rsidR="007A2BD1">
        <w:rPr>
          <w:rFonts w:ascii="Times New Roman" w:hAnsi="Times New Roman" w:cs="Times New Roman"/>
        </w:rPr>
        <w:fldChar w:fldCharType="separate"/>
      </w:r>
      <w:r w:rsidR="007A2BD1" w:rsidRPr="007A2BD1">
        <w:rPr>
          <w:rFonts w:ascii="Times New Roman" w:hAnsi="Times New Roman" w:cs="Times New Roman"/>
          <w:noProof/>
        </w:rPr>
        <w:t>(Steiger et al., 1985)</w:t>
      </w:r>
      <w:r w:rsidR="007A2BD1">
        <w:rPr>
          <w:rFonts w:ascii="Times New Roman" w:hAnsi="Times New Roman" w:cs="Times New Roman"/>
        </w:rPr>
        <w:fldChar w:fldCharType="end"/>
      </w:r>
      <w:r w:rsidRPr="00EF66BB">
        <w:rPr>
          <w:rFonts w:ascii="Times New Roman" w:hAnsi="Times New Roman" w:cs="Times New Roman"/>
        </w:rPr>
        <w:t xml:space="preserve"> of models that differ in the number of </w:t>
      </w:r>
      <w:r w:rsidR="00C93899">
        <w:rPr>
          <w:rFonts w:ascii="Times New Roman" w:hAnsi="Times New Roman" w:cs="Times New Roman"/>
        </w:rPr>
        <w:t>hypothesised</w:t>
      </w:r>
      <w:r w:rsidR="007E5C20" w:rsidRPr="00EF66BB">
        <w:rPr>
          <w:rFonts w:ascii="Times New Roman" w:hAnsi="Times New Roman" w:cs="Times New Roman"/>
        </w:rPr>
        <w:t xml:space="preserve"> paths</w:t>
      </w:r>
      <w:r w:rsidRPr="00EF66BB">
        <w:rPr>
          <w:rFonts w:ascii="Times New Roman" w:hAnsi="Times New Roman" w:cs="Times New Roman"/>
        </w:rPr>
        <w:t xml:space="preserve">. </w:t>
      </w:r>
      <w:r w:rsidR="00AF28AD">
        <w:rPr>
          <w:rFonts w:ascii="Times New Roman" w:hAnsi="Times New Roman" w:cs="Times New Roman"/>
        </w:rPr>
        <w:t>We compared four models: a null model (Model 1), a direct model (Model 2), a partial mediation model (Model 3) and the full mediation model (Model 4)</w:t>
      </w:r>
      <w:r w:rsidR="00AB203A">
        <w:rPr>
          <w:rFonts w:ascii="Times New Roman" w:hAnsi="Times New Roman" w:cs="Times New Roman"/>
        </w:rPr>
        <w:t>- see appendix 2 for further explanation and data table</w:t>
      </w:r>
      <w:r w:rsidR="00B4456C">
        <w:rPr>
          <w:rFonts w:ascii="Times New Roman" w:hAnsi="Times New Roman" w:cs="Times New Roman"/>
        </w:rPr>
        <w:t>s</w:t>
      </w:r>
      <w:r w:rsidR="00AB203A">
        <w:rPr>
          <w:rFonts w:ascii="Times New Roman" w:hAnsi="Times New Roman" w:cs="Times New Roman"/>
        </w:rPr>
        <w:t xml:space="preserve">. </w:t>
      </w:r>
    </w:p>
    <w:p w14:paraId="179FBFD8" w14:textId="0B8E3C4E" w:rsidR="001A3E4C" w:rsidRPr="00EF66BB" w:rsidRDefault="001A3E4C" w:rsidP="00141231">
      <w:pPr>
        <w:autoSpaceDE w:val="0"/>
        <w:autoSpaceDN w:val="0"/>
        <w:adjustRightInd w:val="0"/>
        <w:spacing w:line="360" w:lineRule="auto"/>
        <w:rPr>
          <w:rFonts w:ascii="Times New Roman" w:hAnsi="Times New Roman" w:cs="Times New Roman"/>
        </w:rPr>
      </w:pPr>
    </w:p>
    <w:p w14:paraId="69405005" w14:textId="17CEFD64" w:rsidR="006D4C29"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 xml:space="preserve">When comparing mediated versus the null and the direct </w:t>
      </w:r>
      <w:r w:rsidR="00FF1DDB">
        <w:rPr>
          <w:rFonts w:ascii="Times New Roman" w:hAnsi="Times New Roman" w:cs="Times New Roman"/>
        </w:rPr>
        <w:t>m</w:t>
      </w:r>
      <w:r w:rsidR="00FF1DDB" w:rsidRPr="00EF66BB">
        <w:rPr>
          <w:rFonts w:ascii="Times New Roman" w:hAnsi="Times New Roman" w:cs="Times New Roman"/>
        </w:rPr>
        <w:t>odels</w:t>
      </w:r>
      <w:r w:rsidRPr="00EF66BB">
        <w:rPr>
          <w:rFonts w:ascii="Times New Roman" w:hAnsi="Times New Roman" w:cs="Times New Roman"/>
        </w:rPr>
        <w:t xml:space="preserve">, evidence of mediation can be established when a fully or partially mediated model provides a significant improvement over other models </w:t>
      </w:r>
      <w:r w:rsidR="007A2BD1">
        <w:rPr>
          <w:rFonts w:ascii="Times New Roman" w:hAnsi="Times New Roman" w:cs="Times New Roman"/>
        </w:rPr>
        <w:fldChar w:fldCharType="begin" w:fldLock="1"/>
      </w:r>
      <w:r w:rsidR="007F03FF">
        <w:rPr>
          <w:rFonts w:ascii="Times New Roman" w:hAnsi="Times New Roman" w:cs="Times New Roman"/>
        </w:rPr>
        <w:instrText>ADDIN CSL_CITATION {"citationItems":[{"id":"ITEM-1","itemData":{"DOI":"10.1002/job.4030160304","ISBN":"1099-1379","ISSN":"10991379","abstract":"Four current controversies in structural equation modeling are reviewed: 1. the causal nature of structural equation models, 2. the assessment of global fit, 3. the use of specification searches to enhance model fit, and 4. the call for a return to simpler forms of analysis. Within each area the nature of the controversy is reviewed and suggestions are made to improve future practice.","author":[{"dropping-particle":"","family":"Kelloway","given":"E","non-dropping-particle":"","parse-names":false,"suffix":""}],"container-title":"Journal of Organizational Behavior","id":"ITEM-1","issue":"3","issued":{"date-parts":[["1995"]]},"page":"215-224","title":"Structural equation modelling in perspective","type":"article-journal","volume":"16"},"uris":["http://www.mendeley.com/documents/?uuid=d733b1fa-f365-41f9-b2b1-ce6866575d77"]}],"mendeley":{"formattedCitation":"(Kelloway, 1995)","plainTextFormattedCitation":"(Kelloway, 1995)","previouslyFormattedCitation":"(Kelloway, 1995)"},"properties":{"noteIndex":0},"schema":"https://github.com/citation-style-language/schema/raw/master/csl-citation.json"}</w:instrText>
      </w:r>
      <w:r w:rsidR="007A2BD1">
        <w:rPr>
          <w:rFonts w:ascii="Times New Roman" w:hAnsi="Times New Roman" w:cs="Times New Roman"/>
        </w:rPr>
        <w:fldChar w:fldCharType="separate"/>
      </w:r>
      <w:r w:rsidR="007A2BD1" w:rsidRPr="007A2BD1">
        <w:rPr>
          <w:rFonts w:ascii="Times New Roman" w:hAnsi="Times New Roman" w:cs="Times New Roman"/>
          <w:noProof/>
        </w:rPr>
        <w:t>(Kelloway, 1995)</w:t>
      </w:r>
      <w:r w:rsidR="007A2BD1">
        <w:rPr>
          <w:rFonts w:ascii="Times New Roman" w:hAnsi="Times New Roman" w:cs="Times New Roman"/>
        </w:rPr>
        <w:fldChar w:fldCharType="end"/>
      </w:r>
      <w:r w:rsidR="007A2BD1">
        <w:rPr>
          <w:rFonts w:ascii="Times New Roman" w:hAnsi="Times New Roman" w:cs="Times New Roman"/>
        </w:rPr>
        <w:t>.</w:t>
      </w:r>
      <w:r w:rsidRPr="00EF66BB">
        <w:rPr>
          <w:rFonts w:ascii="Times New Roman" w:hAnsi="Times New Roman" w:cs="Times New Roman"/>
        </w:rPr>
        <w:t xml:space="preserve"> Since the partial mediation alternative is nested within the full mediation </w:t>
      </w:r>
      <w:r w:rsidR="00FF1DDB">
        <w:rPr>
          <w:rFonts w:ascii="Times New Roman" w:hAnsi="Times New Roman" w:cs="Times New Roman"/>
        </w:rPr>
        <w:t>m</w:t>
      </w:r>
      <w:r w:rsidR="00FF1DDB" w:rsidRPr="00EF66BB">
        <w:rPr>
          <w:rFonts w:ascii="Times New Roman" w:hAnsi="Times New Roman" w:cs="Times New Roman"/>
        </w:rPr>
        <w:t>odel</w:t>
      </w:r>
      <w:r w:rsidRPr="00EF66BB">
        <w:rPr>
          <w:rFonts w:ascii="Times New Roman" w:hAnsi="Times New Roman" w:cs="Times New Roman"/>
        </w:rPr>
        <w:t xml:space="preserve">, the model comparison is based on the chi-square difference tests that builds on the goodness-of-fit indexes </w:t>
      </w:r>
      <w:r w:rsidR="007F03FF">
        <w:rPr>
          <w:rFonts w:ascii="Times New Roman" w:hAnsi="Times New Roman" w:cs="Times New Roman"/>
        </w:rPr>
        <w:fldChar w:fldCharType="begin" w:fldLock="1"/>
      </w:r>
      <w:r w:rsidR="007F03FF">
        <w:rPr>
          <w:rFonts w:ascii="Times New Roman" w:hAnsi="Times New Roman" w:cs="Times New Roman"/>
        </w:rPr>
        <w:instrText>ADDIN CSL_CITATION {"citationItems":[{"id":"ITEM-1","itemData":{"author":[{"dropping-particle":"","family":"Kline","given":"R. B","non-dropping-particle":"","parse-names":false,"suffix":""}],"id":"ITEM-1","issued":{"date-parts":[["2016"]]},"publisher":"The Guildford Press","publisher-place":"London","title":"Principles and Practice of Structural Equation Modelling","type":"book"},"uris":["http://www.mendeley.com/documents/?uuid=88b44e86-d523-4ac4-a1d7-ac3c858ca017"]}],"mendeley":{"formattedCitation":"(Kline, 2016)","plainTextFormattedCitation":"(Kline, 2016)","previouslyFormattedCitation":"(Kline, 2016)"},"properties":{"noteIndex":0},"schema":"https://github.com/citation-style-language/schema/raw/master/csl-citation.json"}</w:instrText>
      </w:r>
      <w:r w:rsidR="007F03FF">
        <w:rPr>
          <w:rFonts w:ascii="Times New Roman" w:hAnsi="Times New Roman" w:cs="Times New Roman"/>
        </w:rPr>
        <w:fldChar w:fldCharType="separate"/>
      </w:r>
      <w:r w:rsidR="007F03FF" w:rsidRPr="007F03FF">
        <w:rPr>
          <w:rFonts w:ascii="Times New Roman" w:hAnsi="Times New Roman" w:cs="Times New Roman"/>
          <w:noProof/>
        </w:rPr>
        <w:t>(Kline, 2016)</w:t>
      </w:r>
      <w:r w:rsidR="007F03FF">
        <w:rPr>
          <w:rFonts w:ascii="Times New Roman" w:hAnsi="Times New Roman" w:cs="Times New Roman"/>
        </w:rPr>
        <w:fldChar w:fldCharType="end"/>
      </w:r>
      <w:r w:rsidRPr="00EF66BB">
        <w:rPr>
          <w:rFonts w:ascii="Times New Roman" w:hAnsi="Times New Roman" w:cs="Times New Roman"/>
        </w:rPr>
        <w:t>. The goodness-of-fit statistics and the Chi-square difference test results are presented in Table</w:t>
      </w:r>
      <w:r w:rsidR="00B4456C">
        <w:rPr>
          <w:rFonts w:ascii="Times New Roman" w:hAnsi="Times New Roman" w:cs="Times New Roman"/>
        </w:rPr>
        <w:t xml:space="preserve"> B</w:t>
      </w:r>
      <w:r w:rsidR="00AB203A">
        <w:rPr>
          <w:rFonts w:ascii="Times New Roman" w:hAnsi="Times New Roman" w:cs="Times New Roman"/>
        </w:rPr>
        <w:t xml:space="preserve"> (see </w:t>
      </w:r>
      <w:r w:rsidR="00B4456C">
        <w:rPr>
          <w:rFonts w:ascii="Times New Roman" w:hAnsi="Times New Roman" w:cs="Times New Roman"/>
        </w:rPr>
        <w:t>A</w:t>
      </w:r>
      <w:r w:rsidR="00AB203A">
        <w:rPr>
          <w:rFonts w:ascii="Times New Roman" w:hAnsi="Times New Roman" w:cs="Times New Roman"/>
        </w:rPr>
        <w:t>ppendix 2)</w:t>
      </w:r>
      <w:r w:rsidRPr="00EF66BB">
        <w:rPr>
          <w:rFonts w:ascii="Times New Roman" w:hAnsi="Times New Roman" w:cs="Times New Roman"/>
        </w:rPr>
        <w:t>.  Both the full and partial mediation models (</w:t>
      </w:r>
      <w:r w:rsidR="00FF2D2E" w:rsidRPr="00EF66BB">
        <w:rPr>
          <w:rFonts w:ascii="Times New Roman" w:hAnsi="Times New Roman" w:cs="Times New Roman"/>
        </w:rPr>
        <w:t>M</w:t>
      </w:r>
      <w:r w:rsidRPr="00EF66BB">
        <w:rPr>
          <w:rFonts w:ascii="Times New Roman" w:hAnsi="Times New Roman" w:cs="Times New Roman"/>
        </w:rPr>
        <w:t xml:space="preserve">odels 3 and 4) were found to have a good model fit with all fit indices meeting the criteria supporting the </w:t>
      </w:r>
      <w:r w:rsidR="00C93899">
        <w:rPr>
          <w:rFonts w:ascii="Times New Roman" w:hAnsi="Times New Roman" w:cs="Times New Roman"/>
        </w:rPr>
        <w:t>hypothesised</w:t>
      </w:r>
      <w:r w:rsidRPr="00EF66BB">
        <w:rPr>
          <w:rFonts w:ascii="Times New Roman" w:hAnsi="Times New Roman" w:cs="Times New Roman"/>
        </w:rPr>
        <w:t xml:space="preserve"> mediated relationship between the two technology transfer enablers (TTO support and provision of incentives) and </w:t>
      </w:r>
      <w:r w:rsidR="000C0557" w:rsidRPr="00EF66BB">
        <w:rPr>
          <w:rFonts w:ascii="Times New Roman" w:hAnsi="Times New Roman" w:cs="Times New Roman"/>
        </w:rPr>
        <w:t>TT</w:t>
      </w:r>
      <w:r w:rsidRPr="00EF66BB">
        <w:rPr>
          <w:rFonts w:ascii="Times New Roman" w:hAnsi="Times New Roman" w:cs="Times New Roman"/>
        </w:rPr>
        <w:t xml:space="preserve"> effectiveness, our output variable. </w:t>
      </w:r>
    </w:p>
    <w:p w14:paraId="7ADB9428" w14:textId="77777777" w:rsidR="00C231BC" w:rsidRPr="00EF66BB" w:rsidRDefault="00C231BC" w:rsidP="00141231">
      <w:pPr>
        <w:autoSpaceDE w:val="0"/>
        <w:autoSpaceDN w:val="0"/>
        <w:adjustRightInd w:val="0"/>
        <w:spacing w:line="360" w:lineRule="auto"/>
        <w:rPr>
          <w:rFonts w:ascii="Times New Roman" w:hAnsi="Times New Roman" w:cs="Times New Roman"/>
        </w:rPr>
      </w:pPr>
    </w:p>
    <w:p w14:paraId="48E11BF7" w14:textId="154106B3" w:rsidR="001A3E4C" w:rsidRDefault="001A3E4C" w:rsidP="00141231">
      <w:pPr>
        <w:autoSpaceDE w:val="0"/>
        <w:autoSpaceDN w:val="0"/>
        <w:adjustRightInd w:val="0"/>
        <w:spacing w:line="360" w:lineRule="auto"/>
        <w:rPr>
          <w:rFonts w:ascii="Times New Roman" w:eastAsia="TimesNewRoman" w:hAnsi="Times New Roman" w:cs="Times New Roman"/>
        </w:rPr>
      </w:pPr>
      <w:r w:rsidRPr="00EF66BB">
        <w:rPr>
          <w:rFonts w:ascii="Times New Roman" w:hAnsi="Times New Roman" w:cs="Times New Roman"/>
        </w:rPr>
        <w:t>In the partial mediation model (</w:t>
      </w:r>
      <w:r w:rsidR="00FF2D2E" w:rsidRPr="00EF66BB">
        <w:rPr>
          <w:rFonts w:ascii="Times New Roman" w:hAnsi="Times New Roman" w:cs="Times New Roman"/>
        </w:rPr>
        <w:t>M</w:t>
      </w:r>
      <w:r w:rsidRPr="00EF66BB">
        <w:rPr>
          <w:rFonts w:ascii="Times New Roman" w:hAnsi="Times New Roman" w:cs="Times New Roman"/>
        </w:rPr>
        <w:t>odel 3)</w:t>
      </w:r>
      <w:r w:rsidR="006E6D78" w:rsidRPr="00EF66BB">
        <w:rPr>
          <w:rFonts w:ascii="Times New Roman" w:hAnsi="Times New Roman" w:cs="Times New Roman"/>
        </w:rPr>
        <w:t>,</w:t>
      </w:r>
      <w:r w:rsidRPr="00EF66BB">
        <w:rPr>
          <w:rFonts w:ascii="Times New Roman" w:hAnsi="Times New Roman" w:cs="Times New Roman"/>
        </w:rPr>
        <w:t xml:space="preserve"> the two direct relationships between the independent and dependent variables were not statistically significant. To further examine whether technology transfer </w:t>
      </w:r>
      <w:r w:rsidR="0030131C" w:rsidRPr="00EF66BB">
        <w:rPr>
          <w:rFonts w:ascii="Times New Roman" w:hAnsi="Times New Roman" w:cs="Times New Roman"/>
        </w:rPr>
        <w:t xml:space="preserve">priority </w:t>
      </w:r>
      <w:r w:rsidRPr="00EF66BB">
        <w:rPr>
          <w:rFonts w:ascii="Times New Roman" w:hAnsi="Times New Roman" w:cs="Times New Roman"/>
        </w:rPr>
        <w:t>fully or partially mediated the relationship between the two exogenous variables and the outcome variable, we tested two alternative models that excluded direct paths one at a time from the independent variable to the outcome variables</w:t>
      </w:r>
      <w:r w:rsidR="005B213A" w:rsidRPr="00EF66BB">
        <w:rPr>
          <w:rFonts w:ascii="Times New Roman" w:hAnsi="Times New Roman" w:cs="Times New Roman"/>
        </w:rPr>
        <w:t>.</w:t>
      </w:r>
      <w:r w:rsidRPr="00EF66BB">
        <w:rPr>
          <w:rStyle w:val="FootnoteReference"/>
          <w:rFonts w:ascii="Times New Roman" w:hAnsi="Times New Roman" w:cs="Times New Roman"/>
        </w:rPr>
        <w:footnoteReference w:id="6"/>
      </w:r>
      <w:r w:rsidRPr="00EF66BB">
        <w:rPr>
          <w:rFonts w:ascii="Times New Roman" w:hAnsi="Times New Roman" w:cs="Times New Roman"/>
        </w:rPr>
        <w:t xml:space="preserve"> In Model 5, the conditions for full mediation for H1 and partial mediation for H2 are assumed by constraining the direct path between TTO support and </w:t>
      </w:r>
      <w:r w:rsidR="000C0557" w:rsidRPr="00EF66BB">
        <w:rPr>
          <w:rFonts w:ascii="Times New Roman" w:hAnsi="Times New Roman" w:cs="Times New Roman"/>
        </w:rPr>
        <w:t>TT</w:t>
      </w:r>
      <w:r w:rsidRPr="00EF66BB">
        <w:rPr>
          <w:rFonts w:ascii="Times New Roman" w:hAnsi="Times New Roman" w:cs="Times New Roman"/>
        </w:rPr>
        <w:t xml:space="preserve"> effectiveness to zero. In Model 6, the conditions for partial mediation for H1 and full mediation for H2 are assumed whereby the path from provision of incentives to </w:t>
      </w:r>
      <w:r w:rsidR="000C0557" w:rsidRPr="00EF66BB">
        <w:rPr>
          <w:rFonts w:ascii="Times New Roman" w:hAnsi="Times New Roman" w:cs="Times New Roman"/>
        </w:rPr>
        <w:t>TT</w:t>
      </w:r>
      <w:r w:rsidRPr="00EF66BB">
        <w:rPr>
          <w:rFonts w:ascii="Times New Roman" w:hAnsi="Times New Roman" w:cs="Times New Roman"/>
        </w:rPr>
        <w:t xml:space="preserve"> effectiveness was forced to take the value of zero. In both </w:t>
      </w:r>
      <w:r w:rsidR="00FF2D2E" w:rsidRPr="00EF66BB">
        <w:rPr>
          <w:rFonts w:ascii="Times New Roman" w:hAnsi="Times New Roman" w:cs="Times New Roman"/>
        </w:rPr>
        <w:t>M</w:t>
      </w:r>
      <w:r w:rsidRPr="00EF66BB">
        <w:rPr>
          <w:rFonts w:ascii="Times New Roman" w:hAnsi="Times New Roman" w:cs="Times New Roman"/>
        </w:rPr>
        <w:t>odels 5 and 6</w:t>
      </w:r>
      <w:r w:rsidR="00FF2D2E" w:rsidRPr="00EF66BB">
        <w:rPr>
          <w:rFonts w:ascii="Times New Roman" w:hAnsi="Times New Roman" w:cs="Times New Roman"/>
        </w:rPr>
        <w:t>,</w:t>
      </w:r>
      <w:r w:rsidRPr="00EF66BB">
        <w:rPr>
          <w:rFonts w:ascii="Times New Roman" w:hAnsi="Times New Roman" w:cs="Times New Roman"/>
        </w:rPr>
        <w:t xml:space="preserve"> an</w:t>
      </w:r>
      <w:r w:rsidRPr="00EF66BB">
        <w:rPr>
          <w:rFonts w:ascii="Times New Roman" w:eastAsia="TimesNewRoman" w:hAnsi="Times New Roman" w:cs="Times New Roman"/>
        </w:rPr>
        <w:t xml:space="preserve"> increase in </w:t>
      </w:r>
      <w:r w:rsidR="00FF2D2E" w:rsidRPr="00EF66BB">
        <w:rPr>
          <w:rFonts w:ascii="Times New Roman" w:eastAsia="TimesNewRoman" w:hAnsi="Times New Roman" w:cs="Times New Roman"/>
        </w:rPr>
        <w:t>C</w:t>
      </w:r>
      <w:r w:rsidRPr="00EF66BB">
        <w:rPr>
          <w:rFonts w:ascii="Times New Roman" w:eastAsia="TimesNewRoman" w:hAnsi="Times New Roman" w:cs="Times New Roman"/>
        </w:rPr>
        <w:t xml:space="preserve">hi-square was observed, which suggests that the direct paths were not an important driver of </w:t>
      </w:r>
      <w:r w:rsidR="000C0557" w:rsidRPr="00EF66BB">
        <w:rPr>
          <w:rFonts w:ascii="Times New Roman" w:eastAsia="TimesNewRoman" w:hAnsi="Times New Roman" w:cs="Times New Roman"/>
        </w:rPr>
        <w:t>TT</w:t>
      </w:r>
      <w:r w:rsidRPr="00EF66BB">
        <w:rPr>
          <w:rFonts w:ascii="Times New Roman" w:eastAsia="TimesNewRoman" w:hAnsi="Times New Roman" w:cs="Times New Roman"/>
        </w:rPr>
        <w:t xml:space="preserve"> effectiveness in </w:t>
      </w:r>
      <w:r w:rsidR="00FF2D2E" w:rsidRPr="00EF66BB">
        <w:rPr>
          <w:rFonts w:ascii="Times New Roman" w:eastAsia="TimesNewRoman" w:hAnsi="Times New Roman" w:cs="Times New Roman"/>
        </w:rPr>
        <w:t xml:space="preserve">the </w:t>
      </w:r>
      <w:r w:rsidRPr="00EF66BB">
        <w:rPr>
          <w:rFonts w:ascii="Times New Roman" w:eastAsia="TimesNewRoman" w:hAnsi="Times New Roman" w:cs="Times New Roman"/>
        </w:rPr>
        <w:t xml:space="preserve">absence of a </w:t>
      </w:r>
      <w:r w:rsidR="000C0557" w:rsidRPr="00EF66BB">
        <w:rPr>
          <w:rFonts w:ascii="Times New Roman" w:eastAsia="TimesNewRoman" w:hAnsi="Times New Roman" w:cs="Times New Roman"/>
        </w:rPr>
        <w:t>T</w:t>
      </w:r>
      <w:r w:rsidR="00F97854">
        <w:rPr>
          <w:rFonts w:ascii="Times New Roman" w:eastAsia="TimesNewRoman" w:hAnsi="Times New Roman" w:cs="Times New Roman"/>
        </w:rPr>
        <w:t xml:space="preserve">echnology </w:t>
      </w:r>
      <w:r w:rsidR="00F97854">
        <w:rPr>
          <w:rFonts w:ascii="Times New Roman" w:eastAsia="TimesNewRoman" w:hAnsi="Times New Roman" w:cs="Times New Roman"/>
        </w:rPr>
        <w:lastRenderedPageBreak/>
        <w:t>Transfer</w:t>
      </w:r>
      <w:r w:rsidRPr="00EF66BB">
        <w:rPr>
          <w:rFonts w:ascii="Times New Roman" w:eastAsia="TimesNewRoman" w:hAnsi="Times New Roman" w:cs="Times New Roman"/>
        </w:rPr>
        <w:t xml:space="preserve"> </w:t>
      </w:r>
      <w:r w:rsidR="00F97854">
        <w:rPr>
          <w:rFonts w:ascii="Times New Roman" w:eastAsia="TimesNewRoman" w:hAnsi="Times New Roman" w:cs="Times New Roman"/>
        </w:rPr>
        <w:t>S</w:t>
      </w:r>
      <w:r w:rsidRPr="00EF66BB">
        <w:rPr>
          <w:rFonts w:ascii="Times New Roman" w:eastAsia="TimesNewRoman" w:hAnsi="Times New Roman" w:cs="Times New Roman"/>
        </w:rPr>
        <w:t>trateg</w:t>
      </w:r>
      <w:r w:rsidR="00F97854">
        <w:rPr>
          <w:rFonts w:ascii="Times New Roman" w:eastAsia="TimesNewRoman" w:hAnsi="Times New Roman" w:cs="Times New Roman"/>
        </w:rPr>
        <w:t>ic Priority</w:t>
      </w:r>
      <w:r w:rsidRPr="00EF66BB">
        <w:rPr>
          <w:rFonts w:ascii="Times New Roman" w:eastAsia="TimesNewRoman" w:hAnsi="Times New Roman" w:cs="Times New Roman"/>
        </w:rPr>
        <w:t xml:space="preserve"> (mediator). The mediation proposed in </w:t>
      </w:r>
      <w:r w:rsidR="00FF2D2E" w:rsidRPr="00EF66BB">
        <w:rPr>
          <w:rFonts w:ascii="Times New Roman" w:eastAsia="TimesNewRoman" w:hAnsi="Times New Roman" w:cs="Times New Roman"/>
        </w:rPr>
        <w:t>M</w:t>
      </w:r>
      <w:r w:rsidRPr="00EF66BB">
        <w:rPr>
          <w:rFonts w:ascii="Times New Roman" w:eastAsia="TimesNewRoman" w:hAnsi="Times New Roman" w:cs="Times New Roman"/>
        </w:rPr>
        <w:t xml:space="preserve">odel 5 </w:t>
      </w:r>
      <w:r w:rsidRPr="00EF66BB">
        <w:rPr>
          <w:rFonts w:ascii="Times New Roman" w:hAnsi="Times New Roman" w:cs="Times New Roman"/>
        </w:rPr>
        <w:t>provided a good fit to the data (</w:t>
      </w:r>
      <w:r w:rsidRPr="00EF66BB">
        <w:rPr>
          <w:rFonts w:ascii="Times New Roman" w:eastAsia="TimesNewRoman" w:hAnsi="Times New Roman" w:cs="Times New Roman"/>
        </w:rPr>
        <w:t>χ</w:t>
      </w:r>
      <w:r w:rsidRPr="00EF66BB">
        <w:rPr>
          <w:rFonts w:ascii="Times New Roman" w:eastAsia="TimesNewRoman" w:hAnsi="Times New Roman" w:cs="Times New Roman"/>
          <w:vertAlign w:val="superscript"/>
        </w:rPr>
        <w:t>2</w:t>
      </w:r>
      <w:r w:rsidRPr="00EF66BB">
        <w:rPr>
          <w:rFonts w:ascii="Times New Roman" w:hAnsi="Times New Roman" w:cs="Times New Roman"/>
        </w:rPr>
        <w:t xml:space="preserve">=35.28, </w:t>
      </w:r>
      <w:r w:rsidRPr="00EF66BB">
        <w:rPr>
          <w:rFonts w:ascii="Times New Roman" w:eastAsia="TimesNewRoman" w:hAnsi="Times New Roman" w:cs="Times New Roman"/>
        </w:rPr>
        <w:t>χ</w:t>
      </w:r>
      <w:r w:rsidRPr="00EF66BB">
        <w:rPr>
          <w:rFonts w:ascii="Times New Roman" w:eastAsia="TimesNewRoman" w:hAnsi="Times New Roman" w:cs="Times New Roman"/>
          <w:vertAlign w:val="superscript"/>
        </w:rPr>
        <w:t>2</w:t>
      </w:r>
      <w:r w:rsidRPr="00EF66BB">
        <w:rPr>
          <w:rFonts w:ascii="Times New Roman" w:eastAsia="TimesNewRoman" w:hAnsi="Times New Roman" w:cs="Times New Roman"/>
        </w:rPr>
        <w:t>/</w:t>
      </w:r>
      <w:proofErr w:type="spellStart"/>
      <w:r w:rsidRPr="00EF66BB">
        <w:rPr>
          <w:rFonts w:ascii="Times New Roman" w:hAnsi="Times New Roman" w:cs="Times New Roman"/>
        </w:rPr>
        <w:t>df</w:t>
      </w:r>
      <w:proofErr w:type="spellEnd"/>
      <w:r w:rsidRPr="00EF66BB">
        <w:rPr>
          <w:rFonts w:ascii="Times New Roman" w:hAnsi="Times New Roman" w:cs="Times New Roman"/>
        </w:rPr>
        <w:t xml:space="preserve">=1.176, CFI=0.976; IFI =0.978, TLI=0.965, RMSEA=0.038). </w:t>
      </w:r>
      <w:r w:rsidRPr="00EF66BB">
        <w:rPr>
          <w:rFonts w:ascii="Times New Roman" w:eastAsia="TimesNewRoman" w:hAnsi="Times New Roman" w:cs="Times New Roman"/>
        </w:rPr>
        <w:t xml:space="preserve">The </w:t>
      </w:r>
      <w:r w:rsidR="00FF2D2E" w:rsidRPr="00EF66BB">
        <w:rPr>
          <w:rFonts w:ascii="Times New Roman" w:eastAsia="TimesNewRoman" w:hAnsi="Times New Roman" w:cs="Times New Roman"/>
        </w:rPr>
        <w:t>C</w:t>
      </w:r>
      <w:r w:rsidRPr="00EF66BB">
        <w:rPr>
          <w:rFonts w:ascii="Times New Roman" w:eastAsia="TimesNewRoman" w:hAnsi="Times New Roman" w:cs="Times New Roman"/>
        </w:rPr>
        <w:t xml:space="preserve">hi-square difference test for </w:t>
      </w:r>
      <w:r w:rsidR="00FF2D2E" w:rsidRPr="00EF66BB">
        <w:rPr>
          <w:rFonts w:ascii="Times New Roman" w:eastAsia="TimesNewRoman" w:hAnsi="Times New Roman" w:cs="Times New Roman"/>
        </w:rPr>
        <w:t>M</w:t>
      </w:r>
      <w:r w:rsidRPr="00EF66BB">
        <w:rPr>
          <w:rFonts w:ascii="Times New Roman" w:eastAsia="TimesNewRoman" w:hAnsi="Times New Roman" w:cs="Times New Roman"/>
        </w:rPr>
        <w:t xml:space="preserve">odel 5 is also significant at 5% significance level, indicating a full mediation between TTO support and </w:t>
      </w:r>
      <w:r w:rsidR="000C0557" w:rsidRPr="00EF66BB">
        <w:rPr>
          <w:rFonts w:ascii="Times New Roman" w:eastAsia="TimesNewRoman" w:hAnsi="Times New Roman" w:cs="Times New Roman"/>
        </w:rPr>
        <w:t>TT</w:t>
      </w:r>
      <w:r w:rsidRPr="00EF66BB">
        <w:rPr>
          <w:rFonts w:ascii="Times New Roman" w:eastAsia="TimesNewRoman" w:hAnsi="Times New Roman" w:cs="Times New Roman"/>
        </w:rPr>
        <w:t xml:space="preserve"> effectiveness. </w:t>
      </w:r>
      <w:r w:rsidRPr="00EF66BB">
        <w:rPr>
          <w:rFonts w:ascii="Times New Roman" w:hAnsi="Times New Roman" w:cs="Times New Roman"/>
        </w:rPr>
        <w:t xml:space="preserve">The full mediation for both H1 and H2 proposed in </w:t>
      </w:r>
      <w:r w:rsidR="00FF2D2E" w:rsidRPr="00EF66BB">
        <w:rPr>
          <w:rFonts w:ascii="Times New Roman" w:hAnsi="Times New Roman" w:cs="Times New Roman"/>
        </w:rPr>
        <w:t>M</w:t>
      </w:r>
      <w:r w:rsidRPr="00EF66BB">
        <w:rPr>
          <w:rFonts w:ascii="Times New Roman" w:hAnsi="Times New Roman" w:cs="Times New Roman"/>
        </w:rPr>
        <w:t>odel 4 also provided a good fit to the data (</w:t>
      </w:r>
      <w:r w:rsidRPr="00EF66BB">
        <w:rPr>
          <w:rFonts w:ascii="Times New Roman" w:eastAsia="TimesNewRoman" w:hAnsi="Times New Roman" w:cs="Times New Roman"/>
        </w:rPr>
        <w:t>χ</w:t>
      </w:r>
      <w:r w:rsidRPr="00EF66BB">
        <w:rPr>
          <w:rFonts w:ascii="Times New Roman" w:eastAsia="TimesNewRoman" w:hAnsi="Times New Roman" w:cs="Times New Roman"/>
          <w:vertAlign w:val="superscript"/>
        </w:rPr>
        <w:t>2</w:t>
      </w:r>
      <w:r w:rsidRPr="00EF66BB">
        <w:rPr>
          <w:rFonts w:ascii="Times New Roman" w:hAnsi="Times New Roman" w:cs="Times New Roman"/>
        </w:rPr>
        <w:t xml:space="preserve">=36.37, </w:t>
      </w:r>
      <w:r w:rsidRPr="00EF66BB">
        <w:rPr>
          <w:rFonts w:ascii="Times New Roman" w:eastAsia="TimesNewRoman" w:hAnsi="Times New Roman" w:cs="Times New Roman"/>
        </w:rPr>
        <w:t>χ</w:t>
      </w:r>
      <w:r w:rsidRPr="00EF66BB">
        <w:rPr>
          <w:rFonts w:ascii="Times New Roman" w:eastAsia="TimesNewRoman" w:hAnsi="Times New Roman" w:cs="Times New Roman"/>
          <w:vertAlign w:val="superscript"/>
        </w:rPr>
        <w:t>2</w:t>
      </w:r>
      <w:r w:rsidRPr="00EF66BB">
        <w:rPr>
          <w:rFonts w:ascii="Times New Roman" w:eastAsia="TimesNewRoman" w:hAnsi="Times New Roman" w:cs="Times New Roman"/>
        </w:rPr>
        <w:t>/</w:t>
      </w:r>
      <w:proofErr w:type="spellStart"/>
      <w:r w:rsidRPr="00EF66BB">
        <w:rPr>
          <w:rFonts w:ascii="Times New Roman" w:hAnsi="Times New Roman" w:cs="Times New Roman"/>
        </w:rPr>
        <w:t>df</w:t>
      </w:r>
      <w:proofErr w:type="spellEnd"/>
      <w:r w:rsidRPr="00EF66BB">
        <w:rPr>
          <w:rFonts w:ascii="Times New Roman" w:hAnsi="Times New Roman" w:cs="Times New Roman"/>
        </w:rPr>
        <w:t xml:space="preserve">=1.173, CFI=0.977; IFI =0.978, TLI=0.965, RMSEA=0.038). As the model fit statistics are very similar in both </w:t>
      </w:r>
      <w:r w:rsidR="00FF2D2E" w:rsidRPr="00EF66BB">
        <w:rPr>
          <w:rFonts w:ascii="Times New Roman" w:hAnsi="Times New Roman" w:cs="Times New Roman"/>
        </w:rPr>
        <w:t>M</w:t>
      </w:r>
      <w:r w:rsidRPr="00EF66BB">
        <w:rPr>
          <w:rFonts w:ascii="Times New Roman" w:hAnsi="Times New Roman" w:cs="Times New Roman"/>
        </w:rPr>
        <w:t xml:space="preserve">odels 4 and 5 we compared estimates from both models </w:t>
      </w:r>
      <w:r w:rsidRPr="00EF66BB">
        <w:rPr>
          <w:rFonts w:ascii="Times New Roman" w:eastAsia="TimesNewRoman" w:hAnsi="Times New Roman" w:cs="Times New Roman"/>
        </w:rPr>
        <w:t>in our hypothesis testing</w:t>
      </w:r>
      <w:r w:rsidR="00FF2D2E" w:rsidRPr="00EF66BB">
        <w:rPr>
          <w:rFonts w:ascii="Times New Roman" w:eastAsia="TimesNewRoman" w:hAnsi="Times New Roman" w:cs="Times New Roman"/>
        </w:rPr>
        <w:t>.</w:t>
      </w:r>
      <w:r w:rsidRPr="00EF66BB">
        <w:rPr>
          <w:rFonts w:ascii="Times New Roman" w:eastAsia="TimesNewRoman" w:hAnsi="Times New Roman" w:cs="Times New Roman"/>
        </w:rPr>
        <w:t xml:space="preserve">  </w:t>
      </w:r>
    </w:p>
    <w:p w14:paraId="7AAABB65" w14:textId="45FB8965" w:rsidR="000E3CB6" w:rsidRDefault="000E3CB6" w:rsidP="00141231">
      <w:pPr>
        <w:autoSpaceDE w:val="0"/>
        <w:autoSpaceDN w:val="0"/>
        <w:adjustRightInd w:val="0"/>
        <w:spacing w:line="360" w:lineRule="auto"/>
        <w:rPr>
          <w:rFonts w:ascii="Times New Roman" w:eastAsia="TimesNewRoman" w:hAnsi="Times New Roman" w:cs="Times New Roman"/>
        </w:rPr>
      </w:pPr>
    </w:p>
    <w:p w14:paraId="4529569D" w14:textId="09EDA4BB" w:rsidR="001A3E4C" w:rsidRDefault="001A3E4C" w:rsidP="00141231">
      <w:pPr>
        <w:autoSpaceDE w:val="0"/>
        <w:autoSpaceDN w:val="0"/>
        <w:adjustRightInd w:val="0"/>
        <w:spacing w:line="360" w:lineRule="auto"/>
        <w:outlineLvl w:val="0"/>
        <w:rPr>
          <w:rFonts w:ascii="Times New Roman" w:eastAsia="TimesNewRoman" w:hAnsi="Times New Roman" w:cs="Times New Roman"/>
        </w:rPr>
      </w:pPr>
      <w:r w:rsidRPr="00EF66BB">
        <w:rPr>
          <w:rFonts w:ascii="Times New Roman" w:eastAsia="TimesNewRoman" w:hAnsi="Times New Roman" w:cs="Times New Roman"/>
        </w:rPr>
        <w:t xml:space="preserve">Table </w:t>
      </w:r>
      <w:r w:rsidR="00B4456C">
        <w:rPr>
          <w:rFonts w:ascii="Times New Roman" w:eastAsia="TimesNewRoman" w:hAnsi="Times New Roman" w:cs="Times New Roman"/>
        </w:rPr>
        <w:t>2</w:t>
      </w:r>
      <w:r w:rsidRPr="00EF66BB">
        <w:rPr>
          <w:rFonts w:ascii="Times New Roman" w:eastAsia="TimesNewRoman" w:hAnsi="Times New Roman" w:cs="Times New Roman"/>
        </w:rPr>
        <w:t xml:space="preserve">: Coefficients and Bootstrap </w:t>
      </w:r>
      <w:r w:rsidR="003A343A" w:rsidRPr="00EF66BB">
        <w:rPr>
          <w:rFonts w:ascii="Times New Roman" w:eastAsia="TimesNewRoman" w:hAnsi="Times New Roman" w:cs="Times New Roman"/>
        </w:rPr>
        <w:t>C</w:t>
      </w:r>
      <w:r w:rsidR="0056327E">
        <w:rPr>
          <w:rFonts w:ascii="Times New Roman" w:eastAsia="TimesNewRoman" w:hAnsi="Times New Roman" w:cs="Times New Roman"/>
        </w:rPr>
        <w:t>I</w:t>
      </w:r>
      <w:r w:rsidR="003A343A" w:rsidRPr="00EF66BB">
        <w:rPr>
          <w:rFonts w:ascii="Times New Roman" w:eastAsia="TimesNewRoman" w:hAnsi="Times New Roman" w:cs="Times New Roman"/>
        </w:rPr>
        <w:t>s</w:t>
      </w:r>
    </w:p>
    <w:tbl>
      <w:tblPr>
        <w:tblStyle w:val="TableGrid"/>
        <w:tblW w:w="9493" w:type="dxa"/>
        <w:tblBorders>
          <w:insideH w:val="none" w:sz="0" w:space="0" w:color="auto"/>
        </w:tblBorders>
        <w:tblLook w:val="04A0" w:firstRow="1" w:lastRow="0" w:firstColumn="1" w:lastColumn="0" w:noHBand="0" w:noVBand="1"/>
      </w:tblPr>
      <w:tblGrid>
        <w:gridCol w:w="5285"/>
        <w:gridCol w:w="1250"/>
        <w:gridCol w:w="1125"/>
        <w:gridCol w:w="986"/>
        <w:gridCol w:w="847"/>
      </w:tblGrid>
      <w:tr w:rsidR="00B0657A" w:rsidRPr="00813ACC" w14:paraId="47170A68" w14:textId="77777777" w:rsidTr="000E3CB6">
        <w:tc>
          <w:tcPr>
            <w:tcW w:w="5285" w:type="dxa"/>
            <w:tcBorders>
              <w:bottom w:val="single" w:sz="4" w:space="0" w:color="auto"/>
            </w:tcBorders>
          </w:tcPr>
          <w:p w14:paraId="6ED17B91" w14:textId="77777777" w:rsidR="00B0657A" w:rsidRPr="00813ACC" w:rsidRDefault="00B0657A" w:rsidP="00141231">
            <w:pPr>
              <w:pStyle w:val="NoSpacing"/>
              <w:rPr>
                <w:rFonts w:ascii="Times New Roman" w:hAnsi="Times New Roman" w:cs="Times New Roman"/>
                <w:sz w:val="20"/>
                <w:szCs w:val="20"/>
              </w:rPr>
            </w:pPr>
          </w:p>
        </w:tc>
        <w:tc>
          <w:tcPr>
            <w:tcW w:w="1250" w:type="dxa"/>
            <w:tcBorders>
              <w:bottom w:val="single" w:sz="4" w:space="0" w:color="auto"/>
            </w:tcBorders>
          </w:tcPr>
          <w:p w14:paraId="757E4AB4"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 xml:space="preserve">Standardised Coefficient </w:t>
            </w:r>
          </w:p>
        </w:tc>
        <w:tc>
          <w:tcPr>
            <w:tcW w:w="2111" w:type="dxa"/>
            <w:gridSpan w:val="2"/>
            <w:tcBorders>
              <w:bottom w:val="single" w:sz="4" w:space="0" w:color="auto"/>
            </w:tcBorders>
          </w:tcPr>
          <w:p w14:paraId="0904E44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 xml:space="preserve">Bootstrap confidence intervals </w:t>
            </w:r>
          </w:p>
        </w:tc>
        <w:tc>
          <w:tcPr>
            <w:tcW w:w="847" w:type="dxa"/>
            <w:tcBorders>
              <w:bottom w:val="single" w:sz="4" w:space="0" w:color="auto"/>
            </w:tcBorders>
          </w:tcPr>
          <w:p w14:paraId="1BB698F7"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 xml:space="preserve">Sig. </w:t>
            </w:r>
          </w:p>
        </w:tc>
      </w:tr>
      <w:tr w:rsidR="00B0657A" w:rsidRPr="00813ACC" w14:paraId="36AA3640" w14:textId="77777777" w:rsidTr="000E3CB6">
        <w:tc>
          <w:tcPr>
            <w:tcW w:w="5285" w:type="dxa"/>
            <w:tcBorders>
              <w:top w:val="single" w:sz="4" w:space="0" w:color="auto"/>
            </w:tcBorders>
          </w:tcPr>
          <w:p w14:paraId="59F706FB" w14:textId="77777777" w:rsidR="00B0657A" w:rsidRPr="00813ACC" w:rsidRDefault="00B0657A" w:rsidP="00141231">
            <w:pPr>
              <w:pStyle w:val="NoSpacing"/>
              <w:rPr>
                <w:rFonts w:ascii="Times New Roman" w:hAnsi="Times New Roman" w:cs="Times New Roman"/>
                <w:sz w:val="20"/>
                <w:szCs w:val="20"/>
              </w:rPr>
            </w:pPr>
          </w:p>
        </w:tc>
        <w:tc>
          <w:tcPr>
            <w:tcW w:w="1250" w:type="dxa"/>
            <w:tcBorders>
              <w:top w:val="single" w:sz="4" w:space="0" w:color="auto"/>
            </w:tcBorders>
          </w:tcPr>
          <w:p w14:paraId="74D3A4CC" w14:textId="77777777" w:rsidR="00B0657A" w:rsidRPr="00813ACC" w:rsidRDefault="00B0657A" w:rsidP="00141231">
            <w:pPr>
              <w:pStyle w:val="NoSpacing"/>
              <w:rPr>
                <w:rFonts w:ascii="Times New Roman" w:hAnsi="Times New Roman" w:cs="Times New Roman"/>
                <w:sz w:val="20"/>
                <w:szCs w:val="20"/>
              </w:rPr>
            </w:pPr>
          </w:p>
        </w:tc>
        <w:tc>
          <w:tcPr>
            <w:tcW w:w="1125" w:type="dxa"/>
            <w:tcBorders>
              <w:top w:val="single" w:sz="4" w:space="0" w:color="auto"/>
            </w:tcBorders>
          </w:tcPr>
          <w:p w14:paraId="7666093D"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Lower Bound</w:t>
            </w:r>
          </w:p>
        </w:tc>
        <w:tc>
          <w:tcPr>
            <w:tcW w:w="986" w:type="dxa"/>
            <w:tcBorders>
              <w:top w:val="single" w:sz="4" w:space="0" w:color="auto"/>
            </w:tcBorders>
          </w:tcPr>
          <w:p w14:paraId="437D4EFD"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Upper Bound</w:t>
            </w:r>
          </w:p>
        </w:tc>
        <w:tc>
          <w:tcPr>
            <w:tcW w:w="847" w:type="dxa"/>
            <w:tcBorders>
              <w:top w:val="single" w:sz="4" w:space="0" w:color="auto"/>
            </w:tcBorders>
          </w:tcPr>
          <w:p w14:paraId="394C140E"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60793400" w14:textId="77777777" w:rsidTr="000E3CB6">
        <w:tc>
          <w:tcPr>
            <w:tcW w:w="5285" w:type="dxa"/>
            <w:tcBorders>
              <w:top w:val="single" w:sz="4" w:space="0" w:color="auto"/>
            </w:tcBorders>
          </w:tcPr>
          <w:p w14:paraId="3AF014EF"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Model M4:  H1 –Full mediation; H2 – Full mediation</w:t>
            </w:r>
          </w:p>
        </w:tc>
        <w:tc>
          <w:tcPr>
            <w:tcW w:w="1250" w:type="dxa"/>
            <w:tcBorders>
              <w:top w:val="single" w:sz="4" w:space="0" w:color="auto"/>
            </w:tcBorders>
          </w:tcPr>
          <w:p w14:paraId="275FECF1" w14:textId="77777777" w:rsidR="00B0657A" w:rsidRPr="00813ACC" w:rsidRDefault="00B0657A" w:rsidP="00141231">
            <w:pPr>
              <w:pStyle w:val="NoSpacing"/>
              <w:rPr>
                <w:rFonts w:ascii="Times New Roman" w:hAnsi="Times New Roman" w:cs="Times New Roman"/>
                <w:sz w:val="20"/>
                <w:szCs w:val="20"/>
              </w:rPr>
            </w:pPr>
          </w:p>
        </w:tc>
        <w:tc>
          <w:tcPr>
            <w:tcW w:w="1125" w:type="dxa"/>
            <w:tcBorders>
              <w:top w:val="single" w:sz="4" w:space="0" w:color="auto"/>
            </w:tcBorders>
          </w:tcPr>
          <w:p w14:paraId="2611A468" w14:textId="77777777" w:rsidR="00B0657A" w:rsidRPr="00813ACC" w:rsidRDefault="00B0657A" w:rsidP="00141231">
            <w:pPr>
              <w:pStyle w:val="NoSpacing"/>
              <w:rPr>
                <w:rFonts w:ascii="Times New Roman" w:hAnsi="Times New Roman" w:cs="Times New Roman"/>
                <w:sz w:val="20"/>
                <w:szCs w:val="20"/>
              </w:rPr>
            </w:pPr>
          </w:p>
        </w:tc>
        <w:tc>
          <w:tcPr>
            <w:tcW w:w="986" w:type="dxa"/>
            <w:tcBorders>
              <w:top w:val="single" w:sz="4" w:space="0" w:color="auto"/>
            </w:tcBorders>
          </w:tcPr>
          <w:p w14:paraId="0DDCEEDE" w14:textId="77777777" w:rsidR="00B0657A" w:rsidRPr="00813ACC" w:rsidRDefault="00B0657A" w:rsidP="00141231">
            <w:pPr>
              <w:pStyle w:val="NoSpacing"/>
              <w:rPr>
                <w:rFonts w:ascii="Times New Roman" w:hAnsi="Times New Roman" w:cs="Times New Roman"/>
                <w:sz w:val="20"/>
                <w:szCs w:val="20"/>
              </w:rPr>
            </w:pPr>
          </w:p>
        </w:tc>
        <w:tc>
          <w:tcPr>
            <w:tcW w:w="847" w:type="dxa"/>
            <w:tcBorders>
              <w:top w:val="single" w:sz="4" w:space="0" w:color="auto"/>
            </w:tcBorders>
          </w:tcPr>
          <w:p w14:paraId="6FC48041"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47DA9B14" w14:textId="77777777" w:rsidTr="000E3CB6">
        <w:tc>
          <w:tcPr>
            <w:tcW w:w="5285" w:type="dxa"/>
          </w:tcPr>
          <w:p w14:paraId="24CCBD8B" w14:textId="77777777" w:rsidR="00B0657A" w:rsidRPr="00813ACC" w:rsidRDefault="00B0657A" w:rsidP="00141231">
            <w:pPr>
              <w:pStyle w:val="NoSpacing"/>
              <w:rPr>
                <w:rFonts w:ascii="Times New Roman" w:hAnsi="Times New Roman" w:cs="Times New Roman"/>
                <w:i/>
                <w:noProof/>
                <w:sz w:val="20"/>
                <w:szCs w:val="20"/>
                <w:lang w:eastAsia="en-GB"/>
              </w:rPr>
            </w:pPr>
            <w:r w:rsidRPr="00813ACC">
              <w:rPr>
                <w:rFonts w:ascii="Times New Roman" w:hAnsi="Times New Roman" w:cs="Times New Roman"/>
                <w:i/>
                <w:noProof/>
                <w:sz w:val="20"/>
                <w:szCs w:val="20"/>
                <w:lang w:eastAsia="en-GB"/>
              </w:rPr>
              <w:t xml:space="preserve">Direct Effects </w:t>
            </w:r>
          </w:p>
        </w:tc>
        <w:tc>
          <w:tcPr>
            <w:tcW w:w="1250" w:type="dxa"/>
          </w:tcPr>
          <w:p w14:paraId="5D90334B" w14:textId="77777777" w:rsidR="00B0657A" w:rsidRPr="00813ACC" w:rsidRDefault="00B0657A" w:rsidP="00141231">
            <w:pPr>
              <w:pStyle w:val="NoSpacing"/>
              <w:rPr>
                <w:rFonts w:ascii="Times New Roman" w:hAnsi="Times New Roman" w:cs="Times New Roman"/>
                <w:sz w:val="20"/>
                <w:szCs w:val="20"/>
              </w:rPr>
            </w:pPr>
          </w:p>
        </w:tc>
        <w:tc>
          <w:tcPr>
            <w:tcW w:w="1125" w:type="dxa"/>
          </w:tcPr>
          <w:p w14:paraId="000CAE20" w14:textId="77777777" w:rsidR="00B0657A" w:rsidRPr="00813ACC" w:rsidRDefault="00B0657A" w:rsidP="00141231">
            <w:pPr>
              <w:pStyle w:val="NoSpacing"/>
              <w:rPr>
                <w:rFonts w:ascii="Times New Roman" w:hAnsi="Times New Roman" w:cs="Times New Roman"/>
                <w:sz w:val="20"/>
                <w:szCs w:val="20"/>
              </w:rPr>
            </w:pPr>
          </w:p>
        </w:tc>
        <w:tc>
          <w:tcPr>
            <w:tcW w:w="986" w:type="dxa"/>
          </w:tcPr>
          <w:p w14:paraId="0180A7FE" w14:textId="77777777" w:rsidR="00B0657A" w:rsidRPr="00813ACC" w:rsidRDefault="00B0657A" w:rsidP="00141231">
            <w:pPr>
              <w:pStyle w:val="NoSpacing"/>
              <w:rPr>
                <w:rFonts w:ascii="Times New Roman" w:hAnsi="Times New Roman" w:cs="Times New Roman"/>
                <w:sz w:val="20"/>
                <w:szCs w:val="20"/>
              </w:rPr>
            </w:pPr>
          </w:p>
        </w:tc>
        <w:tc>
          <w:tcPr>
            <w:tcW w:w="847" w:type="dxa"/>
          </w:tcPr>
          <w:p w14:paraId="3FB96EC0"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75A781B5" w14:textId="77777777" w:rsidTr="000E3CB6">
        <w:tc>
          <w:tcPr>
            <w:tcW w:w="5285" w:type="dxa"/>
          </w:tcPr>
          <w:p w14:paraId="287C1693" w14:textId="77777777" w:rsidR="00B0657A" w:rsidRPr="00813ACC" w:rsidRDefault="00B0657A" w:rsidP="00141231">
            <w:pPr>
              <w:pStyle w:val="NoSpacing"/>
              <w:rPr>
                <w:rFonts w:ascii="Times New Roman" w:hAnsi="Times New Roman" w:cs="Times New Roman"/>
                <w:sz w:val="20"/>
                <w:szCs w:val="20"/>
              </w:rPr>
            </w:pPr>
            <w:r w:rsidRPr="00B4456C">
              <w:rPr>
                <w:rFonts w:ascii="Times New Roman" w:hAnsi="Times New Roman" w:cs="Times New Roman"/>
                <w:noProof/>
                <w:sz w:val="20"/>
                <w:szCs w:val="20"/>
                <w:lang w:eastAsia="en-GB"/>
              </w:rPr>
              <mc:AlternateContent>
                <mc:Choice Requires="wps">
                  <w:drawing>
                    <wp:anchor distT="0" distB="0" distL="114300" distR="114300" simplePos="0" relativeHeight="251726848" behindDoc="0" locked="0" layoutInCell="1" allowOverlap="1" wp14:anchorId="274648E8" wp14:editId="4E67A7C6">
                      <wp:simplePos x="0" y="0"/>
                      <wp:positionH relativeFrom="column">
                        <wp:posOffset>901700</wp:posOffset>
                      </wp:positionH>
                      <wp:positionV relativeFrom="paragraph">
                        <wp:posOffset>46574</wp:posOffset>
                      </wp:positionV>
                      <wp:extent cx="542925" cy="9525"/>
                      <wp:effectExtent l="0" t="50800" r="0" b="79375"/>
                      <wp:wrapNone/>
                      <wp:docPr id="30" name="Straight Arrow Connector 30"/>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type w14:anchorId="4890F312" id="_x0000_t32" coordsize="21600,21600" o:spt="32" o:oned="t" path="m,l21600,21600e" filled="f">
                      <v:path arrowok="t" fillok="f" o:connecttype="none"/>
                      <o:lock v:ext="edit" shapetype="t"/>
                    </v:shapetype>
                    <v:shape id="Straight Arrow Connector 30" o:spid="_x0000_s1026" type="#_x0000_t32" style="position:absolute;margin-left:71pt;margin-top:3.65pt;width:42.75pt;height:.7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" strokecolor="black [3213]" strokeweight=".5pt">
                      <v:stroke endarrow="block" joinstyle="miter"/>
                    </v:shape>
                  </w:pict>
                </mc:Fallback>
              </mc:AlternateContent>
            </w:r>
            <w:r w:rsidRPr="00813ACC">
              <w:rPr>
                <w:rFonts w:ascii="Times New Roman" w:hAnsi="Times New Roman" w:cs="Times New Roman"/>
                <w:sz w:val="20"/>
                <w:szCs w:val="20"/>
              </w:rPr>
              <w:t xml:space="preserve">TTO support                              TT strategic priority </w:t>
            </w:r>
          </w:p>
        </w:tc>
        <w:tc>
          <w:tcPr>
            <w:tcW w:w="1250" w:type="dxa"/>
          </w:tcPr>
          <w:p w14:paraId="3B7AC3BE"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0.4</w:t>
            </w:r>
            <w:r>
              <w:rPr>
                <w:rFonts w:ascii="Times New Roman" w:hAnsi="Times New Roman" w:cs="Times New Roman"/>
                <w:sz w:val="20"/>
                <w:szCs w:val="20"/>
              </w:rPr>
              <w:t>12</w:t>
            </w:r>
            <w:r w:rsidRPr="00813ACC">
              <w:rPr>
                <w:rFonts w:ascii="Times New Roman" w:hAnsi="Times New Roman" w:cs="Times New Roman"/>
                <w:sz w:val="20"/>
                <w:szCs w:val="20"/>
              </w:rPr>
              <w:t>**</w:t>
            </w:r>
          </w:p>
        </w:tc>
        <w:tc>
          <w:tcPr>
            <w:tcW w:w="1125" w:type="dxa"/>
          </w:tcPr>
          <w:p w14:paraId="6FB42EA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0.2</w:t>
            </w:r>
            <w:r>
              <w:rPr>
                <w:rFonts w:ascii="Times New Roman" w:hAnsi="Times New Roman" w:cs="Times New Roman"/>
                <w:sz w:val="20"/>
                <w:szCs w:val="20"/>
              </w:rPr>
              <w:t>18</w:t>
            </w:r>
          </w:p>
        </w:tc>
        <w:tc>
          <w:tcPr>
            <w:tcW w:w="986" w:type="dxa"/>
          </w:tcPr>
          <w:p w14:paraId="6E6ECCAD"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0.6</w:t>
            </w:r>
            <w:r>
              <w:rPr>
                <w:rFonts w:ascii="Times New Roman" w:hAnsi="Times New Roman" w:cs="Times New Roman"/>
                <w:sz w:val="20"/>
                <w:szCs w:val="20"/>
              </w:rPr>
              <w:t>22</w:t>
            </w:r>
          </w:p>
        </w:tc>
        <w:tc>
          <w:tcPr>
            <w:tcW w:w="847" w:type="dxa"/>
          </w:tcPr>
          <w:p w14:paraId="2BAF0D8C"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0.002</w:t>
            </w:r>
          </w:p>
        </w:tc>
      </w:tr>
      <w:tr w:rsidR="00B0657A" w:rsidRPr="00813ACC" w14:paraId="2E99E4C1" w14:textId="77777777" w:rsidTr="000E3CB6">
        <w:tc>
          <w:tcPr>
            <w:tcW w:w="5285" w:type="dxa"/>
          </w:tcPr>
          <w:p w14:paraId="3627F264" w14:textId="77777777" w:rsidR="00B0657A" w:rsidRPr="00813ACC" w:rsidRDefault="00B0657A" w:rsidP="00141231">
            <w:pPr>
              <w:pStyle w:val="NoSpacing"/>
              <w:rPr>
                <w:rFonts w:ascii="Times New Roman" w:hAnsi="Times New Roman" w:cs="Times New Roman"/>
                <w:noProof/>
                <w:sz w:val="20"/>
                <w:szCs w:val="20"/>
                <w:lang w:eastAsia="en-GB"/>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1968" behindDoc="0" locked="0" layoutInCell="1" allowOverlap="1" wp14:anchorId="799C394F" wp14:editId="794F787E">
                      <wp:simplePos x="0" y="0"/>
                      <wp:positionH relativeFrom="column">
                        <wp:posOffset>908685</wp:posOffset>
                      </wp:positionH>
                      <wp:positionV relativeFrom="paragraph">
                        <wp:posOffset>52273</wp:posOffset>
                      </wp:positionV>
                      <wp:extent cx="542925" cy="9525"/>
                      <wp:effectExtent l="0" t="50800" r="0" b="79375"/>
                      <wp:wrapNone/>
                      <wp:docPr id="32" name="Straight Arrow Connector 32"/>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6A339F51" id="Straight Arrow Connector 32" o:spid="_x0000_s1026" type="#_x0000_t32" style="position:absolute;margin-left:71.55pt;margin-top:4.1pt;width:42.75pt;height:.7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" strokecolor="black [3213]" strokeweight=".5pt">
                      <v:stroke endarrow="block" joinstyle="miter"/>
                    </v:shape>
                  </w:pict>
                </mc:Fallback>
              </mc:AlternateContent>
            </w:r>
            <w:r w:rsidRPr="00813ACC">
              <w:rPr>
                <w:rFonts w:ascii="Times New Roman" w:hAnsi="Times New Roman" w:cs="Times New Roman"/>
                <w:sz w:val="20"/>
                <w:szCs w:val="20"/>
              </w:rPr>
              <w:t xml:space="preserve">TTO support                               TT effectiveness </w:t>
            </w:r>
          </w:p>
        </w:tc>
        <w:tc>
          <w:tcPr>
            <w:tcW w:w="1250" w:type="dxa"/>
          </w:tcPr>
          <w:p w14:paraId="358AC710"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w:t>
            </w:r>
          </w:p>
        </w:tc>
        <w:tc>
          <w:tcPr>
            <w:tcW w:w="1125" w:type="dxa"/>
          </w:tcPr>
          <w:p w14:paraId="28037766" w14:textId="77777777" w:rsidR="00B0657A" w:rsidRPr="00813ACC" w:rsidRDefault="00B0657A" w:rsidP="00141231">
            <w:pPr>
              <w:pStyle w:val="NoSpacing"/>
              <w:rPr>
                <w:rFonts w:ascii="Times New Roman" w:hAnsi="Times New Roman" w:cs="Times New Roman"/>
                <w:sz w:val="20"/>
                <w:szCs w:val="20"/>
              </w:rPr>
            </w:pPr>
          </w:p>
        </w:tc>
        <w:tc>
          <w:tcPr>
            <w:tcW w:w="986" w:type="dxa"/>
          </w:tcPr>
          <w:p w14:paraId="28083B94" w14:textId="77777777" w:rsidR="00B0657A" w:rsidRPr="00813ACC" w:rsidRDefault="00B0657A" w:rsidP="00141231">
            <w:pPr>
              <w:pStyle w:val="NoSpacing"/>
              <w:rPr>
                <w:rFonts w:ascii="Times New Roman" w:hAnsi="Times New Roman" w:cs="Times New Roman"/>
                <w:sz w:val="20"/>
                <w:szCs w:val="20"/>
              </w:rPr>
            </w:pPr>
          </w:p>
        </w:tc>
        <w:tc>
          <w:tcPr>
            <w:tcW w:w="847" w:type="dxa"/>
          </w:tcPr>
          <w:p w14:paraId="5EE26718"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73F1011D" w14:textId="77777777" w:rsidTr="000E3CB6">
        <w:tc>
          <w:tcPr>
            <w:tcW w:w="5285" w:type="dxa"/>
          </w:tcPr>
          <w:p w14:paraId="60E97C34"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27872" behindDoc="0" locked="0" layoutInCell="1" allowOverlap="1" wp14:anchorId="78CE7015" wp14:editId="22AECEA4">
                      <wp:simplePos x="0" y="0"/>
                      <wp:positionH relativeFrom="column">
                        <wp:posOffset>812800</wp:posOffset>
                      </wp:positionH>
                      <wp:positionV relativeFrom="paragraph">
                        <wp:posOffset>103505</wp:posOffset>
                      </wp:positionV>
                      <wp:extent cx="542925" cy="9525"/>
                      <wp:effectExtent l="0" t="57150" r="28575" b="85725"/>
                      <wp:wrapNone/>
                      <wp:docPr id="33" name="Straight Arrow Connector 33"/>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573B5B77" id="Straight Arrow Connector 33" o:spid="_x0000_s1026" type="#_x0000_t32" style="position:absolute;margin-left:64pt;margin-top:8.15pt;width:42.75pt;height:.7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" strokecolor="black [3213]" strokeweight=".5pt">
                      <v:stroke endarrow="block" joinstyle="miter"/>
                    </v:shape>
                  </w:pict>
                </mc:Fallback>
              </mc:AlternateContent>
            </w:r>
            <w:r w:rsidRPr="00813ACC">
              <w:rPr>
                <w:rFonts w:ascii="Times New Roman" w:hAnsi="Times New Roman" w:cs="Times New Roman"/>
                <w:sz w:val="20"/>
                <w:szCs w:val="20"/>
              </w:rPr>
              <w:t>Incentivising                        TT strategic priority</w:t>
            </w:r>
          </w:p>
        </w:tc>
        <w:tc>
          <w:tcPr>
            <w:tcW w:w="1250" w:type="dxa"/>
          </w:tcPr>
          <w:p w14:paraId="784ECAA7"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0.2</w:t>
            </w:r>
            <w:r>
              <w:rPr>
                <w:rFonts w:ascii="Times New Roman" w:hAnsi="Times New Roman" w:cs="Times New Roman"/>
                <w:sz w:val="20"/>
                <w:szCs w:val="20"/>
              </w:rPr>
              <w:t>89</w:t>
            </w:r>
            <w:r w:rsidRPr="00813ACC">
              <w:rPr>
                <w:rFonts w:ascii="Times New Roman" w:hAnsi="Times New Roman" w:cs="Times New Roman"/>
                <w:sz w:val="20"/>
                <w:szCs w:val="20"/>
              </w:rPr>
              <w:t>^</w:t>
            </w:r>
          </w:p>
        </w:tc>
        <w:tc>
          <w:tcPr>
            <w:tcW w:w="1125" w:type="dxa"/>
          </w:tcPr>
          <w:p w14:paraId="01C15ADD"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w:t>
            </w:r>
            <w:r>
              <w:rPr>
                <w:rFonts w:ascii="Times New Roman" w:hAnsi="Times New Roman" w:cs="Times New Roman"/>
                <w:sz w:val="20"/>
                <w:szCs w:val="20"/>
              </w:rPr>
              <w:t>38</w:t>
            </w:r>
          </w:p>
        </w:tc>
        <w:tc>
          <w:tcPr>
            <w:tcW w:w="986" w:type="dxa"/>
          </w:tcPr>
          <w:p w14:paraId="71C77CDD"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0.5</w:t>
            </w:r>
            <w:r>
              <w:rPr>
                <w:rFonts w:ascii="Times New Roman" w:hAnsi="Times New Roman" w:cs="Times New Roman"/>
                <w:sz w:val="20"/>
                <w:szCs w:val="20"/>
              </w:rPr>
              <w:t>27</w:t>
            </w:r>
          </w:p>
        </w:tc>
        <w:tc>
          <w:tcPr>
            <w:tcW w:w="847" w:type="dxa"/>
          </w:tcPr>
          <w:p w14:paraId="0D0E2D6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w:t>
            </w:r>
            <w:r>
              <w:rPr>
                <w:rFonts w:ascii="Times New Roman" w:hAnsi="Times New Roman" w:cs="Times New Roman"/>
                <w:sz w:val="20"/>
                <w:szCs w:val="20"/>
              </w:rPr>
              <w:t>69</w:t>
            </w:r>
          </w:p>
        </w:tc>
      </w:tr>
      <w:tr w:rsidR="00B0657A" w:rsidRPr="00813ACC" w14:paraId="165D1484" w14:textId="77777777" w:rsidTr="000E3CB6">
        <w:tc>
          <w:tcPr>
            <w:tcW w:w="5285" w:type="dxa"/>
          </w:tcPr>
          <w:p w14:paraId="7FC4ABEB" w14:textId="77777777" w:rsidR="00B0657A" w:rsidRPr="00813ACC" w:rsidRDefault="00B0657A" w:rsidP="00141231">
            <w:pPr>
              <w:pStyle w:val="NoSpacing"/>
              <w:rPr>
                <w:rFonts w:ascii="Times New Roman" w:hAnsi="Times New Roman" w:cs="Times New Roman"/>
                <w:noProof/>
                <w:sz w:val="20"/>
                <w:szCs w:val="20"/>
                <w:lang w:eastAsia="en-GB"/>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2992" behindDoc="0" locked="0" layoutInCell="1" allowOverlap="1" wp14:anchorId="273A2A8B" wp14:editId="7D7EDC7A">
                      <wp:simplePos x="0" y="0"/>
                      <wp:positionH relativeFrom="column">
                        <wp:posOffset>812800</wp:posOffset>
                      </wp:positionH>
                      <wp:positionV relativeFrom="paragraph">
                        <wp:posOffset>102870</wp:posOffset>
                      </wp:positionV>
                      <wp:extent cx="542925" cy="9525"/>
                      <wp:effectExtent l="0" t="57150" r="28575" b="85725"/>
                      <wp:wrapNone/>
                      <wp:docPr id="34" name="Straight Arrow Connector 34"/>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726AA09C" id="Straight Arrow Connector 34" o:spid="_x0000_s1026" type="#_x0000_t32" style="position:absolute;margin-left:64pt;margin-top:8.1pt;width:42.75pt;height:.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" strokecolor="black [3213]" strokeweight=".5pt">
                      <v:stroke endarrow="block" joinstyle="miter"/>
                    </v:shape>
                  </w:pict>
                </mc:Fallback>
              </mc:AlternateContent>
            </w:r>
            <w:r w:rsidRPr="00813ACC">
              <w:rPr>
                <w:rFonts w:ascii="Times New Roman" w:hAnsi="Times New Roman" w:cs="Times New Roman"/>
                <w:sz w:val="20"/>
                <w:szCs w:val="20"/>
              </w:rPr>
              <w:t>Incentivising                        TT effectiveness</w:t>
            </w:r>
          </w:p>
        </w:tc>
        <w:tc>
          <w:tcPr>
            <w:tcW w:w="1250" w:type="dxa"/>
          </w:tcPr>
          <w:p w14:paraId="37045646"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w:t>
            </w:r>
          </w:p>
        </w:tc>
        <w:tc>
          <w:tcPr>
            <w:tcW w:w="1125" w:type="dxa"/>
          </w:tcPr>
          <w:p w14:paraId="3C6E97AB" w14:textId="77777777" w:rsidR="00B0657A" w:rsidRPr="00813ACC" w:rsidRDefault="00B0657A" w:rsidP="00141231">
            <w:pPr>
              <w:pStyle w:val="NoSpacing"/>
              <w:rPr>
                <w:rFonts w:ascii="Times New Roman" w:hAnsi="Times New Roman" w:cs="Times New Roman"/>
                <w:sz w:val="20"/>
                <w:szCs w:val="20"/>
              </w:rPr>
            </w:pPr>
          </w:p>
        </w:tc>
        <w:tc>
          <w:tcPr>
            <w:tcW w:w="986" w:type="dxa"/>
          </w:tcPr>
          <w:p w14:paraId="79BD4599" w14:textId="77777777" w:rsidR="00B0657A" w:rsidRPr="00813ACC" w:rsidRDefault="00B0657A" w:rsidP="00141231">
            <w:pPr>
              <w:pStyle w:val="NoSpacing"/>
              <w:rPr>
                <w:rFonts w:ascii="Times New Roman" w:hAnsi="Times New Roman" w:cs="Times New Roman"/>
                <w:sz w:val="20"/>
                <w:szCs w:val="20"/>
              </w:rPr>
            </w:pPr>
          </w:p>
        </w:tc>
        <w:tc>
          <w:tcPr>
            <w:tcW w:w="847" w:type="dxa"/>
          </w:tcPr>
          <w:p w14:paraId="6D23ED8C"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40B02B88" w14:textId="77777777" w:rsidTr="000E3CB6">
        <w:tc>
          <w:tcPr>
            <w:tcW w:w="5285" w:type="dxa"/>
          </w:tcPr>
          <w:p w14:paraId="0BE8BAC9"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28896" behindDoc="0" locked="0" layoutInCell="1" allowOverlap="1" wp14:anchorId="06DD2730" wp14:editId="6D352172">
                      <wp:simplePos x="0" y="0"/>
                      <wp:positionH relativeFrom="column">
                        <wp:posOffset>1094943</wp:posOffset>
                      </wp:positionH>
                      <wp:positionV relativeFrom="paragraph">
                        <wp:posOffset>59055</wp:posOffset>
                      </wp:positionV>
                      <wp:extent cx="542925" cy="9525"/>
                      <wp:effectExtent l="0" t="50800" r="0" b="79375"/>
                      <wp:wrapNone/>
                      <wp:docPr id="35" name="Straight Arrow Connector 35"/>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51E5BC51" id="Straight Arrow Connector 35" o:spid="_x0000_s1026" type="#_x0000_t32" style="position:absolute;margin-left:86.2pt;margin-top:4.65pt;width:42.75pt;height:.7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" strokecolor="black [3213]" strokeweight=".5pt">
                      <v:stroke endarrow="block" joinstyle="miter"/>
                    </v:shape>
                  </w:pict>
                </mc:Fallback>
              </mc:AlternateContent>
            </w:r>
            <w:r w:rsidRPr="00813ACC">
              <w:rPr>
                <w:rFonts w:ascii="Times New Roman" w:hAnsi="Times New Roman" w:cs="Times New Roman"/>
                <w:sz w:val="20"/>
                <w:szCs w:val="20"/>
              </w:rPr>
              <w:t xml:space="preserve">TT strategic priority                        TT effectiveness </w:t>
            </w:r>
          </w:p>
        </w:tc>
        <w:tc>
          <w:tcPr>
            <w:tcW w:w="1250" w:type="dxa"/>
          </w:tcPr>
          <w:p w14:paraId="7A5278A6"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693</w:t>
            </w:r>
            <w:r w:rsidRPr="00813ACC">
              <w:rPr>
                <w:rFonts w:ascii="Times New Roman" w:hAnsi="Times New Roman" w:cs="Times New Roman"/>
                <w:sz w:val="20"/>
                <w:szCs w:val="20"/>
              </w:rPr>
              <w:t>**</w:t>
            </w:r>
          </w:p>
        </w:tc>
        <w:tc>
          <w:tcPr>
            <w:tcW w:w="1125" w:type="dxa"/>
          </w:tcPr>
          <w:p w14:paraId="48EB6B05"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381</w:t>
            </w:r>
          </w:p>
        </w:tc>
        <w:tc>
          <w:tcPr>
            <w:tcW w:w="986" w:type="dxa"/>
          </w:tcPr>
          <w:p w14:paraId="0A757C41"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1.</w:t>
            </w:r>
            <w:r>
              <w:rPr>
                <w:rFonts w:ascii="Times New Roman" w:hAnsi="Times New Roman" w:cs="Times New Roman"/>
                <w:sz w:val="20"/>
                <w:szCs w:val="20"/>
              </w:rPr>
              <w:t>372</w:t>
            </w:r>
          </w:p>
        </w:tc>
        <w:tc>
          <w:tcPr>
            <w:tcW w:w="847" w:type="dxa"/>
          </w:tcPr>
          <w:p w14:paraId="582C907F"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0.00</w:t>
            </w:r>
            <w:r>
              <w:rPr>
                <w:rFonts w:ascii="Times New Roman" w:hAnsi="Times New Roman" w:cs="Times New Roman"/>
                <w:sz w:val="20"/>
                <w:szCs w:val="20"/>
              </w:rPr>
              <w:t>2</w:t>
            </w:r>
          </w:p>
        </w:tc>
      </w:tr>
      <w:tr w:rsidR="00B0657A" w:rsidRPr="00813ACC" w14:paraId="7B8C7C5F" w14:textId="77777777" w:rsidTr="000E3CB6">
        <w:tc>
          <w:tcPr>
            <w:tcW w:w="5285" w:type="dxa"/>
            <w:tcBorders>
              <w:bottom w:val="double" w:sz="4" w:space="0" w:color="auto"/>
            </w:tcBorders>
          </w:tcPr>
          <w:p w14:paraId="4182E09D" w14:textId="77777777" w:rsidR="00B0657A" w:rsidRPr="00813ACC" w:rsidRDefault="00B0657A" w:rsidP="00141231">
            <w:pPr>
              <w:pStyle w:val="NoSpacing"/>
              <w:rPr>
                <w:rFonts w:ascii="Times New Roman" w:hAnsi="Times New Roman" w:cs="Times New Roman"/>
                <w:i/>
                <w:noProof/>
                <w:sz w:val="20"/>
                <w:szCs w:val="20"/>
                <w:lang w:eastAsia="en-GB"/>
              </w:rPr>
            </w:pPr>
            <w:r w:rsidRPr="00813ACC">
              <w:rPr>
                <w:rFonts w:ascii="Times New Roman" w:hAnsi="Times New Roman" w:cs="Times New Roman"/>
                <w:i/>
                <w:noProof/>
                <w:sz w:val="20"/>
                <w:szCs w:val="20"/>
                <w:lang w:eastAsia="en-GB"/>
              </w:rPr>
              <w:t xml:space="preserve">Indirect Effects </w:t>
            </w:r>
          </w:p>
        </w:tc>
        <w:tc>
          <w:tcPr>
            <w:tcW w:w="1250" w:type="dxa"/>
            <w:tcBorders>
              <w:bottom w:val="double" w:sz="4" w:space="0" w:color="auto"/>
            </w:tcBorders>
          </w:tcPr>
          <w:p w14:paraId="54EFC991" w14:textId="77777777" w:rsidR="00B0657A" w:rsidRPr="00813ACC" w:rsidRDefault="00B0657A" w:rsidP="00141231">
            <w:pPr>
              <w:pStyle w:val="NoSpacing"/>
              <w:rPr>
                <w:rFonts w:ascii="Times New Roman" w:hAnsi="Times New Roman" w:cs="Times New Roman"/>
                <w:sz w:val="20"/>
                <w:szCs w:val="20"/>
              </w:rPr>
            </w:pPr>
          </w:p>
        </w:tc>
        <w:tc>
          <w:tcPr>
            <w:tcW w:w="1125" w:type="dxa"/>
            <w:tcBorders>
              <w:bottom w:val="double" w:sz="4" w:space="0" w:color="auto"/>
            </w:tcBorders>
          </w:tcPr>
          <w:p w14:paraId="0E14940C" w14:textId="77777777" w:rsidR="00B0657A" w:rsidRPr="00813ACC" w:rsidRDefault="00B0657A" w:rsidP="00141231">
            <w:pPr>
              <w:pStyle w:val="NoSpacing"/>
              <w:rPr>
                <w:rFonts w:ascii="Times New Roman" w:hAnsi="Times New Roman" w:cs="Times New Roman"/>
                <w:sz w:val="20"/>
                <w:szCs w:val="20"/>
              </w:rPr>
            </w:pPr>
          </w:p>
        </w:tc>
        <w:tc>
          <w:tcPr>
            <w:tcW w:w="986" w:type="dxa"/>
            <w:tcBorders>
              <w:bottom w:val="double" w:sz="4" w:space="0" w:color="auto"/>
            </w:tcBorders>
          </w:tcPr>
          <w:p w14:paraId="46805811" w14:textId="77777777" w:rsidR="00B0657A" w:rsidRPr="00813ACC" w:rsidRDefault="00B0657A" w:rsidP="00141231">
            <w:pPr>
              <w:pStyle w:val="NoSpacing"/>
              <w:rPr>
                <w:rFonts w:ascii="Times New Roman" w:hAnsi="Times New Roman" w:cs="Times New Roman"/>
                <w:sz w:val="20"/>
                <w:szCs w:val="20"/>
              </w:rPr>
            </w:pPr>
          </w:p>
        </w:tc>
        <w:tc>
          <w:tcPr>
            <w:tcW w:w="847" w:type="dxa"/>
            <w:tcBorders>
              <w:bottom w:val="double" w:sz="4" w:space="0" w:color="auto"/>
            </w:tcBorders>
          </w:tcPr>
          <w:p w14:paraId="44BF577F"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3C940A2A" w14:textId="77777777" w:rsidTr="000E3CB6">
        <w:tc>
          <w:tcPr>
            <w:tcW w:w="5285" w:type="dxa"/>
            <w:tcBorders>
              <w:top w:val="double" w:sz="4" w:space="0" w:color="auto"/>
            </w:tcBorders>
          </w:tcPr>
          <w:p w14:paraId="578C5587"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29920" behindDoc="0" locked="0" layoutInCell="1" allowOverlap="1" wp14:anchorId="2A50F76B" wp14:editId="7F309803">
                      <wp:simplePos x="0" y="0"/>
                      <wp:positionH relativeFrom="column">
                        <wp:posOffset>746125</wp:posOffset>
                      </wp:positionH>
                      <wp:positionV relativeFrom="paragraph">
                        <wp:posOffset>93980</wp:posOffset>
                      </wp:positionV>
                      <wp:extent cx="542925" cy="9525"/>
                      <wp:effectExtent l="0" t="57150" r="28575" b="85725"/>
                      <wp:wrapNone/>
                      <wp:docPr id="37" name="Straight Arrow Connector 37"/>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6E70B297" id="Straight Arrow Connector 37" o:spid="_x0000_s1026" type="#_x0000_t32" style="position:absolute;margin-left:58.75pt;margin-top:7.4pt;width:42.75pt;height:.7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" strokecolor="black [3213]" strokeweight=".5pt">
                      <v:stroke endarrow="block" joinstyle="miter"/>
                    </v:shape>
                  </w:pict>
                </mc:Fallback>
              </mc:AlternateContent>
            </w:r>
            <w:r w:rsidRPr="00813ACC">
              <w:rPr>
                <w:rFonts w:ascii="Times New Roman" w:hAnsi="Times New Roman" w:cs="Times New Roman"/>
                <w:sz w:val="20"/>
                <w:szCs w:val="20"/>
              </w:rPr>
              <w:t xml:space="preserve"> TT office                             TT effectiveness</w:t>
            </w:r>
          </w:p>
        </w:tc>
        <w:tc>
          <w:tcPr>
            <w:tcW w:w="1250" w:type="dxa"/>
            <w:tcBorders>
              <w:top w:val="double" w:sz="4" w:space="0" w:color="auto"/>
            </w:tcBorders>
          </w:tcPr>
          <w:p w14:paraId="3DB9F030"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0.3</w:t>
            </w:r>
            <w:r>
              <w:rPr>
                <w:rFonts w:ascii="Times New Roman" w:hAnsi="Times New Roman" w:cs="Times New Roman"/>
                <w:sz w:val="20"/>
                <w:szCs w:val="20"/>
              </w:rPr>
              <w:t>72</w:t>
            </w:r>
            <w:r w:rsidRPr="00813ACC">
              <w:rPr>
                <w:rFonts w:ascii="Times New Roman" w:hAnsi="Times New Roman" w:cs="Times New Roman"/>
                <w:sz w:val="20"/>
                <w:szCs w:val="20"/>
              </w:rPr>
              <w:t>***</w:t>
            </w:r>
          </w:p>
        </w:tc>
        <w:tc>
          <w:tcPr>
            <w:tcW w:w="1125" w:type="dxa"/>
            <w:tcBorders>
              <w:top w:val="double" w:sz="4" w:space="0" w:color="auto"/>
            </w:tcBorders>
          </w:tcPr>
          <w:p w14:paraId="21403A9B"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0.1</w:t>
            </w:r>
            <w:r>
              <w:rPr>
                <w:rFonts w:ascii="Times New Roman" w:hAnsi="Times New Roman" w:cs="Times New Roman"/>
                <w:sz w:val="20"/>
                <w:szCs w:val="20"/>
              </w:rPr>
              <w:t>44</w:t>
            </w:r>
          </w:p>
        </w:tc>
        <w:tc>
          <w:tcPr>
            <w:tcW w:w="986" w:type="dxa"/>
            <w:tcBorders>
              <w:top w:val="double" w:sz="4" w:space="0" w:color="auto"/>
            </w:tcBorders>
          </w:tcPr>
          <w:p w14:paraId="381505A1"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1.0</w:t>
            </w:r>
            <w:r>
              <w:rPr>
                <w:rFonts w:ascii="Times New Roman" w:hAnsi="Times New Roman" w:cs="Times New Roman"/>
                <w:sz w:val="20"/>
                <w:szCs w:val="20"/>
              </w:rPr>
              <w:t>65</w:t>
            </w:r>
          </w:p>
        </w:tc>
        <w:tc>
          <w:tcPr>
            <w:tcW w:w="847" w:type="dxa"/>
            <w:tcBorders>
              <w:top w:val="double" w:sz="4" w:space="0" w:color="auto"/>
            </w:tcBorders>
          </w:tcPr>
          <w:p w14:paraId="1985C99B"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0.00</w:t>
            </w:r>
            <w:r>
              <w:rPr>
                <w:rFonts w:ascii="Times New Roman" w:hAnsi="Times New Roman" w:cs="Times New Roman"/>
                <w:sz w:val="20"/>
                <w:szCs w:val="20"/>
              </w:rPr>
              <w:t>0</w:t>
            </w:r>
          </w:p>
        </w:tc>
      </w:tr>
      <w:tr w:rsidR="00B0657A" w:rsidRPr="00813ACC" w14:paraId="1B403E11" w14:textId="77777777" w:rsidTr="000E3CB6">
        <w:tc>
          <w:tcPr>
            <w:tcW w:w="5285" w:type="dxa"/>
            <w:tcBorders>
              <w:bottom w:val="double" w:sz="4" w:space="0" w:color="auto"/>
            </w:tcBorders>
          </w:tcPr>
          <w:p w14:paraId="1656B25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 xml:space="preserve">Incentivising              </w:t>
            </w:r>
            <w:r w:rsidRPr="00813ACC">
              <w:rPr>
                <w:rFonts w:ascii="Times New Roman" w:hAnsi="Times New Roman" w:cs="Times New Roman"/>
                <w:noProof/>
                <w:sz w:val="20"/>
                <w:szCs w:val="20"/>
                <w:lang w:eastAsia="en-GB"/>
              </w:rPr>
              <w:t xml:space="preserve"> </w:t>
            </w: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0944" behindDoc="0" locked="0" layoutInCell="1" allowOverlap="1" wp14:anchorId="0644AA9F" wp14:editId="13524F3C">
                      <wp:simplePos x="0" y="0"/>
                      <wp:positionH relativeFrom="column">
                        <wp:posOffset>831850</wp:posOffset>
                      </wp:positionH>
                      <wp:positionV relativeFrom="paragraph">
                        <wp:posOffset>99060</wp:posOffset>
                      </wp:positionV>
                      <wp:extent cx="542925" cy="9525"/>
                      <wp:effectExtent l="0" t="57150" r="28575" b="85725"/>
                      <wp:wrapNone/>
                      <wp:docPr id="38" name="Straight Arrow Connector 38"/>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49BD8DC" id="Straight Arrow Connector 38" o:spid="_x0000_s1026" type="#_x0000_t32" style="position:absolute;margin-left:65.5pt;margin-top:7.8pt;width:42.75pt;height:.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" strokecolor="black [3213]" strokeweight=".5pt">
                      <v:stroke endarrow="block" joinstyle="miter"/>
                    </v:shape>
                  </w:pict>
                </mc:Fallback>
              </mc:AlternateContent>
            </w:r>
            <w:r w:rsidRPr="00813ACC">
              <w:rPr>
                <w:rFonts w:ascii="Times New Roman" w:hAnsi="Times New Roman" w:cs="Times New Roman"/>
                <w:noProof/>
                <w:sz w:val="20"/>
                <w:szCs w:val="20"/>
                <w:lang w:eastAsia="en-GB"/>
              </w:rPr>
              <w:t xml:space="preserve">        </w:t>
            </w:r>
            <w:r w:rsidRPr="00813ACC">
              <w:rPr>
                <w:rFonts w:ascii="Times New Roman" w:hAnsi="Times New Roman" w:cs="Times New Roman"/>
                <w:sz w:val="20"/>
                <w:szCs w:val="20"/>
              </w:rPr>
              <w:t xml:space="preserve">TT effectiveness </w:t>
            </w:r>
          </w:p>
        </w:tc>
        <w:tc>
          <w:tcPr>
            <w:tcW w:w="1250" w:type="dxa"/>
            <w:tcBorders>
              <w:bottom w:val="double" w:sz="4" w:space="0" w:color="auto"/>
            </w:tcBorders>
          </w:tcPr>
          <w:p w14:paraId="17049F94"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0.2</w:t>
            </w:r>
            <w:r>
              <w:rPr>
                <w:rFonts w:ascii="Times New Roman" w:hAnsi="Times New Roman" w:cs="Times New Roman"/>
                <w:sz w:val="20"/>
                <w:szCs w:val="20"/>
              </w:rPr>
              <w:t>09</w:t>
            </w:r>
            <w:r w:rsidRPr="00813ACC">
              <w:rPr>
                <w:rFonts w:ascii="Times New Roman" w:hAnsi="Times New Roman" w:cs="Times New Roman"/>
                <w:sz w:val="20"/>
                <w:szCs w:val="20"/>
              </w:rPr>
              <w:t>*</w:t>
            </w:r>
          </w:p>
        </w:tc>
        <w:tc>
          <w:tcPr>
            <w:tcW w:w="1125" w:type="dxa"/>
            <w:tcBorders>
              <w:bottom w:val="double" w:sz="4" w:space="0" w:color="auto"/>
            </w:tcBorders>
          </w:tcPr>
          <w:p w14:paraId="276AC0C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0.01</w:t>
            </w:r>
            <w:r>
              <w:rPr>
                <w:rFonts w:ascii="Times New Roman" w:hAnsi="Times New Roman" w:cs="Times New Roman"/>
                <w:sz w:val="20"/>
                <w:szCs w:val="20"/>
              </w:rPr>
              <w:t>2</w:t>
            </w:r>
          </w:p>
        </w:tc>
        <w:tc>
          <w:tcPr>
            <w:tcW w:w="986" w:type="dxa"/>
            <w:tcBorders>
              <w:bottom w:val="double" w:sz="4" w:space="0" w:color="auto"/>
            </w:tcBorders>
          </w:tcPr>
          <w:p w14:paraId="4572DEEC"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592</w:t>
            </w:r>
          </w:p>
        </w:tc>
        <w:tc>
          <w:tcPr>
            <w:tcW w:w="847" w:type="dxa"/>
            <w:tcBorders>
              <w:bottom w:val="double" w:sz="4" w:space="0" w:color="auto"/>
            </w:tcBorders>
          </w:tcPr>
          <w:p w14:paraId="62DEDFE5"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0.04</w:t>
            </w:r>
            <w:r>
              <w:rPr>
                <w:rFonts w:ascii="Times New Roman" w:hAnsi="Times New Roman" w:cs="Times New Roman"/>
                <w:sz w:val="20"/>
                <w:szCs w:val="20"/>
              </w:rPr>
              <w:t>6</w:t>
            </w:r>
          </w:p>
        </w:tc>
      </w:tr>
      <w:tr w:rsidR="00B0657A" w:rsidRPr="00813ACC" w14:paraId="27FEA815" w14:textId="77777777" w:rsidTr="000E3CB6">
        <w:tc>
          <w:tcPr>
            <w:tcW w:w="5285" w:type="dxa"/>
            <w:tcBorders>
              <w:top w:val="double" w:sz="4" w:space="0" w:color="auto"/>
            </w:tcBorders>
          </w:tcPr>
          <w:p w14:paraId="0A99DEE8" w14:textId="77777777" w:rsidR="00B0657A" w:rsidRPr="00813ACC" w:rsidRDefault="00B0657A" w:rsidP="00141231">
            <w:pPr>
              <w:pStyle w:val="NoSpacing"/>
              <w:rPr>
                <w:rFonts w:ascii="Times New Roman" w:hAnsi="Times New Roman" w:cs="Times New Roman"/>
                <w:noProof/>
                <w:sz w:val="20"/>
                <w:szCs w:val="20"/>
                <w:lang w:eastAsia="en-GB"/>
              </w:rPr>
            </w:pPr>
            <w:r w:rsidRPr="00813ACC">
              <w:rPr>
                <w:rFonts w:ascii="Times New Roman" w:hAnsi="Times New Roman" w:cs="Times New Roman"/>
                <w:sz w:val="20"/>
                <w:szCs w:val="20"/>
              </w:rPr>
              <w:t xml:space="preserve">Model M5: H1 –Full mediation; H2 – Partial mediation </w:t>
            </w:r>
          </w:p>
        </w:tc>
        <w:tc>
          <w:tcPr>
            <w:tcW w:w="1250" w:type="dxa"/>
            <w:tcBorders>
              <w:top w:val="double" w:sz="4" w:space="0" w:color="auto"/>
            </w:tcBorders>
          </w:tcPr>
          <w:p w14:paraId="4C091DC2" w14:textId="77777777" w:rsidR="00B0657A" w:rsidRPr="00813ACC" w:rsidRDefault="00B0657A" w:rsidP="00141231">
            <w:pPr>
              <w:pStyle w:val="NoSpacing"/>
              <w:rPr>
                <w:rFonts w:ascii="Times New Roman" w:hAnsi="Times New Roman" w:cs="Times New Roman"/>
                <w:sz w:val="20"/>
                <w:szCs w:val="20"/>
              </w:rPr>
            </w:pPr>
          </w:p>
        </w:tc>
        <w:tc>
          <w:tcPr>
            <w:tcW w:w="1125" w:type="dxa"/>
            <w:tcBorders>
              <w:top w:val="double" w:sz="4" w:space="0" w:color="auto"/>
            </w:tcBorders>
          </w:tcPr>
          <w:p w14:paraId="14C76D27" w14:textId="77777777" w:rsidR="00B0657A" w:rsidRPr="00813ACC" w:rsidRDefault="00B0657A" w:rsidP="00141231">
            <w:pPr>
              <w:pStyle w:val="NoSpacing"/>
              <w:rPr>
                <w:rFonts w:ascii="Times New Roman" w:hAnsi="Times New Roman" w:cs="Times New Roman"/>
                <w:sz w:val="20"/>
                <w:szCs w:val="20"/>
              </w:rPr>
            </w:pPr>
          </w:p>
        </w:tc>
        <w:tc>
          <w:tcPr>
            <w:tcW w:w="986" w:type="dxa"/>
            <w:tcBorders>
              <w:top w:val="double" w:sz="4" w:space="0" w:color="auto"/>
            </w:tcBorders>
          </w:tcPr>
          <w:p w14:paraId="41B32432" w14:textId="77777777" w:rsidR="00B0657A" w:rsidRPr="00813ACC" w:rsidRDefault="00B0657A" w:rsidP="00141231">
            <w:pPr>
              <w:pStyle w:val="NoSpacing"/>
              <w:rPr>
                <w:rFonts w:ascii="Times New Roman" w:hAnsi="Times New Roman" w:cs="Times New Roman"/>
                <w:sz w:val="20"/>
                <w:szCs w:val="20"/>
              </w:rPr>
            </w:pPr>
          </w:p>
        </w:tc>
        <w:tc>
          <w:tcPr>
            <w:tcW w:w="847" w:type="dxa"/>
            <w:tcBorders>
              <w:top w:val="double" w:sz="4" w:space="0" w:color="auto"/>
            </w:tcBorders>
          </w:tcPr>
          <w:p w14:paraId="10806064"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101BF59D" w14:textId="77777777" w:rsidTr="000E3CB6">
        <w:tc>
          <w:tcPr>
            <w:tcW w:w="5285" w:type="dxa"/>
          </w:tcPr>
          <w:p w14:paraId="6F82F99B" w14:textId="77777777" w:rsidR="00B0657A" w:rsidRPr="00813ACC" w:rsidRDefault="00B0657A" w:rsidP="00141231">
            <w:pPr>
              <w:pStyle w:val="NoSpacing"/>
              <w:rPr>
                <w:rFonts w:ascii="Times New Roman" w:hAnsi="Times New Roman" w:cs="Times New Roman"/>
                <w:i/>
                <w:noProof/>
                <w:sz w:val="20"/>
                <w:szCs w:val="20"/>
                <w:lang w:eastAsia="en-GB"/>
              </w:rPr>
            </w:pPr>
            <w:r w:rsidRPr="00813ACC">
              <w:rPr>
                <w:rFonts w:ascii="Times New Roman" w:hAnsi="Times New Roman" w:cs="Times New Roman"/>
                <w:i/>
                <w:noProof/>
                <w:sz w:val="20"/>
                <w:szCs w:val="20"/>
                <w:lang w:eastAsia="en-GB"/>
              </w:rPr>
              <w:t xml:space="preserve">Direct Effects </w:t>
            </w:r>
          </w:p>
        </w:tc>
        <w:tc>
          <w:tcPr>
            <w:tcW w:w="1250" w:type="dxa"/>
          </w:tcPr>
          <w:p w14:paraId="0EAE9032" w14:textId="77777777" w:rsidR="00B0657A" w:rsidRPr="00813ACC" w:rsidRDefault="00B0657A" w:rsidP="00141231">
            <w:pPr>
              <w:pStyle w:val="NoSpacing"/>
              <w:rPr>
                <w:rFonts w:ascii="Times New Roman" w:hAnsi="Times New Roman" w:cs="Times New Roman"/>
                <w:sz w:val="20"/>
                <w:szCs w:val="20"/>
              </w:rPr>
            </w:pPr>
          </w:p>
        </w:tc>
        <w:tc>
          <w:tcPr>
            <w:tcW w:w="1125" w:type="dxa"/>
          </w:tcPr>
          <w:p w14:paraId="59DE7C65" w14:textId="77777777" w:rsidR="00B0657A" w:rsidRPr="00813ACC" w:rsidRDefault="00B0657A" w:rsidP="00141231">
            <w:pPr>
              <w:pStyle w:val="NoSpacing"/>
              <w:rPr>
                <w:rFonts w:ascii="Times New Roman" w:hAnsi="Times New Roman" w:cs="Times New Roman"/>
                <w:sz w:val="20"/>
                <w:szCs w:val="20"/>
              </w:rPr>
            </w:pPr>
          </w:p>
        </w:tc>
        <w:tc>
          <w:tcPr>
            <w:tcW w:w="986" w:type="dxa"/>
          </w:tcPr>
          <w:p w14:paraId="47570B4D" w14:textId="77777777" w:rsidR="00B0657A" w:rsidRPr="00813ACC" w:rsidRDefault="00B0657A" w:rsidP="00141231">
            <w:pPr>
              <w:pStyle w:val="NoSpacing"/>
              <w:rPr>
                <w:rFonts w:ascii="Times New Roman" w:hAnsi="Times New Roman" w:cs="Times New Roman"/>
                <w:sz w:val="20"/>
                <w:szCs w:val="20"/>
              </w:rPr>
            </w:pPr>
          </w:p>
        </w:tc>
        <w:tc>
          <w:tcPr>
            <w:tcW w:w="847" w:type="dxa"/>
          </w:tcPr>
          <w:p w14:paraId="7159764A"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2EC4E820" w14:textId="77777777" w:rsidTr="000E3CB6">
        <w:tc>
          <w:tcPr>
            <w:tcW w:w="5285" w:type="dxa"/>
          </w:tcPr>
          <w:p w14:paraId="1BAA3DE9"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4016" behindDoc="0" locked="0" layoutInCell="1" allowOverlap="1" wp14:anchorId="57B6707C" wp14:editId="0D062E06">
                      <wp:simplePos x="0" y="0"/>
                      <wp:positionH relativeFrom="column">
                        <wp:posOffset>874219</wp:posOffset>
                      </wp:positionH>
                      <wp:positionV relativeFrom="paragraph">
                        <wp:posOffset>59055</wp:posOffset>
                      </wp:positionV>
                      <wp:extent cx="542925" cy="9525"/>
                      <wp:effectExtent l="0" t="50800" r="0" b="79375"/>
                      <wp:wrapNone/>
                      <wp:docPr id="39" name="Straight Arrow Connector 39"/>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5CBF4169" id="Straight Arrow Connector 39" o:spid="_x0000_s1026" type="#_x0000_t32" style="position:absolute;margin-left:68.85pt;margin-top:4.65pt;width:42.75pt;height:.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" strokecolor="black [3213]" strokeweight=".5pt">
                      <v:stroke endarrow="block" joinstyle="miter"/>
                    </v:shape>
                  </w:pict>
                </mc:Fallback>
              </mc:AlternateContent>
            </w:r>
            <w:r w:rsidRPr="00813ACC">
              <w:rPr>
                <w:rFonts w:ascii="Times New Roman" w:hAnsi="Times New Roman" w:cs="Times New Roman"/>
                <w:sz w:val="20"/>
                <w:szCs w:val="20"/>
              </w:rPr>
              <w:t xml:space="preserve">TTO support                                  TT strategic priority </w:t>
            </w:r>
          </w:p>
        </w:tc>
        <w:tc>
          <w:tcPr>
            <w:tcW w:w="1250" w:type="dxa"/>
          </w:tcPr>
          <w:p w14:paraId="6D15DE1F"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0.4</w:t>
            </w:r>
            <w:r>
              <w:rPr>
                <w:rFonts w:ascii="Times New Roman" w:hAnsi="Times New Roman" w:cs="Times New Roman"/>
                <w:sz w:val="20"/>
                <w:szCs w:val="20"/>
              </w:rPr>
              <w:t>08</w:t>
            </w:r>
            <w:r w:rsidRPr="00813ACC">
              <w:rPr>
                <w:rFonts w:ascii="Times New Roman" w:hAnsi="Times New Roman" w:cs="Times New Roman"/>
                <w:sz w:val="20"/>
                <w:szCs w:val="20"/>
              </w:rPr>
              <w:t>**</w:t>
            </w:r>
          </w:p>
        </w:tc>
        <w:tc>
          <w:tcPr>
            <w:tcW w:w="1125" w:type="dxa"/>
          </w:tcPr>
          <w:p w14:paraId="7AF73A3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196</w:t>
            </w:r>
          </w:p>
        </w:tc>
        <w:tc>
          <w:tcPr>
            <w:tcW w:w="986" w:type="dxa"/>
          </w:tcPr>
          <w:p w14:paraId="7981C3B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0.6</w:t>
            </w:r>
            <w:r>
              <w:rPr>
                <w:rFonts w:ascii="Times New Roman" w:hAnsi="Times New Roman" w:cs="Times New Roman"/>
                <w:sz w:val="20"/>
                <w:szCs w:val="20"/>
              </w:rPr>
              <w:t>00</w:t>
            </w:r>
          </w:p>
        </w:tc>
        <w:tc>
          <w:tcPr>
            <w:tcW w:w="847" w:type="dxa"/>
          </w:tcPr>
          <w:p w14:paraId="023E656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0.00</w:t>
            </w:r>
            <w:r>
              <w:rPr>
                <w:rFonts w:ascii="Times New Roman" w:hAnsi="Times New Roman" w:cs="Times New Roman"/>
                <w:sz w:val="20"/>
                <w:szCs w:val="20"/>
              </w:rPr>
              <w:t>3</w:t>
            </w:r>
          </w:p>
        </w:tc>
      </w:tr>
      <w:tr w:rsidR="00B0657A" w:rsidRPr="00813ACC" w14:paraId="7DF3B997" w14:textId="77777777" w:rsidTr="000E3CB6">
        <w:tc>
          <w:tcPr>
            <w:tcW w:w="5285" w:type="dxa"/>
          </w:tcPr>
          <w:p w14:paraId="5309E6F2" w14:textId="77777777" w:rsidR="00B0657A" w:rsidRPr="00813ACC" w:rsidRDefault="00B0657A" w:rsidP="00141231">
            <w:pPr>
              <w:pStyle w:val="NoSpacing"/>
              <w:rPr>
                <w:rFonts w:ascii="Times New Roman" w:hAnsi="Times New Roman" w:cs="Times New Roman"/>
                <w:noProof/>
                <w:sz w:val="20"/>
                <w:szCs w:val="20"/>
                <w:lang w:eastAsia="en-GB"/>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5040" behindDoc="0" locked="0" layoutInCell="1" allowOverlap="1" wp14:anchorId="41206203" wp14:editId="125CF205">
                      <wp:simplePos x="0" y="0"/>
                      <wp:positionH relativeFrom="column">
                        <wp:posOffset>868248</wp:posOffset>
                      </wp:positionH>
                      <wp:positionV relativeFrom="paragraph">
                        <wp:posOffset>73025</wp:posOffset>
                      </wp:positionV>
                      <wp:extent cx="542925" cy="9525"/>
                      <wp:effectExtent l="0" t="50800" r="0" b="79375"/>
                      <wp:wrapNone/>
                      <wp:docPr id="40" name="Straight Arrow Connector 40"/>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7DFCF5B3" id="Straight Arrow Connector 40" o:spid="_x0000_s1026" type="#_x0000_t32" style="position:absolute;margin-left:68.35pt;margin-top:5.75pt;width:42.75pt;height:.7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" strokecolor="black [3213]" strokeweight=".5pt">
                      <v:stroke endarrow="block" joinstyle="miter"/>
                    </v:shape>
                  </w:pict>
                </mc:Fallback>
              </mc:AlternateContent>
            </w:r>
            <w:r w:rsidRPr="00813ACC">
              <w:rPr>
                <w:rFonts w:ascii="Times New Roman" w:hAnsi="Times New Roman" w:cs="Times New Roman"/>
                <w:sz w:val="20"/>
                <w:szCs w:val="20"/>
              </w:rPr>
              <w:t xml:space="preserve">TTO support                                 TT effectiveness </w:t>
            </w:r>
          </w:p>
        </w:tc>
        <w:tc>
          <w:tcPr>
            <w:tcW w:w="1250" w:type="dxa"/>
          </w:tcPr>
          <w:p w14:paraId="3DEDC22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w:t>
            </w:r>
          </w:p>
        </w:tc>
        <w:tc>
          <w:tcPr>
            <w:tcW w:w="1125" w:type="dxa"/>
          </w:tcPr>
          <w:p w14:paraId="653E561D" w14:textId="77777777" w:rsidR="00B0657A" w:rsidRPr="00813ACC" w:rsidRDefault="00B0657A" w:rsidP="00141231">
            <w:pPr>
              <w:pStyle w:val="NoSpacing"/>
              <w:rPr>
                <w:rFonts w:ascii="Times New Roman" w:hAnsi="Times New Roman" w:cs="Times New Roman"/>
                <w:sz w:val="20"/>
                <w:szCs w:val="20"/>
              </w:rPr>
            </w:pPr>
          </w:p>
        </w:tc>
        <w:tc>
          <w:tcPr>
            <w:tcW w:w="986" w:type="dxa"/>
          </w:tcPr>
          <w:p w14:paraId="237A91B8" w14:textId="77777777" w:rsidR="00B0657A" w:rsidRPr="00813ACC" w:rsidRDefault="00B0657A" w:rsidP="00141231">
            <w:pPr>
              <w:pStyle w:val="NoSpacing"/>
              <w:rPr>
                <w:rFonts w:ascii="Times New Roman" w:hAnsi="Times New Roman" w:cs="Times New Roman"/>
                <w:sz w:val="20"/>
                <w:szCs w:val="20"/>
              </w:rPr>
            </w:pPr>
          </w:p>
        </w:tc>
        <w:tc>
          <w:tcPr>
            <w:tcW w:w="847" w:type="dxa"/>
          </w:tcPr>
          <w:p w14:paraId="30350B00"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1E58BC34" w14:textId="77777777" w:rsidTr="000E3CB6">
        <w:tc>
          <w:tcPr>
            <w:tcW w:w="5285" w:type="dxa"/>
          </w:tcPr>
          <w:p w14:paraId="0A23D7B6"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6064" behindDoc="0" locked="0" layoutInCell="1" allowOverlap="1" wp14:anchorId="12BD76FF" wp14:editId="098ACB90">
                      <wp:simplePos x="0" y="0"/>
                      <wp:positionH relativeFrom="column">
                        <wp:posOffset>908050</wp:posOffset>
                      </wp:positionH>
                      <wp:positionV relativeFrom="paragraph">
                        <wp:posOffset>93980</wp:posOffset>
                      </wp:positionV>
                      <wp:extent cx="542925" cy="9525"/>
                      <wp:effectExtent l="0" t="57150" r="28575" b="85725"/>
                      <wp:wrapNone/>
                      <wp:docPr id="41" name="Straight Arrow Connector 41"/>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43E54702" id="Straight Arrow Connector 41" o:spid="_x0000_s1026" type="#_x0000_t32" style="position:absolute;margin-left:71.5pt;margin-top:7.4pt;width:42.75pt;height:.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" strokecolor="black [3213]" strokeweight=".5pt">
                      <v:stroke endarrow="block" joinstyle="miter"/>
                    </v:shape>
                  </w:pict>
                </mc:Fallback>
              </mc:AlternateContent>
            </w:r>
            <w:r w:rsidRPr="00813ACC">
              <w:rPr>
                <w:rFonts w:ascii="Times New Roman" w:hAnsi="Times New Roman" w:cs="Times New Roman"/>
                <w:sz w:val="20"/>
                <w:szCs w:val="20"/>
              </w:rPr>
              <w:t xml:space="preserve">Incentivising                           TT strategic priority </w:t>
            </w:r>
          </w:p>
        </w:tc>
        <w:tc>
          <w:tcPr>
            <w:tcW w:w="1250" w:type="dxa"/>
          </w:tcPr>
          <w:p w14:paraId="1C170C5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0.2</w:t>
            </w:r>
            <w:r>
              <w:rPr>
                <w:rFonts w:ascii="Times New Roman" w:hAnsi="Times New Roman" w:cs="Times New Roman"/>
                <w:sz w:val="20"/>
                <w:szCs w:val="20"/>
              </w:rPr>
              <w:t>82</w:t>
            </w:r>
            <w:r w:rsidRPr="00813ACC">
              <w:rPr>
                <w:rFonts w:ascii="Times New Roman" w:hAnsi="Times New Roman" w:cs="Times New Roman"/>
                <w:sz w:val="20"/>
                <w:szCs w:val="20"/>
              </w:rPr>
              <w:t>^</w:t>
            </w:r>
          </w:p>
        </w:tc>
        <w:tc>
          <w:tcPr>
            <w:tcW w:w="1125" w:type="dxa"/>
          </w:tcPr>
          <w:p w14:paraId="3B41AB1E"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w:t>
            </w:r>
            <w:r>
              <w:rPr>
                <w:rFonts w:ascii="Times New Roman" w:hAnsi="Times New Roman" w:cs="Times New Roman"/>
                <w:sz w:val="20"/>
                <w:szCs w:val="20"/>
              </w:rPr>
              <w:t>39</w:t>
            </w:r>
          </w:p>
        </w:tc>
        <w:tc>
          <w:tcPr>
            <w:tcW w:w="986" w:type="dxa"/>
          </w:tcPr>
          <w:p w14:paraId="614E703E"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0.5</w:t>
            </w:r>
            <w:r>
              <w:rPr>
                <w:rFonts w:ascii="Times New Roman" w:hAnsi="Times New Roman" w:cs="Times New Roman"/>
                <w:sz w:val="20"/>
                <w:szCs w:val="20"/>
              </w:rPr>
              <w:t>27</w:t>
            </w:r>
          </w:p>
        </w:tc>
        <w:tc>
          <w:tcPr>
            <w:tcW w:w="847" w:type="dxa"/>
          </w:tcPr>
          <w:p w14:paraId="1934EC44"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0.07</w:t>
            </w:r>
            <w:r>
              <w:rPr>
                <w:rFonts w:ascii="Times New Roman" w:hAnsi="Times New Roman" w:cs="Times New Roman"/>
                <w:sz w:val="20"/>
                <w:szCs w:val="20"/>
              </w:rPr>
              <w:t>1</w:t>
            </w:r>
          </w:p>
        </w:tc>
      </w:tr>
      <w:tr w:rsidR="00B0657A" w:rsidRPr="00813ACC" w14:paraId="54D6C681" w14:textId="77777777" w:rsidTr="000E3CB6">
        <w:tc>
          <w:tcPr>
            <w:tcW w:w="5285" w:type="dxa"/>
          </w:tcPr>
          <w:p w14:paraId="4D38E604" w14:textId="77777777" w:rsidR="00B0657A" w:rsidRPr="00813ACC" w:rsidRDefault="00B0657A" w:rsidP="00141231">
            <w:pPr>
              <w:pStyle w:val="NoSpacing"/>
              <w:rPr>
                <w:rFonts w:ascii="Times New Roman" w:hAnsi="Times New Roman" w:cs="Times New Roman"/>
                <w:noProof/>
                <w:sz w:val="20"/>
                <w:szCs w:val="20"/>
                <w:lang w:eastAsia="en-GB"/>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7088" behindDoc="0" locked="0" layoutInCell="1" allowOverlap="1" wp14:anchorId="2CB00C42" wp14:editId="78D31B9C">
                      <wp:simplePos x="0" y="0"/>
                      <wp:positionH relativeFrom="column">
                        <wp:posOffset>936625</wp:posOffset>
                      </wp:positionH>
                      <wp:positionV relativeFrom="paragraph">
                        <wp:posOffset>83820</wp:posOffset>
                      </wp:positionV>
                      <wp:extent cx="542925" cy="9525"/>
                      <wp:effectExtent l="0" t="57150" r="28575" b="85725"/>
                      <wp:wrapNone/>
                      <wp:docPr id="42" name="Straight Arrow Connector 42"/>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28F55C76" id="Straight Arrow Connector 42" o:spid="_x0000_s1026" type="#_x0000_t32" style="position:absolute;margin-left:73.75pt;margin-top:6.6pt;width:42.75pt;height:.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" strokecolor="black [3213]" strokeweight=".5pt">
                      <v:stroke endarrow="block" joinstyle="miter"/>
                    </v:shape>
                  </w:pict>
                </mc:Fallback>
              </mc:AlternateContent>
            </w:r>
            <w:r w:rsidRPr="00813ACC">
              <w:rPr>
                <w:rFonts w:ascii="Times New Roman" w:hAnsi="Times New Roman" w:cs="Times New Roman"/>
                <w:sz w:val="20"/>
                <w:szCs w:val="20"/>
              </w:rPr>
              <w:t>Incentivising                           TT effectiveness</w:t>
            </w:r>
          </w:p>
        </w:tc>
        <w:tc>
          <w:tcPr>
            <w:tcW w:w="1250" w:type="dxa"/>
          </w:tcPr>
          <w:p w14:paraId="1ADCFA1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-0.1</w:t>
            </w:r>
            <w:r>
              <w:rPr>
                <w:rFonts w:ascii="Times New Roman" w:hAnsi="Times New Roman" w:cs="Times New Roman"/>
                <w:sz w:val="20"/>
                <w:szCs w:val="20"/>
              </w:rPr>
              <w:t>27</w:t>
            </w:r>
          </w:p>
        </w:tc>
        <w:tc>
          <w:tcPr>
            <w:tcW w:w="1125" w:type="dxa"/>
          </w:tcPr>
          <w:p w14:paraId="2A737856"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-0.3</w:t>
            </w:r>
            <w:r>
              <w:rPr>
                <w:rFonts w:ascii="Times New Roman" w:hAnsi="Times New Roman" w:cs="Times New Roman"/>
                <w:sz w:val="20"/>
                <w:szCs w:val="20"/>
              </w:rPr>
              <w:t>91</w:t>
            </w:r>
          </w:p>
        </w:tc>
        <w:tc>
          <w:tcPr>
            <w:tcW w:w="986" w:type="dxa"/>
          </w:tcPr>
          <w:p w14:paraId="2ADC3A42"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0.11</w:t>
            </w:r>
            <w:r>
              <w:rPr>
                <w:rFonts w:ascii="Times New Roman" w:hAnsi="Times New Roman" w:cs="Times New Roman"/>
                <w:sz w:val="20"/>
                <w:szCs w:val="20"/>
              </w:rPr>
              <w:t>9</w:t>
            </w:r>
          </w:p>
        </w:tc>
        <w:tc>
          <w:tcPr>
            <w:tcW w:w="847" w:type="dxa"/>
          </w:tcPr>
          <w:p w14:paraId="5DB3C699"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0.3</w:t>
            </w:r>
            <w:r>
              <w:rPr>
                <w:rFonts w:ascii="Times New Roman" w:hAnsi="Times New Roman" w:cs="Times New Roman"/>
                <w:sz w:val="20"/>
                <w:szCs w:val="20"/>
              </w:rPr>
              <w:t>34</w:t>
            </w:r>
          </w:p>
        </w:tc>
      </w:tr>
      <w:tr w:rsidR="00B0657A" w:rsidRPr="00813ACC" w14:paraId="57C9A302" w14:textId="77777777" w:rsidTr="000E3CB6">
        <w:tc>
          <w:tcPr>
            <w:tcW w:w="5285" w:type="dxa"/>
          </w:tcPr>
          <w:p w14:paraId="4E8A246B"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8112" behindDoc="0" locked="0" layoutInCell="1" allowOverlap="1" wp14:anchorId="55D7357E" wp14:editId="3C2C0C7F">
                      <wp:simplePos x="0" y="0"/>
                      <wp:positionH relativeFrom="column">
                        <wp:posOffset>1190422</wp:posOffset>
                      </wp:positionH>
                      <wp:positionV relativeFrom="paragraph">
                        <wp:posOffset>99060</wp:posOffset>
                      </wp:positionV>
                      <wp:extent cx="542925" cy="9525"/>
                      <wp:effectExtent l="0" t="50800" r="0" b="79375"/>
                      <wp:wrapNone/>
                      <wp:docPr id="43" name="Straight Arrow Connector 43"/>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0C56A45B" id="Straight Arrow Connector 43" o:spid="_x0000_s1026" type="#_x0000_t32" style="position:absolute;margin-left:93.75pt;margin-top:7.8pt;width:42.75pt;height:.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" strokecolor="black [3213]" strokeweight=".5pt">
                      <v:stroke endarrow="block" joinstyle="miter"/>
                    </v:shape>
                  </w:pict>
                </mc:Fallback>
              </mc:AlternateContent>
            </w:r>
            <w:r w:rsidRPr="00813ACC">
              <w:rPr>
                <w:rFonts w:ascii="Times New Roman" w:hAnsi="Times New Roman" w:cs="Times New Roman"/>
                <w:sz w:val="20"/>
                <w:szCs w:val="20"/>
              </w:rPr>
              <w:t xml:space="preserve">TT strategic priority                            TT effectiveness </w:t>
            </w:r>
          </w:p>
        </w:tc>
        <w:tc>
          <w:tcPr>
            <w:tcW w:w="1250" w:type="dxa"/>
          </w:tcPr>
          <w:p w14:paraId="24A409BE"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658</w:t>
            </w:r>
            <w:r w:rsidRPr="00813ACC">
              <w:rPr>
                <w:rFonts w:ascii="Times New Roman" w:hAnsi="Times New Roman" w:cs="Times New Roman"/>
                <w:sz w:val="20"/>
                <w:szCs w:val="20"/>
              </w:rPr>
              <w:t>**</w:t>
            </w:r>
          </w:p>
        </w:tc>
        <w:tc>
          <w:tcPr>
            <w:tcW w:w="1125" w:type="dxa"/>
          </w:tcPr>
          <w:p w14:paraId="441694F1"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0.3</w:t>
            </w:r>
            <w:r>
              <w:rPr>
                <w:rFonts w:ascii="Times New Roman" w:hAnsi="Times New Roman" w:cs="Times New Roman"/>
                <w:sz w:val="20"/>
                <w:szCs w:val="20"/>
              </w:rPr>
              <w:t>51</w:t>
            </w:r>
          </w:p>
        </w:tc>
        <w:tc>
          <w:tcPr>
            <w:tcW w:w="986" w:type="dxa"/>
          </w:tcPr>
          <w:p w14:paraId="315CB000"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0.9</w:t>
            </w:r>
            <w:r>
              <w:rPr>
                <w:rFonts w:ascii="Times New Roman" w:hAnsi="Times New Roman" w:cs="Times New Roman"/>
                <w:sz w:val="20"/>
                <w:szCs w:val="20"/>
              </w:rPr>
              <w:t>47</w:t>
            </w:r>
          </w:p>
        </w:tc>
        <w:tc>
          <w:tcPr>
            <w:tcW w:w="847" w:type="dxa"/>
          </w:tcPr>
          <w:p w14:paraId="4BD8D0A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0.00</w:t>
            </w:r>
            <w:r>
              <w:rPr>
                <w:rFonts w:ascii="Times New Roman" w:hAnsi="Times New Roman" w:cs="Times New Roman"/>
                <w:sz w:val="20"/>
                <w:szCs w:val="20"/>
              </w:rPr>
              <w:t>3</w:t>
            </w:r>
          </w:p>
        </w:tc>
      </w:tr>
      <w:tr w:rsidR="00B0657A" w:rsidRPr="00813ACC" w14:paraId="05669CFE" w14:textId="77777777" w:rsidTr="000E3CB6">
        <w:tc>
          <w:tcPr>
            <w:tcW w:w="5285" w:type="dxa"/>
            <w:tcBorders>
              <w:bottom w:val="double" w:sz="4" w:space="0" w:color="auto"/>
            </w:tcBorders>
          </w:tcPr>
          <w:p w14:paraId="6D7F65BB" w14:textId="77777777" w:rsidR="00B0657A" w:rsidRPr="00813ACC" w:rsidRDefault="00B0657A" w:rsidP="00141231">
            <w:pPr>
              <w:pStyle w:val="NoSpacing"/>
              <w:rPr>
                <w:rFonts w:ascii="Times New Roman" w:hAnsi="Times New Roman" w:cs="Times New Roman"/>
                <w:i/>
                <w:noProof/>
                <w:sz w:val="20"/>
                <w:szCs w:val="20"/>
                <w:lang w:eastAsia="en-GB"/>
              </w:rPr>
            </w:pPr>
            <w:r w:rsidRPr="00813ACC">
              <w:rPr>
                <w:rFonts w:ascii="Times New Roman" w:hAnsi="Times New Roman" w:cs="Times New Roman"/>
                <w:i/>
                <w:noProof/>
                <w:sz w:val="20"/>
                <w:szCs w:val="20"/>
                <w:lang w:eastAsia="en-GB"/>
              </w:rPr>
              <w:t xml:space="preserve">Indirect Effects </w:t>
            </w:r>
          </w:p>
        </w:tc>
        <w:tc>
          <w:tcPr>
            <w:tcW w:w="1250" w:type="dxa"/>
            <w:tcBorders>
              <w:bottom w:val="double" w:sz="4" w:space="0" w:color="auto"/>
            </w:tcBorders>
          </w:tcPr>
          <w:p w14:paraId="4B6EA740" w14:textId="77777777" w:rsidR="00B0657A" w:rsidRPr="00813ACC" w:rsidRDefault="00B0657A" w:rsidP="00141231">
            <w:pPr>
              <w:pStyle w:val="NoSpacing"/>
              <w:rPr>
                <w:rFonts w:ascii="Times New Roman" w:hAnsi="Times New Roman" w:cs="Times New Roman"/>
                <w:sz w:val="20"/>
                <w:szCs w:val="20"/>
              </w:rPr>
            </w:pPr>
          </w:p>
        </w:tc>
        <w:tc>
          <w:tcPr>
            <w:tcW w:w="1125" w:type="dxa"/>
            <w:tcBorders>
              <w:bottom w:val="double" w:sz="4" w:space="0" w:color="auto"/>
            </w:tcBorders>
          </w:tcPr>
          <w:p w14:paraId="6F1326E0" w14:textId="77777777" w:rsidR="00B0657A" w:rsidRPr="00813ACC" w:rsidRDefault="00B0657A" w:rsidP="00141231">
            <w:pPr>
              <w:pStyle w:val="NoSpacing"/>
              <w:rPr>
                <w:rFonts w:ascii="Times New Roman" w:hAnsi="Times New Roman" w:cs="Times New Roman"/>
                <w:sz w:val="20"/>
                <w:szCs w:val="20"/>
              </w:rPr>
            </w:pPr>
          </w:p>
        </w:tc>
        <w:tc>
          <w:tcPr>
            <w:tcW w:w="986" w:type="dxa"/>
            <w:tcBorders>
              <w:bottom w:val="double" w:sz="4" w:space="0" w:color="auto"/>
            </w:tcBorders>
          </w:tcPr>
          <w:p w14:paraId="4CC75D67" w14:textId="77777777" w:rsidR="00B0657A" w:rsidRPr="00813ACC" w:rsidRDefault="00B0657A" w:rsidP="00141231">
            <w:pPr>
              <w:pStyle w:val="NoSpacing"/>
              <w:rPr>
                <w:rFonts w:ascii="Times New Roman" w:hAnsi="Times New Roman" w:cs="Times New Roman"/>
                <w:sz w:val="20"/>
                <w:szCs w:val="20"/>
              </w:rPr>
            </w:pPr>
          </w:p>
        </w:tc>
        <w:tc>
          <w:tcPr>
            <w:tcW w:w="847" w:type="dxa"/>
            <w:tcBorders>
              <w:bottom w:val="double" w:sz="4" w:space="0" w:color="auto"/>
            </w:tcBorders>
          </w:tcPr>
          <w:p w14:paraId="17572657"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6A201236" w14:textId="77777777" w:rsidTr="000E3CB6">
        <w:tc>
          <w:tcPr>
            <w:tcW w:w="5285" w:type="dxa"/>
            <w:tcBorders>
              <w:top w:val="double" w:sz="4" w:space="0" w:color="auto"/>
            </w:tcBorders>
          </w:tcPr>
          <w:p w14:paraId="4CA17764"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39136" behindDoc="0" locked="0" layoutInCell="1" allowOverlap="1" wp14:anchorId="00E8494B" wp14:editId="6A507DF6">
                      <wp:simplePos x="0" y="0"/>
                      <wp:positionH relativeFrom="column">
                        <wp:posOffset>948055</wp:posOffset>
                      </wp:positionH>
                      <wp:positionV relativeFrom="paragraph">
                        <wp:posOffset>53772</wp:posOffset>
                      </wp:positionV>
                      <wp:extent cx="542925" cy="9525"/>
                      <wp:effectExtent l="0" t="50800" r="0" b="79375"/>
                      <wp:wrapNone/>
                      <wp:docPr id="44" name="Straight Arrow Connector 44"/>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0607442B" id="Straight Arrow Connector 44" o:spid="_x0000_s1026" type="#_x0000_t32" style="position:absolute;margin-left:74.65pt;margin-top:4.25pt;width:42.75pt;height:.7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" strokecolor="black [3213]" strokeweight=".5pt">
                      <v:stroke endarrow="block" joinstyle="miter"/>
                    </v:shape>
                  </w:pict>
                </mc:Fallback>
              </mc:AlternateContent>
            </w:r>
            <w:r w:rsidRPr="00813ACC">
              <w:rPr>
                <w:rFonts w:ascii="Times New Roman" w:hAnsi="Times New Roman" w:cs="Times New Roman"/>
                <w:sz w:val="20"/>
                <w:szCs w:val="20"/>
              </w:rPr>
              <w:t xml:space="preserve"> TTO Support                                 TT effectiveness</w:t>
            </w:r>
          </w:p>
        </w:tc>
        <w:tc>
          <w:tcPr>
            <w:tcW w:w="1250" w:type="dxa"/>
            <w:tcBorders>
              <w:top w:val="double" w:sz="4" w:space="0" w:color="auto"/>
            </w:tcBorders>
          </w:tcPr>
          <w:p w14:paraId="696E1D3A"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0.3</w:t>
            </w:r>
            <w:r>
              <w:rPr>
                <w:rFonts w:ascii="Times New Roman" w:hAnsi="Times New Roman" w:cs="Times New Roman"/>
                <w:sz w:val="20"/>
                <w:szCs w:val="20"/>
              </w:rPr>
              <w:t>34</w:t>
            </w:r>
            <w:r w:rsidRPr="00813ACC">
              <w:rPr>
                <w:rFonts w:ascii="Times New Roman" w:hAnsi="Times New Roman" w:cs="Times New Roman"/>
                <w:sz w:val="20"/>
                <w:szCs w:val="20"/>
              </w:rPr>
              <w:t>***</w:t>
            </w:r>
          </w:p>
        </w:tc>
        <w:tc>
          <w:tcPr>
            <w:tcW w:w="1125" w:type="dxa"/>
            <w:tcBorders>
              <w:top w:val="double" w:sz="4" w:space="0" w:color="auto"/>
            </w:tcBorders>
          </w:tcPr>
          <w:p w14:paraId="40643B79"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0.1</w:t>
            </w:r>
            <w:r>
              <w:rPr>
                <w:rFonts w:ascii="Times New Roman" w:hAnsi="Times New Roman" w:cs="Times New Roman"/>
                <w:sz w:val="20"/>
                <w:szCs w:val="20"/>
              </w:rPr>
              <w:t>67</w:t>
            </w:r>
          </w:p>
        </w:tc>
        <w:tc>
          <w:tcPr>
            <w:tcW w:w="986" w:type="dxa"/>
            <w:tcBorders>
              <w:top w:val="double" w:sz="4" w:space="0" w:color="auto"/>
            </w:tcBorders>
          </w:tcPr>
          <w:p w14:paraId="604A5F08"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0.4</w:t>
            </w:r>
            <w:r>
              <w:rPr>
                <w:rFonts w:ascii="Times New Roman" w:hAnsi="Times New Roman" w:cs="Times New Roman"/>
                <w:sz w:val="20"/>
                <w:szCs w:val="20"/>
              </w:rPr>
              <w:t>81</w:t>
            </w:r>
          </w:p>
        </w:tc>
        <w:tc>
          <w:tcPr>
            <w:tcW w:w="847" w:type="dxa"/>
            <w:tcBorders>
              <w:top w:val="double" w:sz="4" w:space="0" w:color="auto"/>
            </w:tcBorders>
          </w:tcPr>
          <w:p w14:paraId="202C9A16"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0.001</w:t>
            </w:r>
          </w:p>
        </w:tc>
      </w:tr>
      <w:tr w:rsidR="00B0657A" w:rsidRPr="00813ACC" w14:paraId="1FC62AC3" w14:textId="77777777" w:rsidTr="000E3CB6">
        <w:tc>
          <w:tcPr>
            <w:tcW w:w="5285" w:type="dxa"/>
            <w:tcBorders>
              <w:bottom w:val="double" w:sz="4" w:space="0" w:color="auto"/>
            </w:tcBorders>
          </w:tcPr>
          <w:p w14:paraId="6B6781BF" w14:textId="77777777" w:rsidR="00B0657A" w:rsidRPr="00813ACC" w:rsidRDefault="00B0657A" w:rsidP="00141231">
            <w:pPr>
              <w:pStyle w:val="NoSpacing"/>
              <w:rPr>
                <w:rFonts w:ascii="Times New Roman" w:hAnsi="Times New Roman" w:cs="Times New Roman"/>
                <w:sz w:val="20"/>
                <w:szCs w:val="20"/>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40160" behindDoc="0" locked="0" layoutInCell="1" allowOverlap="1" wp14:anchorId="2CFD3DA8" wp14:editId="0A331B91">
                      <wp:simplePos x="0" y="0"/>
                      <wp:positionH relativeFrom="column">
                        <wp:posOffset>831850</wp:posOffset>
                      </wp:positionH>
                      <wp:positionV relativeFrom="paragraph">
                        <wp:posOffset>69012</wp:posOffset>
                      </wp:positionV>
                      <wp:extent cx="542925" cy="9525"/>
                      <wp:effectExtent l="0" t="50800" r="0" b="79375"/>
                      <wp:wrapNone/>
                      <wp:docPr id="45" name="Straight Arrow Connector 45"/>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646C2CF7" id="Straight Arrow Connector 45" o:spid="_x0000_s1026" type="#_x0000_t32" style="position:absolute;margin-left:65.5pt;margin-top:5.45pt;width:42.75pt;height:.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" strokecolor="black [3213]" strokeweight=".5pt">
                      <v:stroke endarrow="block" joinstyle="miter"/>
                    </v:shape>
                  </w:pict>
                </mc:Fallback>
              </mc:AlternateContent>
            </w:r>
            <w:r w:rsidRPr="00813ACC">
              <w:rPr>
                <w:rFonts w:ascii="Times New Roman" w:hAnsi="Times New Roman" w:cs="Times New Roman"/>
                <w:sz w:val="20"/>
                <w:szCs w:val="20"/>
              </w:rPr>
              <w:t xml:space="preserve">Incentivising              </w:t>
            </w:r>
            <w:r w:rsidRPr="00813ACC">
              <w:rPr>
                <w:rFonts w:ascii="Times New Roman" w:hAnsi="Times New Roman" w:cs="Times New Roman"/>
                <w:noProof/>
                <w:sz w:val="20"/>
                <w:szCs w:val="20"/>
                <w:lang w:eastAsia="en-GB"/>
              </w:rPr>
              <w:t xml:space="preserve">             </w:t>
            </w:r>
            <w:r w:rsidRPr="00813ACC">
              <w:rPr>
                <w:rFonts w:ascii="Times New Roman" w:hAnsi="Times New Roman" w:cs="Times New Roman"/>
                <w:sz w:val="20"/>
                <w:szCs w:val="20"/>
              </w:rPr>
              <w:t xml:space="preserve">TT effectiveness </w:t>
            </w:r>
          </w:p>
        </w:tc>
        <w:tc>
          <w:tcPr>
            <w:tcW w:w="1250" w:type="dxa"/>
            <w:tcBorders>
              <w:bottom w:val="double" w:sz="4" w:space="0" w:color="auto"/>
            </w:tcBorders>
          </w:tcPr>
          <w:p w14:paraId="7CE97E4F"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217*</w:t>
            </w:r>
          </w:p>
        </w:tc>
        <w:tc>
          <w:tcPr>
            <w:tcW w:w="1125" w:type="dxa"/>
            <w:tcBorders>
              <w:bottom w:val="double" w:sz="4" w:space="0" w:color="auto"/>
            </w:tcBorders>
          </w:tcPr>
          <w:p w14:paraId="249F9BB4"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w:t>
            </w:r>
            <w:r>
              <w:rPr>
                <w:rFonts w:ascii="Times New Roman" w:hAnsi="Times New Roman" w:cs="Times New Roman"/>
                <w:sz w:val="20"/>
                <w:szCs w:val="20"/>
              </w:rPr>
              <w:t>16</w:t>
            </w:r>
          </w:p>
        </w:tc>
        <w:tc>
          <w:tcPr>
            <w:tcW w:w="986" w:type="dxa"/>
            <w:tcBorders>
              <w:bottom w:val="double" w:sz="4" w:space="0" w:color="auto"/>
            </w:tcBorders>
          </w:tcPr>
          <w:p w14:paraId="1A251DBD"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0.4</w:t>
            </w:r>
            <w:r>
              <w:rPr>
                <w:rFonts w:ascii="Times New Roman" w:hAnsi="Times New Roman" w:cs="Times New Roman"/>
                <w:sz w:val="20"/>
                <w:szCs w:val="20"/>
              </w:rPr>
              <w:t>71</w:t>
            </w:r>
          </w:p>
        </w:tc>
        <w:tc>
          <w:tcPr>
            <w:tcW w:w="847" w:type="dxa"/>
            <w:tcBorders>
              <w:bottom w:val="double" w:sz="4" w:space="0" w:color="auto"/>
            </w:tcBorders>
          </w:tcPr>
          <w:p w14:paraId="1CF28ADE"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0.05</w:t>
            </w:r>
            <w:r>
              <w:rPr>
                <w:rFonts w:ascii="Times New Roman" w:hAnsi="Times New Roman" w:cs="Times New Roman"/>
                <w:sz w:val="20"/>
                <w:szCs w:val="20"/>
              </w:rPr>
              <w:t>0</w:t>
            </w:r>
          </w:p>
        </w:tc>
      </w:tr>
      <w:tr w:rsidR="00B0657A" w:rsidRPr="00813ACC" w14:paraId="0A0437AA" w14:textId="77777777" w:rsidTr="000E3CB6">
        <w:tc>
          <w:tcPr>
            <w:tcW w:w="5285" w:type="dxa"/>
            <w:tcBorders>
              <w:top w:val="double" w:sz="4" w:space="0" w:color="auto"/>
            </w:tcBorders>
          </w:tcPr>
          <w:p w14:paraId="10633297" w14:textId="77777777" w:rsidR="00B0657A" w:rsidRPr="00813ACC" w:rsidRDefault="00B0657A" w:rsidP="00141231">
            <w:pPr>
              <w:pStyle w:val="NoSpacing"/>
              <w:rPr>
                <w:rFonts w:ascii="Times New Roman" w:hAnsi="Times New Roman" w:cs="Times New Roman"/>
                <w:noProof/>
                <w:sz w:val="20"/>
                <w:szCs w:val="20"/>
                <w:lang w:eastAsia="en-GB"/>
              </w:rPr>
            </w:pPr>
            <w:r w:rsidRPr="00813ACC">
              <w:rPr>
                <w:rFonts w:ascii="Times New Roman" w:hAnsi="Times New Roman" w:cs="Times New Roman"/>
                <w:noProof/>
                <w:sz w:val="20"/>
                <w:szCs w:val="20"/>
                <w:lang w:eastAsia="en-GB"/>
              </w:rPr>
              <w:t xml:space="preserve">Model 3 – Partial Mediation Model </w:t>
            </w:r>
            <w:r w:rsidRPr="00813ACC">
              <w:rPr>
                <w:rFonts w:ascii="Times New Roman" w:hAnsi="Times New Roman" w:cs="Times New Roman"/>
                <w:noProof/>
                <w:sz w:val="20"/>
                <w:szCs w:val="20"/>
                <w:vertAlign w:val="superscript"/>
                <w:lang w:eastAsia="en-GB"/>
              </w:rPr>
              <w:t>a</w:t>
            </w:r>
          </w:p>
        </w:tc>
        <w:tc>
          <w:tcPr>
            <w:tcW w:w="1250" w:type="dxa"/>
            <w:tcBorders>
              <w:top w:val="double" w:sz="4" w:space="0" w:color="auto"/>
            </w:tcBorders>
          </w:tcPr>
          <w:p w14:paraId="489883BA" w14:textId="77777777" w:rsidR="00B0657A" w:rsidRPr="00813ACC" w:rsidRDefault="00B0657A" w:rsidP="00141231">
            <w:pPr>
              <w:pStyle w:val="NoSpacing"/>
              <w:rPr>
                <w:rFonts w:ascii="Times New Roman" w:hAnsi="Times New Roman" w:cs="Times New Roman"/>
                <w:sz w:val="20"/>
                <w:szCs w:val="20"/>
              </w:rPr>
            </w:pPr>
          </w:p>
        </w:tc>
        <w:tc>
          <w:tcPr>
            <w:tcW w:w="1125" w:type="dxa"/>
            <w:tcBorders>
              <w:top w:val="double" w:sz="4" w:space="0" w:color="auto"/>
            </w:tcBorders>
          </w:tcPr>
          <w:p w14:paraId="1E024B3E" w14:textId="77777777" w:rsidR="00B0657A" w:rsidRPr="00813ACC" w:rsidRDefault="00B0657A" w:rsidP="00141231">
            <w:pPr>
              <w:pStyle w:val="NoSpacing"/>
              <w:rPr>
                <w:rFonts w:ascii="Times New Roman" w:hAnsi="Times New Roman" w:cs="Times New Roman"/>
                <w:sz w:val="20"/>
                <w:szCs w:val="20"/>
              </w:rPr>
            </w:pPr>
          </w:p>
        </w:tc>
        <w:tc>
          <w:tcPr>
            <w:tcW w:w="986" w:type="dxa"/>
            <w:tcBorders>
              <w:top w:val="double" w:sz="4" w:space="0" w:color="auto"/>
            </w:tcBorders>
          </w:tcPr>
          <w:p w14:paraId="590D46BD" w14:textId="77777777" w:rsidR="00B0657A" w:rsidRPr="00813ACC" w:rsidRDefault="00B0657A" w:rsidP="00141231">
            <w:pPr>
              <w:pStyle w:val="NoSpacing"/>
              <w:rPr>
                <w:rFonts w:ascii="Times New Roman" w:hAnsi="Times New Roman" w:cs="Times New Roman"/>
                <w:sz w:val="20"/>
                <w:szCs w:val="20"/>
              </w:rPr>
            </w:pPr>
          </w:p>
        </w:tc>
        <w:tc>
          <w:tcPr>
            <w:tcW w:w="847" w:type="dxa"/>
            <w:tcBorders>
              <w:top w:val="double" w:sz="4" w:space="0" w:color="auto"/>
            </w:tcBorders>
          </w:tcPr>
          <w:p w14:paraId="6D5FA9DB" w14:textId="77777777" w:rsidR="00B0657A" w:rsidRPr="00813ACC" w:rsidRDefault="00B0657A" w:rsidP="00141231">
            <w:pPr>
              <w:pStyle w:val="NoSpacing"/>
              <w:rPr>
                <w:rFonts w:ascii="Times New Roman" w:hAnsi="Times New Roman" w:cs="Times New Roman"/>
                <w:sz w:val="20"/>
                <w:szCs w:val="20"/>
              </w:rPr>
            </w:pPr>
          </w:p>
        </w:tc>
      </w:tr>
      <w:tr w:rsidR="00B0657A" w:rsidRPr="00813ACC" w14:paraId="7769160C" w14:textId="77777777" w:rsidTr="000E3CB6">
        <w:tc>
          <w:tcPr>
            <w:tcW w:w="5285" w:type="dxa"/>
          </w:tcPr>
          <w:p w14:paraId="5ED82708" w14:textId="77777777" w:rsidR="00B0657A" w:rsidRPr="00813ACC" w:rsidRDefault="00B0657A" w:rsidP="00141231">
            <w:pPr>
              <w:pStyle w:val="NoSpacing"/>
              <w:rPr>
                <w:rFonts w:ascii="Times New Roman" w:hAnsi="Times New Roman" w:cs="Times New Roman"/>
                <w:noProof/>
                <w:sz w:val="20"/>
                <w:szCs w:val="20"/>
                <w:lang w:eastAsia="en-GB"/>
              </w:rPr>
            </w:pPr>
            <w:r w:rsidRPr="008D1FDB">
              <w:rPr>
                <w:rFonts w:ascii="Times New Roman" w:hAnsi="Times New Roman" w:cs="Times New Roman"/>
                <w:noProof/>
                <w:sz w:val="20"/>
                <w:szCs w:val="20"/>
                <w:lang w:eastAsia="en-GB"/>
              </w:rPr>
              <mc:AlternateContent>
                <mc:Choice Requires="wps">
                  <w:drawing>
                    <wp:anchor distT="0" distB="0" distL="114300" distR="114300" simplePos="0" relativeHeight="251741184" behindDoc="0" locked="0" layoutInCell="1" allowOverlap="1" wp14:anchorId="65B552BB" wp14:editId="7833AD97">
                      <wp:simplePos x="0" y="0"/>
                      <wp:positionH relativeFrom="column">
                        <wp:posOffset>1028065</wp:posOffset>
                      </wp:positionH>
                      <wp:positionV relativeFrom="paragraph">
                        <wp:posOffset>65837</wp:posOffset>
                      </wp:positionV>
                      <wp:extent cx="542925" cy="9525"/>
                      <wp:effectExtent l="0" t="50800" r="0" b="79375"/>
                      <wp:wrapNone/>
                      <wp:docPr id="46" name="Straight Arrow Connector 46"/>
                      <wp:cNvGraphicFramePr/>
                      <a:graphic xmlns:a="http://schemas.openxmlformats.org/drawingml/2006/main">
                        <a:graphicData uri="http://schemas.microsoft.com/office/word/2010/wordprocessingShape">
                          <wps:wsp>
                            <wps:cNvCnPr/>
                            <wps:spPr>
                              <a:xfrm>
                                <a:off x="0" y="0"/>
                                <a:ext cx="542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shape w14:anchorId="3EDE08E3" id="Straight Arrow Connector 46" o:spid="_x0000_s1026" type="#_x0000_t32" style="position:absolute;margin-left:80.95pt;margin-top:5.2pt;width:42.75pt;height:.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" strokecolor="black [3213]" strokeweight=".5pt">
                      <v:stroke endarrow="block" joinstyle="miter"/>
                    </v:shape>
                  </w:pict>
                </mc:Fallback>
              </mc:AlternateContent>
            </w:r>
            <w:r w:rsidRPr="00813ACC">
              <w:rPr>
                <w:rFonts w:ascii="Times New Roman" w:hAnsi="Times New Roman" w:cs="Times New Roman"/>
                <w:sz w:val="20"/>
                <w:szCs w:val="20"/>
              </w:rPr>
              <w:t>TTO Support                                  TT effectiveness</w:t>
            </w:r>
          </w:p>
        </w:tc>
        <w:tc>
          <w:tcPr>
            <w:tcW w:w="1250" w:type="dxa"/>
          </w:tcPr>
          <w:p w14:paraId="255E598A" w14:textId="77777777" w:rsidR="00B0657A" w:rsidRPr="00813ACC" w:rsidRDefault="00B0657A" w:rsidP="00141231">
            <w:pPr>
              <w:pStyle w:val="NoSpacing"/>
              <w:rPr>
                <w:rFonts w:ascii="Times New Roman" w:hAnsi="Times New Roman" w:cs="Times New Roman"/>
                <w:sz w:val="20"/>
                <w:szCs w:val="20"/>
              </w:rPr>
            </w:pPr>
            <w:r>
              <w:rPr>
                <w:rFonts w:ascii="Times New Roman" w:hAnsi="Times New Roman" w:cs="Times New Roman"/>
                <w:sz w:val="20"/>
                <w:szCs w:val="20"/>
              </w:rPr>
              <w:t>-0.069</w:t>
            </w:r>
          </w:p>
        </w:tc>
        <w:tc>
          <w:tcPr>
            <w:tcW w:w="1125" w:type="dxa"/>
          </w:tcPr>
          <w:p w14:paraId="2F9DD1BC"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w:t>
            </w:r>
            <w:r>
              <w:rPr>
                <w:rFonts w:ascii="Times New Roman" w:hAnsi="Times New Roman" w:cs="Times New Roman"/>
                <w:sz w:val="20"/>
                <w:szCs w:val="20"/>
              </w:rPr>
              <w:t>698</w:t>
            </w:r>
          </w:p>
        </w:tc>
        <w:tc>
          <w:tcPr>
            <w:tcW w:w="986" w:type="dxa"/>
          </w:tcPr>
          <w:p w14:paraId="5483E187"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0.2</w:t>
            </w:r>
            <w:r>
              <w:rPr>
                <w:rFonts w:ascii="Times New Roman" w:hAnsi="Times New Roman" w:cs="Times New Roman"/>
                <w:sz w:val="20"/>
                <w:szCs w:val="20"/>
              </w:rPr>
              <w:t>27</w:t>
            </w:r>
          </w:p>
        </w:tc>
        <w:tc>
          <w:tcPr>
            <w:tcW w:w="847" w:type="dxa"/>
          </w:tcPr>
          <w:p w14:paraId="626FD5C7" w14:textId="77777777" w:rsidR="00B0657A" w:rsidRPr="00813ACC" w:rsidRDefault="00B0657A" w:rsidP="00141231">
            <w:pPr>
              <w:pStyle w:val="NoSpacing"/>
              <w:rPr>
                <w:rFonts w:ascii="Times New Roman" w:hAnsi="Times New Roman" w:cs="Times New Roman"/>
                <w:sz w:val="20"/>
                <w:szCs w:val="20"/>
              </w:rPr>
            </w:pPr>
            <w:r w:rsidRPr="00813ACC">
              <w:rPr>
                <w:rFonts w:ascii="Times New Roman" w:hAnsi="Times New Roman" w:cs="Times New Roman"/>
                <w:sz w:val="20"/>
                <w:szCs w:val="20"/>
              </w:rPr>
              <w:t>0.7</w:t>
            </w:r>
            <w:r>
              <w:rPr>
                <w:rFonts w:ascii="Times New Roman" w:hAnsi="Times New Roman" w:cs="Times New Roman"/>
                <w:sz w:val="20"/>
                <w:szCs w:val="20"/>
              </w:rPr>
              <w:t>24</w:t>
            </w:r>
          </w:p>
        </w:tc>
      </w:tr>
      <w:tr w:rsidR="00B0657A" w:rsidRPr="00813ACC" w14:paraId="57B11A50" w14:textId="77777777" w:rsidTr="000E3CB6">
        <w:trPr>
          <w:trHeight w:val="80"/>
        </w:trPr>
        <w:tc>
          <w:tcPr>
            <w:tcW w:w="5285" w:type="dxa"/>
          </w:tcPr>
          <w:p w14:paraId="157FB3A3" w14:textId="77777777" w:rsidR="00B0657A" w:rsidRPr="00813ACC" w:rsidRDefault="00B0657A" w:rsidP="00141231">
            <w:pPr>
              <w:pStyle w:val="NoSpacing"/>
              <w:rPr>
                <w:rFonts w:ascii="Times New Roman" w:hAnsi="Times New Roman" w:cs="Times New Roman"/>
                <w:noProof/>
                <w:sz w:val="20"/>
                <w:szCs w:val="20"/>
                <w:lang w:eastAsia="en-GB"/>
              </w:rPr>
            </w:pPr>
          </w:p>
        </w:tc>
        <w:tc>
          <w:tcPr>
            <w:tcW w:w="1250" w:type="dxa"/>
          </w:tcPr>
          <w:p w14:paraId="5F1B2FA2" w14:textId="77777777" w:rsidR="00B0657A" w:rsidRPr="00813ACC" w:rsidRDefault="00B0657A" w:rsidP="00141231">
            <w:pPr>
              <w:pStyle w:val="NoSpacing"/>
              <w:rPr>
                <w:rFonts w:ascii="Times New Roman" w:hAnsi="Times New Roman" w:cs="Times New Roman"/>
                <w:sz w:val="20"/>
                <w:szCs w:val="20"/>
              </w:rPr>
            </w:pPr>
          </w:p>
        </w:tc>
        <w:tc>
          <w:tcPr>
            <w:tcW w:w="1125" w:type="dxa"/>
          </w:tcPr>
          <w:p w14:paraId="30FF3544" w14:textId="77777777" w:rsidR="00B0657A" w:rsidRPr="00813ACC" w:rsidRDefault="00B0657A" w:rsidP="00141231">
            <w:pPr>
              <w:pStyle w:val="NoSpacing"/>
              <w:rPr>
                <w:rFonts w:ascii="Times New Roman" w:hAnsi="Times New Roman" w:cs="Times New Roman"/>
                <w:sz w:val="20"/>
                <w:szCs w:val="20"/>
              </w:rPr>
            </w:pPr>
          </w:p>
        </w:tc>
        <w:tc>
          <w:tcPr>
            <w:tcW w:w="986" w:type="dxa"/>
          </w:tcPr>
          <w:p w14:paraId="49AB3C42" w14:textId="77777777" w:rsidR="00B0657A" w:rsidRPr="00813ACC" w:rsidRDefault="00B0657A" w:rsidP="00141231">
            <w:pPr>
              <w:pStyle w:val="NoSpacing"/>
              <w:rPr>
                <w:rFonts w:ascii="Times New Roman" w:hAnsi="Times New Roman" w:cs="Times New Roman"/>
                <w:sz w:val="20"/>
                <w:szCs w:val="20"/>
              </w:rPr>
            </w:pPr>
          </w:p>
        </w:tc>
        <w:tc>
          <w:tcPr>
            <w:tcW w:w="847" w:type="dxa"/>
          </w:tcPr>
          <w:p w14:paraId="49337F8D" w14:textId="77777777" w:rsidR="00B0657A" w:rsidRPr="00813ACC" w:rsidRDefault="00B0657A" w:rsidP="00141231">
            <w:pPr>
              <w:pStyle w:val="NoSpacing"/>
              <w:rPr>
                <w:rFonts w:ascii="Times New Roman" w:hAnsi="Times New Roman" w:cs="Times New Roman"/>
                <w:sz w:val="20"/>
                <w:szCs w:val="20"/>
              </w:rPr>
            </w:pPr>
          </w:p>
        </w:tc>
      </w:tr>
    </w:tbl>
    <w:p w14:paraId="28FE4BFF" w14:textId="5E4E7A14" w:rsidR="001A3E4C" w:rsidRPr="00C51B52" w:rsidRDefault="001A3E4C" w:rsidP="00141231">
      <w:pPr>
        <w:pStyle w:val="NoSpacing"/>
        <w:rPr>
          <w:rFonts w:ascii="Times New Roman" w:hAnsi="Times New Roman" w:cs="Times New Roman"/>
          <w:sz w:val="20"/>
          <w:szCs w:val="20"/>
        </w:rPr>
      </w:pPr>
      <w:proofErr w:type="spellStart"/>
      <w:r w:rsidRPr="00B4456C">
        <w:rPr>
          <w:rFonts w:ascii="Times New Roman" w:hAnsi="Times New Roman" w:cs="Times New Roman"/>
          <w:sz w:val="20"/>
          <w:szCs w:val="20"/>
          <w:vertAlign w:val="superscript"/>
        </w:rPr>
        <w:t>a</w:t>
      </w:r>
      <w:proofErr w:type="spellEnd"/>
      <w:r w:rsidRPr="00B4456C">
        <w:rPr>
          <w:rFonts w:ascii="Times New Roman" w:hAnsi="Times New Roman" w:cs="Times New Roman"/>
          <w:sz w:val="20"/>
          <w:szCs w:val="20"/>
          <w:vertAlign w:val="superscript"/>
        </w:rPr>
        <w:t xml:space="preserve"> </w:t>
      </w:r>
      <w:r w:rsidRPr="00C51B52">
        <w:rPr>
          <w:rFonts w:ascii="Times New Roman" w:hAnsi="Times New Roman" w:cs="Times New Roman"/>
          <w:sz w:val="20"/>
          <w:szCs w:val="20"/>
        </w:rPr>
        <w:t>estimates from this model were only used to show the negative non-significant direct path between TT officers and TT effectiveness; ^p&lt;0.10; *p&lt;0.05; **p&lt;0.01; ***p&lt;0.000</w:t>
      </w:r>
    </w:p>
    <w:p w14:paraId="7676AF2E" w14:textId="48EBB02D" w:rsidR="008F2687"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 xml:space="preserve"> </w:t>
      </w:r>
    </w:p>
    <w:p w14:paraId="70B82826" w14:textId="4E5B6717" w:rsidR="001A3E4C" w:rsidRPr="008F2687"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rPr>
        <w:t xml:space="preserve">Table </w:t>
      </w:r>
      <w:r w:rsidR="00B4456C">
        <w:rPr>
          <w:rFonts w:ascii="Times New Roman" w:hAnsi="Times New Roman" w:cs="Times New Roman"/>
        </w:rPr>
        <w:t>2</w:t>
      </w:r>
      <w:r w:rsidRPr="00EF66BB">
        <w:rPr>
          <w:rFonts w:ascii="Times New Roman" w:hAnsi="Times New Roman" w:cs="Times New Roman"/>
        </w:rPr>
        <w:t xml:space="preserve"> provides results </w:t>
      </w:r>
      <w:r w:rsidRPr="00EF66BB">
        <w:rPr>
          <w:rFonts w:ascii="Times New Roman" w:eastAsia="TimesNewRoman" w:hAnsi="Times New Roman" w:cs="Times New Roman"/>
        </w:rPr>
        <w:t xml:space="preserve">of the </w:t>
      </w:r>
      <w:r w:rsidR="00C93899">
        <w:rPr>
          <w:rFonts w:ascii="Times New Roman" w:eastAsia="TimesNewRoman" w:hAnsi="Times New Roman" w:cs="Times New Roman"/>
        </w:rPr>
        <w:t>standardised</w:t>
      </w:r>
      <w:r w:rsidRPr="00EF66BB">
        <w:rPr>
          <w:rFonts w:ascii="Times New Roman" w:eastAsia="TimesNewRoman" w:hAnsi="Times New Roman" w:cs="Times New Roman"/>
        </w:rPr>
        <w:t xml:space="preserve"> parameter estimates of the structural </w:t>
      </w:r>
      <w:r w:rsidR="00FF2D2E" w:rsidRPr="00EF66BB">
        <w:rPr>
          <w:rFonts w:ascii="Times New Roman" w:eastAsia="TimesNewRoman" w:hAnsi="Times New Roman" w:cs="Times New Roman"/>
        </w:rPr>
        <w:t>M</w:t>
      </w:r>
      <w:r w:rsidRPr="00EF66BB">
        <w:rPr>
          <w:rFonts w:ascii="Times New Roman" w:eastAsia="TimesNewRoman" w:hAnsi="Times New Roman" w:cs="Times New Roman"/>
        </w:rPr>
        <w:t>odels</w:t>
      </w:r>
      <w:r w:rsidRPr="00EF66BB">
        <w:rPr>
          <w:rFonts w:ascii="Times New Roman" w:hAnsi="Times New Roman" w:cs="Times New Roman"/>
        </w:rPr>
        <w:t xml:space="preserve"> 4 and 5. F</w:t>
      </w:r>
      <w:r w:rsidRPr="00EF66BB">
        <w:rPr>
          <w:rFonts w:ascii="Times New Roman" w:eastAsia="TimesNewRoman" w:hAnsi="Times New Roman" w:cs="Times New Roman"/>
        </w:rPr>
        <w:t xml:space="preserve">ollowing the recommendations of </w:t>
      </w:r>
      <w:r w:rsidR="007F03FF">
        <w:rPr>
          <w:rFonts w:ascii="Times New Roman" w:eastAsia="TimesNewRoman" w:hAnsi="Times New Roman" w:cs="Times New Roman"/>
        </w:rPr>
        <w:fldChar w:fldCharType="begin" w:fldLock="1"/>
      </w:r>
      <w:r w:rsidR="007F03FF">
        <w:rPr>
          <w:rFonts w:ascii="Times New Roman" w:eastAsia="TimesNewRoman" w:hAnsi="Times New Roman" w:cs="Times New Roman"/>
        </w:rPr>
        <w:instrText>ADDIN CSL_CITATION {"citationItems":[{"id":"ITEM-1","itemData":{"DOI":"10.3758/BF03206553","ISBN":"0743-3808","ISSN":"0743-3808","PMID":"15641418","author":[{"dropping-particle":"","family":"Preacher","given":"K.J","non-dropping-particle":"","parse-names":false,"suffix":""},{"dropping-particle":"","family":"Hayes","given":"A.F","non-dropping-particle":"","parse-names":false,"suffix":""}],"container-title":"Bahaviour Research Methods, Instruments &amp; Computers","id":"ITEM-1","issue":"4","issued":{"date-parts":[["2004"]]},"page":"717-731","title":"SPSS and SAS procedures for estimating indirect effects in simple mediation models","type":"article-journal","volume":"36"},"uris":["http://www.mendeley.com/documents/?uuid=b629f50d-40c7-408c-a522-a3c3fb95f54f"]},{"id":"ITEM-2","itemData":{"author":[{"dropping-particle":"","family":"Preacher","given":"K.J","non-dropping-particle":"","parse-names":false,"suffix":""},{"dropping-particle":"","family":"Hayes","given":"A.F","non-dropping-particle":"","parse-names":false,"suffix":""}],"container-title":"Behavior Research Methods","id":"ITEM-2","issue":"3","issued":{"date-parts":[["2008"]]},"page":"879-891","title":"Asymptotic and resampling strategies for assessing and comparing indirect effects in multilpe indicator models","type":"article-journal","volume":"40"},"uris":["http://www.mendeley.com/documents/?uuid=73c478e3-09f8-49c7-85d0-cd14f825173d"]}],"mendeley":{"formattedCitation":"(Preacher and Hayes, 2008, 2004)","manualFormatting":"Preacher and Hayes (2008, 2004)","plainTextFormattedCitation":"(Preacher and Hayes, 2008, 2004)","previouslyFormattedCitation":"(Preacher and Hayes, 2008, 2004)"},"properties":{"noteIndex":0},"schema":"https://github.com/citation-style-language/schema/raw/master/csl-citation.json"}</w:instrText>
      </w:r>
      <w:r w:rsidR="007F03FF">
        <w:rPr>
          <w:rFonts w:ascii="Times New Roman" w:eastAsia="TimesNewRoman" w:hAnsi="Times New Roman" w:cs="Times New Roman"/>
        </w:rPr>
        <w:fldChar w:fldCharType="separate"/>
      </w:r>
      <w:r w:rsidR="007F03FF" w:rsidRPr="007F03FF">
        <w:rPr>
          <w:rFonts w:ascii="Times New Roman" w:eastAsia="TimesNewRoman" w:hAnsi="Times New Roman" w:cs="Times New Roman"/>
          <w:noProof/>
        </w:rPr>
        <w:t>Preacher and Ha</w:t>
      </w:r>
      <w:r w:rsidR="007F03FF">
        <w:rPr>
          <w:rFonts w:ascii="Times New Roman" w:eastAsia="TimesNewRoman" w:hAnsi="Times New Roman" w:cs="Times New Roman"/>
          <w:noProof/>
        </w:rPr>
        <w:t>yes</w:t>
      </w:r>
      <w:r w:rsidR="007F03FF" w:rsidRPr="007F03FF">
        <w:rPr>
          <w:rFonts w:ascii="Times New Roman" w:eastAsia="TimesNewRoman" w:hAnsi="Times New Roman" w:cs="Times New Roman"/>
          <w:noProof/>
        </w:rPr>
        <w:t xml:space="preserve"> </w:t>
      </w:r>
      <w:r w:rsidR="007F03FF">
        <w:rPr>
          <w:rFonts w:ascii="Times New Roman" w:eastAsia="TimesNewRoman" w:hAnsi="Times New Roman" w:cs="Times New Roman"/>
          <w:noProof/>
        </w:rPr>
        <w:t>(</w:t>
      </w:r>
      <w:r w:rsidR="007F03FF" w:rsidRPr="007F03FF">
        <w:rPr>
          <w:rFonts w:ascii="Times New Roman" w:eastAsia="TimesNewRoman" w:hAnsi="Times New Roman" w:cs="Times New Roman"/>
          <w:noProof/>
        </w:rPr>
        <w:t>2008, 2004)</w:t>
      </w:r>
      <w:r w:rsidR="007F03FF">
        <w:rPr>
          <w:rFonts w:ascii="Times New Roman" w:eastAsia="TimesNewRoman" w:hAnsi="Times New Roman" w:cs="Times New Roman"/>
        </w:rPr>
        <w:fldChar w:fldCharType="end"/>
      </w:r>
      <w:r w:rsidRPr="00EF66BB">
        <w:rPr>
          <w:rFonts w:ascii="Times New Roman" w:eastAsia="TimesNewRoman" w:hAnsi="Times New Roman" w:cs="Times New Roman"/>
        </w:rPr>
        <w:t>, we conducted additional mediation analys</w:t>
      </w:r>
      <w:r w:rsidR="007E5C20" w:rsidRPr="00EF66BB">
        <w:rPr>
          <w:rFonts w:ascii="Times New Roman" w:eastAsia="TimesNewRoman" w:hAnsi="Times New Roman" w:cs="Times New Roman"/>
        </w:rPr>
        <w:t>e</w:t>
      </w:r>
      <w:r w:rsidRPr="00EF66BB">
        <w:rPr>
          <w:rFonts w:ascii="Times New Roman" w:eastAsia="TimesNewRoman" w:hAnsi="Times New Roman" w:cs="Times New Roman"/>
        </w:rPr>
        <w:t>s with a bootstrap method,</w:t>
      </w:r>
      <w:r w:rsidR="00F43D3D">
        <w:rPr>
          <w:rStyle w:val="FootnoteReference"/>
          <w:rFonts w:ascii="Times New Roman" w:eastAsia="TimesNewRoman" w:hAnsi="Times New Roman" w:cs="Times New Roman"/>
        </w:rPr>
        <w:footnoteReference w:id="7"/>
      </w:r>
      <w:r w:rsidRPr="00EF66BB">
        <w:rPr>
          <w:rFonts w:ascii="Times New Roman" w:eastAsia="TimesNewRoman" w:hAnsi="Times New Roman" w:cs="Times New Roman"/>
        </w:rPr>
        <w:t xml:space="preserve"> In H1, </w:t>
      </w:r>
      <w:r w:rsidR="008747C5" w:rsidRPr="00EF66BB">
        <w:rPr>
          <w:rFonts w:ascii="Times New Roman" w:eastAsia="TimesNewRoman" w:hAnsi="Times New Roman" w:cs="Times New Roman"/>
        </w:rPr>
        <w:t>we suggest</w:t>
      </w:r>
      <w:r w:rsidRPr="00EF66BB">
        <w:rPr>
          <w:rFonts w:ascii="Times New Roman" w:eastAsia="TimesNewRoman" w:hAnsi="Times New Roman" w:cs="Times New Roman"/>
        </w:rPr>
        <w:t xml:space="preserve"> that technology </w:t>
      </w:r>
      <w:r w:rsidRPr="00EF66BB">
        <w:rPr>
          <w:rFonts w:ascii="Times New Roman" w:eastAsia="TimesNewRoman" w:hAnsi="Times New Roman" w:cs="Times New Roman"/>
        </w:rPr>
        <w:lastRenderedPageBreak/>
        <w:t xml:space="preserve">transfer </w:t>
      </w:r>
      <w:r w:rsidR="0030131C" w:rsidRPr="00EF66BB">
        <w:rPr>
          <w:rFonts w:ascii="Times New Roman" w:eastAsia="TimesNewRoman" w:hAnsi="Times New Roman" w:cs="Times New Roman"/>
        </w:rPr>
        <w:t xml:space="preserve">priority </w:t>
      </w:r>
      <w:r w:rsidRPr="00EF66BB">
        <w:rPr>
          <w:rFonts w:ascii="Times New Roman" w:eastAsia="TimesNewRoman" w:hAnsi="Times New Roman" w:cs="Times New Roman"/>
        </w:rPr>
        <w:t xml:space="preserve">mediates the relationship between TTO support and </w:t>
      </w:r>
      <w:r w:rsidR="00950DDD" w:rsidRPr="00EF66BB">
        <w:rPr>
          <w:rFonts w:ascii="Times New Roman" w:eastAsia="TimesNewRoman" w:hAnsi="Times New Roman" w:cs="Times New Roman"/>
        </w:rPr>
        <w:t>TT</w:t>
      </w:r>
      <w:r w:rsidRPr="00EF66BB">
        <w:rPr>
          <w:rFonts w:ascii="Times New Roman" w:eastAsia="TimesNewRoman" w:hAnsi="Times New Roman" w:cs="Times New Roman"/>
        </w:rPr>
        <w:t xml:space="preserve"> effectiveness. The results from both models show that TT </w:t>
      </w:r>
      <w:r w:rsidR="00576A34" w:rsidRPr="00EF66BB">
        <w:rPr>
          <w:rFonts w:ascii="Times New Roman" w:eastAsia="TimesNewRoman" w:hAnsi="Times New Roman" w:cs="Times New Roman"/>
        </w:rPr>
        <w:t>support</w:t>
      </w:r>
      <w:r w:rsidRPr="00EF66BB">
        <w:rPr>
          <w:rFonts w:ascii="Times New Roman" w:eastAsia="TimesNewRoman" w:hAnsi="Times New Roman" w:cs="Times New Roman"/>
        </w:rPr>
        <w:t xml:space="preserve"> is positively associated with TT strategy (model 5: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0.435</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&lt; .01)</w:t>
      </w:r>
      <w:r w:rsidR="00FF2D2E" w:rsidRPr="00EF66BB">
        <w:rPr>
          <w:rFonts w:ascii="Times New Roman" w:eastAsia="TimesNewRoman" w:hAnsi="Times New Roman" w:cs="Times New Roman"/>
        </w:rPr>
        <w:t>;</w:t>
      </w:r>
      <w:r w:rsidRPr="00EF66BB">
        <w:rPr>
          <w:rFonts w:ascii="Times New Roman" w:eastAsia="TimesNewRoman" w:hAnsi="Times New Roman" w:cs="Times New Roman"/>
        </w:rPr>
        <w:t xml:space="preserve"> the relationship between TT strategy and TT effectiveness is significant at 99% level (Model 5: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0.700</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&lt; .001)</w:t>
      </w:r>
      <w:r w:rsidR="00FF2D2E" w:rsidRPr="00EF66BB">
        <w:rPr>
          <w:rFonts w:ascii="Times New Roman" w:eastAsia="TimesNewRoman" w:hAnsi="Times New Roman" w:cs="Times New Roman"/>
        </w:rPr>
        <w:t>;</w:t>
      </w:r>
      <w:r w:rsidRPr="00EF66BB">
        <w:rPr>
          <w:rFonts w:ascii="Times New Roman" w:eastAsia="TimesNewRoman" w:hAnsi="Times New Roman" w:cs="Times New Roman"/>
        </w:rPr>
        <w:t xml:space="preserve"> and the positive relationship found between TTO support and </w:t>
      </w:r>
      <w:r w:rsidR="00950DDD" w:rsidRPr="00EF66BB">
        <w:rPr>
          <w:rFonts w:ascii="Times New Roman" w:eastAsia="TimesNewRoman" w:hAnsi="Times New Roman" w:cs="Times New Roman"/>
        </w:rPr>
        <w:t>TT</w:t>
      </w:r>
      <w:r w:rsidRPr="00EF66BB">
        <w:rPr>
          <w:rFonts w:ascii="Times New Roman" w:eastAsia="TimesNewRoman" w:hAnsi="Times New Roman" w:cs="Times New Roman"/>
        </w:rPr>
        <w:t xml:space="preserve"> effectiveness (Model 3:</w:t>
      </w:r>
      <w:r w:rsidRPr="00EF66BB">
        <w:rPr>
          <w:rFonts w:ascii="Times New Roman" w:eastAsia="TimesNewRoman" w:hAnsi="Times New Roman" w:cs="Times New Roman"/>
          <w:i/>
          <w:iCs/>
        </w:rPr>
        <w:t xml:space="preserve"> β </w:t>
      </w:r>
      <w:r w:rsidRPr="00EF66BB">
        <w:rPr>
          <w:rFonts w:ascii="Times New Roman" w:eastAsia="TimesNewRoman" w:hAnsi="Times New Roman" w:cs="Times New Roman"/>
        </w:rPr>
        <w:t xml:space="preserve">= </w:t>
      </w:r>
      <w:r w:rsidRPr="00EF66BB">
        <w:rPr>
          <w:rFonts w:ascii="Times New Roman" w:hAnsi="Times New Roman" w:cs="Times New Roman"/>
        </w:rPr>
        <w:t xml:space="preserve">-0.073;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 xml:space="preserve">= 0.711) is negligible in the presence of the </w:t>
      </w:r>
      <w:r w:rsidR="00950DDD" w:rsidRPr="00EF66BB">
        <w:rPr>
          <w:rFonts w:ascii="Times New Roman" w:eastAsia="TimesNewRoman" w:hAnsi="Times New Roman" w:cs="Times New Roman"/>
        </w:rPr>
        <w:t>TT</w:t>
      </w:r>
      <w:r w:rsidRPr="00EF66BB">
        <w:rPr>
          <w:rFonts w:ascii="Times New Roman" w:eastAsia="TimesNewRoman" w:hAnsi="Times New Roman" w:cs="Times New Roman"/>
        </w:rPr>
        <w:t xml:space="preserve"> strategy mediator. As</w:t>
      </w:r>
      <w:r w:rsidRPr="00EF66BB">
        <w:rPr>
          <w:rFonts w:ascii="Times New Roman" w:hAnsi="Times New Roman" w:cs="Times New Roman"/>
        </w:rPr>
        <w:t xml:space="preserve"> shown in the </w:t>
      </w:r>
      <w:r w:rsidR="00FF2D2E" w:rsidRPr="00EF66BB">
        <w:rPr>
          <w:rFonts w:ascii="Times New Roman" w:hAnsi="Times New Roman" w:cs="Times New Roman"/>
        </w:rPr>
        <w:t>T</w:t>
      </w:r>
      <w:r w:rsidRPr="00EF66BB">
        <w:rPr>
          <w:rFonts w:ascii="Times New Roman" w:hAnsi="Times New Roman" w:cs="Times New Roman"/>
        </w:rPr>
        <w:t xml:space="preserve">able, 95% CI of the indirect effects of TT </w:t>
      </w:r>
      <w:r w:rsidR="00576A34" w:rsidRPr="00EF66BB">
        <w:rPr>
          <w:rFonts w:ascii="Times New Roman" w:hAnsi="Times New Roman" w:cs="Times New Roman"/>
        </w:rPr>
        <w:t>support</w:t>
      </w:r>
      <w:r w:rsidRPr="00EF66BB">
        <w:rPr>
          <w:rFonts w:ascii="Times New Roman" w:hAnsi="Times New Roman" w:cs="Times New Roman"/>
        </w:rPr>
        <w:t xml:space="preserve"> and TT effectiveness did not include zero, showing that this indirect effect </w:t>
      </w:r>
      <w:r w:rsidR="00FF2D2E" w:rsidRPr="00EF66BB">
        <w:rPr>
          <w:rFonts w:ascii="Times New Roman" w:hAnsi="Times New Roman" w:cs="Times New Roman"/>
        </w:rPr>
        <w:t xml:space="preserve">was </w:t>
      </w:r>
      <w:r w:rsidRPr="00EF66BB">
        <w:rPr>
          <w:rFonts w:ascii="Times New Roman" w:hAnsi="Times New Roman" w:cs="Times New Roman"/>
        </w:rPr>
        <w:t xml:space="preserve">statistically significant, </w:t>
      </w:r>
      <w:r w:rsidRPr="00EF66BB">
        <w:rPr>
          <w:rFonts w:ascii="Times New Roman" w:eastAsia="TimesNewRoman" w:hAnsi="Times New Roman" w:cs="Times New Roman"/>
        </w:rPr>
        <w:t xml:space="preserve">providing further support for a fully mediated relationship in H1. </w:t>
      </w:r>
      <w:r w:rsidR="00FF2D2E" w:rsidRPr="00EF66BB">
        <w:rPr>
          <w:rFonts w:ascii="Times New Roman" w:eastAsia="TimesNewRoman" w:hAnsi="Times New Roman" w:cs="Times New Roman"/>
        </w:rPr>
        <w:t xml:space="preserve">Regarding </w:t>
      </w:r>
      <w:r w:rsidRPr="00EF66BB">
        <w:rPr>
          <w:rFonts w:ascii="Times New Roman" w:eastAsia="TimesNewRoman" w:hAnsi="Times New Roman" w:cs="Times New Roman"/>
        </w:rPr>
        <w:t xml:space="preserve">H2, while the results show that the relationship between TT strategy and TT effectiveness is significant at 99% level (Model 5: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0.700</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 xml:space="preserve">&lt; .001) and the positive relationships found between </w:t>
      </w:r>
      <w:r w:rsidR="00112F1D" w:rsidRPr="00EF66BB">
        <w:rPr>
          <w:rFonts w:ascii="Times New Roman" w:eastAsia="TimesNewRoman" w:hAnsi="Times New Roman" w:cs="Times New Roman"/>
        </w:rPr>
        <w:t>incentiv</w:t>
      </w:r>
      <w:r w:rsidR="00576A34" w:rsidRPr="00EF66BB">
        <w:rPr>
          <w:rFonts w:ascii="Times New Roman" w:eastAsia="TimesNewRoman" w:hAnsi="Times New Roman" w:cs="Times New Roman"/>
        </w:rPr>
        <w:t>es</w:t>
      </w:r>
      <w:r w:rsidRPr="00EF66BB">
        <w:rPr>
          <w:rFonts w:ascii="Times New Roman" w:eastAsia="TimesNewRoman" w:hAnsi="Times New Roman" w:cs="Times New Roman"/>
        </w:rPr>
        <w:t xml:space="preserve"> and TT effectiveness relation is no</w:t>
      </w:r>
      <w:r w:rsidR="00112F1D" w:rsidRPr="00EF66BB">
        <w:rPr>
          <w:rFonts w:ascii="Times New Roman" w:eastAsia="TimesNewRoman" w:hAnsi="Times New Roman" w:cs="Times New Roman"/>
        </w:rPr>
        <w:t>t</w:t>
      </w:r>
      <w:r w:rsidRPr="00EF66BB">
        <w:rPr>
          <w:rFonts w:ascii="Times New Roman" w:eastAsia="TimesNewRoman" w:hAnsi="Times New Roman" w:cs="Times New Roman"/>
        </w:rPr>
        <w:t xml:space="preserve"> significant in </w:t>
      </w:r>
      <w:r w:rsidR="00FF2D2E" w:rsidRPr="00EF66BB">
        <w:rPr>
          <w:rFonts w:ascii="Times New Roman" w:eastAsia="TimesNewRoman" w:hAnsi="Times New Roman" w:cs="Times New Roman"/>
        </w:rPr>
        <w:t xml:space="preserve">the </w:t>
      </w:r>
      <w:r w:rsidRPr="00EF66BB">
        <w:rPr>
          <w:rFonts w:ascii="Times New Roman" w:eastAsia="TimesNewRoman" w:hAnsi="Times New Roman" w:cs="Times New Roman"/>
        </w:rPr>
        <w:t xml:space="preserve">presence of the mediator (Model 5: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-0.120</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=0.323)</w:t>
      </w:r>
      <w:r w:rsidR="00FF2D2E" w:rsidRPr="00EF66BB">
        <w:rPr>
          <w:rFonts w:ascii="Times New Roman" w:eastAsia="TimesNewRoman" w:hAnsi="Times New Roman" w:cs="Times New Roman"/>
        </w:rPr>
        <w:t>;</w:t>
      </w:r>
      <w:r w:rsidRPr="00EF66BB">
        <w:rPr>
          <w:rFonts w:ascii="Times New Roman" w:eastAsia="TimesNewRoman" w:hAnsi="Times New Roman" w:cs="Times New Roman"/>
        </w:rPr>
        <w:t xml:space="preserve"> </w:t>
      </w:r>
      <w:r w:rsidR="00112F1D" w:rsidRPr="00EF66BB">
        <w:rPr>
          <w:rFonts w:ascii="Times New Roman" w:eastAsia="TimesNewRoman" w:hAnsi="Times New Roman" w:cs="Times New Roman"/>
        </w:rPr>
        <w:t>incentivising</w:t>
      </w:r>
      <w:r w:rsidRPr="00EF66BB">
        <w:rPr>
          <w:rFonts w:ascii="Times New Roman" w:eastAsia="TimesNewRoman" w:hAnsi="Times New Roman" w:cs="Times New Roman"/>
        </w:rPr>
        <w:t xml:space="preserve"> is not positively associated at the conventional level of significance with TT strategy (model 5: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0.279</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=0.076). Upon a closer look at the bootstrapping results, we also found that the</w:t>
      </w:r>
      <w:r w:rsidRPr="00EF66BB">
        <w:rPr>
          <w:rFonts w:ascii="Times New Roman" w:hAnsi="Times New Roman" w:cs="Times New Roman"/>
        </w:rPr>
        <w:t xml:space="preserve"> 95% CI </w:t>
      </w:r>
      <w:r w:rsidRPr="00EF66BB">
        <w:rPr>
          <w:rFonts w:ascii="Times New Roman" w:eastAsia="TimesNewRoman" w:hAnsi="Times New Roman" w:cs="Times New Roman"/>
        </w:rPr>
        <w:t xml:space="preserve">of the indirect effects of the </w:t>
      </w:r>
      <w:r w:rsidR="00112F1D" w:rsidRPr="00EF66BB">
        <w:rPr>
          <w:rFonts w:ascii="Times New Roman" w:eastAsia="TimesNewRoman" w:hAnsi="Times New Roman" w:cs="Times New Roman"/>
        </w:rPr>
        <w:t>incentivising</w:t>
      </w:r>
      <w:r w:rsidRPr="00EF66BB">
        <w:rPr>
          <w:rFonts w:ascii="Times New Roman" w:eastAsia="TimesNewRoman" w:hAnsi="Times New Roman" w:cs="Times New Roman"/>
        </w:rPr>
        <w:t xml:space="preserve"> and TT effectiveness did not include zero, confirming partial mediation in H2.  </w:t>
      </w:r>
    </w:p>
    <w:p w14:paraId="02C84E7B" w14:textId="77777777" w:rsidR="008747C5" w:rsidRPr="00EF66BB" w:rsidRDefault="008747C5" w:rsidP="00141231">
      <w:pPr>
        <w:autoSpaceDE w:val="0"/>
        <w:autoSpaceDN w:val="0"/>
        <w:adjustRightInd w:val="0"/>
        <w:spacing w:line="360" w:lineRule="auto"/>
        <w:rPr>
          <w:rFonts w:ascii="Times New Roman" w:hAnsi="Times New Roman" w:cs="Times New Roman"/>
        </w:rPr>
      </w:pPr>
    </w:p>
    <w:p w14:paraId="28652D08" w14:textId="3361DE7F" w:rsidR="007E5C20" w:rsidRPr="00EF66BB" w:rsidRDefault="001A3E4C" w:rsidP="00141231">
      <w:pPr>
        <w:autoSpaceDE w:val="0"/>
        <w:autoSpaceDN w:val="0"/>
        <w:adjustRightInd w:val="0"/>
        <w:spacing w:line="360" w:lineRule="auto"/>
        <w:rPr>
          <w:rFonts w:ascii="Times New Roman" w:hAnsi="Times New Roman" w:cs="Times New Roman"/>
        </w:rPr>
      </w:pPr>
      <w:r w:rsidRPr="00EF66BB">
        <w:rPr>
          <w:rFonts w:ascii="Times New Roman" w:hAnsi="Times New Roman" w:cs="Times New Roman"/>
          <w:color w:val="000000"/>
        </w:rPr>
        <w:t>To test H3</w:t>
      </w:r>
      <w:r w:rsidR="00B4456C">
        <w:rPr>
          <w:rFonts w:ascii="Times New Roman" w:hAnsi="Times New Roman" w:cs="Times New Roman"/>
          <w:color w:val="000000"/>
        </w:rPr>
        <w:t>,</w:t>
      </w:r>
      <w:r w:rsidRPr="00EF66BB">
        <w:rPr>
          <w:rFonts w:ascii="Times New Roman" w:hAnsi="Times New Roman" w:cs="Times New Roman"/>
          <w:color w:val="000000"/>
        </w:rPr>
        <w:t xml:space="preserve"> that the indirect effect of the enablers of technology transfer (TTO </w:t>
      </w:r>
      <w:r w:rsidR="00B4456C">
        <w:rPr>
          <w:rFonts w:ascii="Times New Roman" w:hAnsi="Times New Roman" w:cs="Times New Roman"/>
          <w:color w:val="000000"/>
        </w:rPr>
        <w:t>s</w:t>
      </w:r>
      <w:r w:rsidRPr="00EF66BB">
        <w:rPr>
          <w:rFonts w:ascii="Times New Roman" w:hAnsi="Times New Roman" w:cs="Times New Roman"/>
          <w:color w:val="000000"/>
        </w:rPr>
        <w:t xml:space="preserve">upport and the provision of incentives) on </w:t>
      </w:r>
      <w:r w:rsidR="000C0557" w:rsidRPr="00EF66BB">
        <w:rPr>
          <w:rFonts w:ascii="Times New Roman" w:hAnsi="Times New Roman" w:cs="Times New Roman"/>
          <w:color w:val="000000"/>
        </w:rPr>
        <w:t>TT</w:t>
      </w:r>
      <w:r w:rsidRPr="00EF66BB">
        <w:rPr>
          <w:rFonts w:ascii="Times New Roman" w:hAnsi="Times New Roman" w:cs="Times New Roman"/>
          <w:color w:val="000000"/>
        </w:rPr>
        <w:t xml:space="preserve"> </w:t>
      </w:r>
      <w:r w:rsidR="00B4456C">
        <w:rPr>
          <w:rFonts w:ascii="Times New Roman" w:hAnsi="Times New Roman" w:cs="Times New Roman"/>
          <w:color w:val="000000"/>
        </w:rPr>
        <w:t>e</w:t>
      </w:r>
      <w:r w:rsidRPr="00EF66BB">
        <w:rPr>
          <w:rFonts w:ascii="Times New Roman" w:hAnsi="Times New Roman" w:cs="Times New Roman"/>
          <w:color w:val="000000"/>
        </w:rPr>
        <w:t xml:space="preserve">ffectiveness through strategy is conditioned by the </w:t>
      </w:r>
      <w:r w:rsidR="00112F1D" w:rsidRPr="00EF66BB">
        <w:rPr>
          <w:rFonts w:ascii="Times New Roman" w:hAnsi="Times New Roman" w:cs="Times New Roman"/>
          <w:color w:val="000000"/>
        </w:rPr>
        <w:t>breadth</w:t>
      </w:r>
      <w:r w:rsidRPr="00EF66BB">
        <w:rPr>
          <w:rFonts w:ascii="Times New Roman" w:hAnsi="Times New Roman" w:cs="Times New Roman"/>
          <w:color w:val="000000"/>
        </w:rPr>
        <w:t xml:space="preserve"> of </w:t>
      </w:r>
      <w:r w:rsidR="00112F1D" w:rsidRPr="00EF66BB">
        <w:rPr>
          <w:rFonts w:ascii="Times New Roman" w:hAnsi="Times New Roman" w:cs="Times New Roman"/>
          <w:color w:val="000000"/>
        </w:rPr>
        <w:t xml:space="preserve">strategic </w:t>
      </w:r>
      <w:r w:rsidRPr="00EF66BB">
        <w:rPr>
          <w:rFonts w:ascii="Times New Roman" w:hAnsi="Times New Roman" w:cs="Times New Roman"/>
          <w:color w:val="000000"/>
        </w:rPr>
        <w:t xml:space="preserve">planning, we conducted a moderated mediation analysis with strategic planning as a moderator of the two mediated relationships found above. </w:t>
      </w:r>
      <w:r w:rsidRPr="00EF66BB">
        <w:rPr>
          <w:rFonts w:ascii="Times New Roman" w:hAnsi="Times New Roman" w:cs="Times New Roman"/>
        </w:rPr>
        <w:t xml:space="preserve">Moderated mediation occurs when the mediating process that links an independent variable to an outcome variable varies because the moderating variable accentuates or attenuates the relationship between independent variables and the mediator </w:t>
      </w:r>
      <w:r w:rsidR="007F03FF">
        <w:rPr>
          <w:rFonts w:ascii="Times New Roman" w:hAnsi="Times New Roman" w:cs="Times New Roman"/>
        </w:rPr>
        <w:fldChar w:fldCharType="begin" w:fldLock="1"/>
      </w:r>
      <w:r w:rsidR="007F03FF">
        <w:rPr>
          <w:rFonts w:ascii="Times New Roman" w:hAnsi="Times New Roman" w:cs="Times New Roman"/>
        </w:rPr>
        <w:instrText>ADDIN CSL_CITATION {"citationItems":[{"id":"ITEM-1","itemData":{"DOI":"10.1037/1082-989X.12.1.1","ISBN":"1082-989X (Print)\\r1082-989X (Linking)","ISSN":"1082989X","PMID":"17402809","abstract":"Studies that combine moderation and mediation are prevalent in basic and applied psychology research. Typically, these studies are framed in terms of moderated mediation or mediated moderation, both of which involve similar analytical approaches. Unfortunately, these approaches have important shortcomings that conceal the nature of the moderated and the mediated effects under investigation. This article presents a general analytical framework for combining moderation and mediation that integrates moderated regression analysis and path analysis. This framework clarifies how moderator variables influence the paths that constitute the direct, indirect, and total effects of mediated models. The authors empirically illustrate this framework and give step-by-step instructions for estimation and interpretation. They summarize the advantages of their framework over current approaches, explain how it subsumes moderated mediation and mediated moderation, and describe how it can accommodate additional moderator and mediator variables, curvilinear relationships, and structural equation models with latent variables.","author":[{"dropping-particle":"","family":"Edwards","given":"Jeffrey R.","non-dropping-particle":"","parse-names":false,"suffix":""},{"dropping-particle":"","family":"Lambert","given":"Lisa Schurer","non-dropping-particle":"","parse-names":false,"suffix":""}],"container-title":"Psychological Methods","id":"ITEM-1","issue":"1","issued":{"date-parts":[["2007"]]},"page":"1-22","title":"Methods for integrating moderation and mediation: A general analytical framework using moderated path analysis","type":"article-journal","volume":"12"},"uris":["http://www.mendeley.com/documents/?uuid=ac4b5fbb-2ff4-4700-a6a4-34dad8d0a100"]},{"id":"ITEM-2","itemData":{"DOI":"10.1037/0022-3514.89.6.852","ISBN":"0022-3514 (Print)\\r0022-3514 (Linking)","ISSN":"00223514","PMID":"16393020","abstract":"Procedures for examining whether treatment effects on an outcome are mediated and/or moderated have been well developed and are routinely applied. The mediation question focuses on the intervening mechanism that produces the treatment effect. The moderation question focuses on factors that affect the magnitude of the treatment effect. It is important to note that these two processes may be combined in informative ways, such that moderation is mediated or mediation is moderated. Although some prior literature has discussed these possibilities, their exact definitions and analytic procedures have not been completely articulated. The purpose of this article is to define precisely both mediated moderation and moderated mediation and provide analytic strategies for assessing each.","author":[{"dropping-particle":"","family":"Muller","given":"Dominique","non-dropping-particle":"","parse-names":false,"suffix":""},{"dropping-particle":"","family":"Judd","given":"Charles M.","non-dropping-particle":"","parse-names":false,"suffix":""},{"dropping-particle":"","family":"Yzerbyt","given":"Vincent Y.","non-dropping-particle":"","parse-names":false,"suffix":""}],"container-title":"Journal of Personality and Social Psychology","id":"ITEM-2","issue":"6","issued":{"date-parts":[["2005"]]},"page":"852-863","title":"When moderation is mediated and mediation is moderated","type":"article-journal","volume":"89"},"uris":["http://www.mendeley.com/documents/?uuid=538717b3-506f-4529-911d-4b122328f566"]}],"mendeley":{"formattedCitation":"(Edwards and Lambert, 2007; Muller et al., 2005)","plainTextFormattedCitation":"(Edwards and Lambert, 2007; Muller et al., 2005)","previouslyFormattedCitation":"(Edwards and Lambert, 2007; Muller et al., 2005)"},"properties":{"noteIndex":0},"schema":"https://github.com/citation-style-language/schema/raw/master/csl-citation.json"}</w:instrText>
      </w:r>
      <w:r w:rsidR="007F03FF">
        <w:rPr>
          <w:rFonts w:ascii="Times New Roman" w:hAnsi="Times New Roman" w:cs="Times New Roman"/>
        </w:rPr>
        <w:fldChar w:fldCharType="separate"/>
      </w:r>
      <w:r w:rsidR="007F03FF" w:rsidRPr="007F03FF">
        <w:rPr>
          <w:rFonts w:ascii="Times New Roman" w:hAnsi="Times New Roman" w:cs="Times New Roman"/>
          <w:noProof/>
        </w:rPr>
        <w:t>(Edwards and Lambert, 2007; Muller et al., 2005)</w:t>
      </w:r>
      <w:r w:rsidR="007F03FF">
        <w:rPr>
          <w:rFonts w:ascii="Times New Roman" w:hAnsi="Times New Roman" w:cs="Times New Roman"/>
        </w:rPr>
        <w:fldChar w:fldCharType="end"/>
      </w:r>
      <w:r w:rsidR="007F03FF">
        <w:rPr>
          <w:rFonts w:ascii="Times New Roman" w:hAnsi="Times New Roman" w:cs="Times New Roman"/>
        </w:rPr>
        <w:t>.</w:t>
      </w:r>
      <w:r w:rsidRPr="00EF66BB">
        <w:rPr>
          <w:rFonts w:ascii="Times New Roman" w:hAnsi="Times New Roman" w:cs="Times New Roman"/>
        </w:rPr>
        <w:t xml:space="preserve"> </w:t>
      </w:r>
      <w:r w:rsidR="005D3317">
        <w:rPr>
          <w:rFonts w:ascii="Times New Roman" w:hAnsi="Times New Roman" w:cs="Times New Roman"/>
        </w:rPr>
        <w:t>We used multi-group SEM analysis</w:t>
      </w:r>
      <w:r w:rsidR="005D3317">
        <w:rPr>
          <w:rStyle w:val="FootnoteReference"/>
          <w:rFonts w:ascii="Times New Roman" w:hAnsi="Times New Roman" w:cs="Times New Roman"/>
        </w:rPr>
        <w:footnoteReference w:id="8"/>
      </w:r>
      <w:r w:rsidR="005D3317">
        <w:rPr>
          <w:rFonts w:ascii="Times New Roman" w:hAnsi="Times New Roman" w:cs="Times New Roman"/>
        </w:rPr>
        <w:t xml:space="preserve"> </w:t>
      </w:r>
      <w:r w:rsidR="00253CDC">
        <w:rPr>
          <w:rFonts w:ascii="Times New Roman" w:hAnsi="Times New Roman" w:cs="Times New Roman"/>
        </w:rPr>
        <w:t>that</w:t>
      </w:r>
      <w:r w:rsidR="00B4456C">
        <w:rPr>
          <w:rFonts w:ascii="Times New Roman" w:hAnsi="Times New Roman" w:cs="Times New Roman"/>
        </w:rPr>
        <w:t xml:space="preserve"> </w:t>
      </w:r>
      <w:r w:rsidRPr="00EF66BB">
        <w:rPr>
          <w:rFonts w:ascii="Times New Roman" w:hAnsi="Times New Roman" w:cs="Times New Roman"/>
        </w:rPr>
        <w:t>entails dividing the sample into groups according to the moderator variable</w:t>
      </w:r>
      <w:r w:rsidR="00253CDC">
        <w:rPr>
          <w:rFonts w:ascii="Times New Roman" w:hAnsi="Times New Roman" w:cs="Times New Roman"/>
        </w:rPr>
        <w:t xml:space="preserve"> and perform</w:t>
      </w:r>
      <w:r w:rsidR="00B4456C">
        <w:rPr>
          <w:rFonts w:ascii="Times New Roman" w:hAnsi="Times New Roman" w:cs="Times New Roman"/>
        </w:rPr>
        <w:t>ing</w:t>
      </w:r>
      <w:r w:rsidR="00253CDC">
        <w:rPr>
          <w:rFonts w:ascii="Times New Roman" w:hAnsi="Times New Roman" w:cs="Times New Roman"/>
        </w:rPr>
        <w:t xml:space="preserve"> multi-group comparisons</w:t>
      </w:r>
      <w:r w:rsidRPr="00EF66BB">
        <w:rPr>
          <w:rFonts w:ascii="Times New Roman" w:hAnsi="Times New Roman" w:cs="Times New Roman"/>
        </w:rPr>
        <w:t>. The moderating variable was divided into the high</w:t>
      </w:r>
      <w:r w:rsidR="00112F1D" w:rsidRPr="00EF66BB">
        <w:rPr>
          <w:rFonts w:ascii="Times New Roman" w:hAnsi="Times New Roman" w:cs="Times New Roman"/>
        </w:rPr>
        <w:t>-breadth</w:t>
      </w:r>
      <w:r w:rsidRPr="00EF66BB">
        <w:rPr>
          <w:rFonts w:ascii="Times New Roman" w:hAnsi="Times New Roman" w:cs="Times New Roman"/>
        </w:rPr>
        <w:t xml:space="preserve"> planning and the low-</w:t>
      </w:r>
      <w:r w:rsidR="00206E5D" w:rsidRPr="00EF66BB">
        <w:rPr>
          <w:rFonts w:ascii="Times New Roman" w:hAnsi="Times New Roman" w:cs="Times New Roman"/>
        </w:rPr>
        <w:t>breadth</w:t>
      </w:r>
      <w:r w:rsidRPr="00EF66BB">
        <w:rPr>
          <w:rFonts w:ascii="Times New Roman" w:hAnsi="Times New Roman" w:cs="Times New Roman"/>
        </w:rPr>
        <w:t xml:space="preserve"> planning using the median split. The two models for the two levels of the moderator were tested simultaneously, after imposing constraints on the mediation paths in each structural model for the two levels of the moderator</w:t>
      </w:r>
      <w:r w:rsidR="00687AE1">
        <w:rPr>
          <w:rStyle w:val="FootnoteReference"/>
          <w:rFonts w:ascii="Times New Roman" w:hAnsi="Times New Roman" w:cs="Times New Roman"/>
        </w:rPr>
        <w:footnoteReference w:id="9"/>
      </w:r>
      <w:r w:rsidRPr="00EF66BB">
        <w:rPr>
          <w:rFonts w:ascii="Times New Roman" w:hAnsi="Times New Roman" w:cs="Times New Roman"/>
        </w:rPr>
        <w:t xml:space="preserve"> </w:t>
      </w:r>
    </w:p>
    <w:p w14:paraId="1679CBDB" w14:textId="77777777" w:rsidR="00E45B28" w:rsidRDefault="00E45B28" w:rsidP="00141231">
      <w:pPr>
        <w:autoSpaceDE w:val="0"/>
        <w:autoSpaceDN w:val="0"/>
        <w:adjustRightInd w:val="0"/>
        <w:spacing w:line="360" w:lineRule="auto"/>
        <w:rPr>
          <w:rFonts w:ascii="Times New Roman" w:hAnsi="Times New Roman" w:cs="Times New Roman"/>
        </w:rPr>
      </w:pPr>
    </w:p>
    <w:p w14:paraId="0BD616AD" w14:textId="64D9E6D8" w:rsidR="00E45B28" w:rsidRDefault="001A3E4C" w:rsidP="00141231">
      <w:pPr>
        <w:autoSpaceDE w:val="0"/>
        <w:autoSpaceDN w:val="0"/>
        <w:adjustRightInd w:val="0"/>
        <w:spacing w:line="360" w:lineRule="auto"/>
        <w:rPr>
          <w:rFonts w:ascii="Times New Roman" w:hAnsi="Times New Roman" w:cs="Times New Roman"/>
          <w:color w:val="000000"/>
        </w:rPr>
      </w:pPr>
      <w:r w:rsidRPr="00EF66BB">
        <w:rPr>
          <w:rFonts w:ascii="Times New Roman" w:hAnsi="Times New Roman" w:cs="Times New Roman"/>
        </w:rPr>
        <w:t xml:space="preserve">Table </w:t>
      </w:r>
      <w:r w:rsidR="00B4456C">
        <w:rPr>
          <w:rFonts w:ascii="Times New Roman" w:hAnsi="Times New Roman" w:cs="Times New Roman"/>
        </w:rPr>
        <w:t>3</w:t>
      </w:r>
      <w:r w:rsidRPr="00EF66BB">
        <w:rPr>
          <w:rFonts w:ascii="Times New Roman" w:hAnsi="Times New Roman" w:cs="Times New Roman"/>
        </w:rPr>
        <w:t xml:space="preserve"> presents the estimates and bootstrap CIs for the conditional indirect effects of strategy across low and high levels of planning. </w:t>
      </w:r>
      <w:r w:rsidR="00B4456C">
        <w:rPr>
          <w:rFonts w:ascii="Times New Roman" w:hAnsi="Times New Roman" w:cs="Times New Roman"/>
        </w:rPr>
        <w:t>It shows</w:t>
      </w:r>
      <w:r w:rsidRPr="00EF66BB">
        <w:rPr>
          <w:rFonts w:ascii="Times New Roman" w:hAnsi="Times New Roman" w:cs="Times New Roman"/>
        </w:rPr>
        <w:t xml:space="preserve"> a strong moderated mediation is proposed for the mediation relationships between TT offices/support and TT effectiveness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0.44</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&lt; .01</w:t>
      </w:r>
      <w:r w:rsidRPr="00EF66BB">
        <w:rPr>
          <w:rFonts w:ascii="Times New Roman" w:hAnsi="Times New Roman" w:cs="Times New Roman"/>
        </w:rPr>
        <w:t xml:space="preserve">). </w:t>
      </w:r>
      <w:r w:rsidR="00FF48A3" w:rsidRPr="00EF66BB">
        <w:rPr>
          <w:rFonts w:ascii="Times New Roman" w:hAnsi="Times New Roman" w:cs="Times New Roman"/>
        </w:rPr>
        <w:t>T</w:t>
      </w:r>
      <w:r w:rsidRPr="00EF66BB">
        <w:rPr>
          <w:rFonts w:ascii="Times New Roman" w:hAnsi="Times New Roman" w:cs="Times New Roman"/>
        </w:rPr>
        <w:t xml:space="preserve">he indirect effect of TTO support via strategy on </w:t>
      </w:r>
      <w:r w:rsidR="000C0557" w:rsidRPr="00EF66BB">
        <w:rPr>
          <w:rFonts w:ascii="Times New Roman" w:hAnsi="Times New Roman" w:cs="Times New Roman"/>
        </w:rPr>
        <w:t>TT</w:t>
      </w:r>
      <w:r w:rsidRPr="00EF66BB">
        <w:rPr>
          <w:rFonts w:ascii="Times New Roman" w:hAnsi="Times New Roman" w:cs="Times New Roman"/>
        </w:rPr>
        <w:t xml:space="preserve"> effectiveness differ</w:t>
      </w:r>
      <w:r w:rsidR="00FF48A3" w:rsidRPr="00EF66BB">
        <w:rPr>
          <w:rFonts w:ascii="Times New Roman" w:hAnsi="Times New Roman" w:cs="Times New Roman"/>
        </w:rPr>
        <w:t>s</w:t>
      </w:r>
      <w:r w:rsidRPr="00EF66BB">
        <w:rPr>
          <w:rFonts w:ascii="Times New Roman" w:hAnsi="Times New Roman" w:cs="Times New Roman"/>
        </w:rPr>
        <w:t xml:space="preserve"> significantly when strategic planning </w:t>
      </w:r>
      <w:r w:rsidR="00F377DE" w:rsidRPr="00EF66BB">
        <w:rPr>
          <w:rFonts w:ascii="Times New Roman" w:hAnsi="Times New Roman" w:cs="Times New Roman"/>
        </w:rPr>
        <w:t>breadth is high</w:t>
      </w:r>
      <w:r w:rsidRPr="00EF66BB">
        <w:rPr>
          <w:rFonts w:ascii="Times New Roman" w:hAnsi="Times New Roman" w:cs="Times New Roman"/>
        </w:rPr>
        <w:t xml:space="preserve"> versus low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0.23</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&lt; .01</w:t>
      </w:r>
      <w:r w:rsidRPr="00EF66BB">
        <w:rPr>
          <w:rFonts w:ascii="Times New Roman" w:hAnsi="Times New Roman" w:cs="Times New Roman"/>
        </w:rPr>
        <w:t xml:space="preserve">). The indirect effects of provision of incentives via strategy do not differ significantly when planning </w:t>
      </w:r>
      <w:r w:rsidR="00F377DE" w:rsidRPr="00EF66BB">
        <w:rPr>
          <w:rFonts w:ascii="Times New Roman" w:hAnsi="Times New Roman" w:cs="Times New Roman"/>
        </w:rPr>
        <w:t>breadth is</w:t>
      </w:r>
      <w:r w:rsidRPr="00EF66BB">
        <w:rPr>
          <w:rFonts w:ascii="Times New Roman" w:hAnsi="Times New Roman" w:cs="Times New Roman"/>
        </w:rPr>
        <w:t xml:space="preserve"> high versus low values (</w:t>
      </w:r>
      <w:r w:rsidRPr="00EF66BB">
        <w:rPr>
          <w:rFonts w:ascii="Times New Roman" w:eastAsia="TimesNewRoman" w:hAnsi="Times New Roman" w:cs="Times New Roman"/>
          <w:i/>
          <w:iCs/>
        </w:rPr>
        <w:t xml:space="preserve">β </w:t>
      </w:r>
      <w:r w:rsidRPr="00EF66BB">
        <w:rPr>
          <w:rFonts w:ascii="Times New Roman" w:eastAsia="TimesNewRoman" w:hAnsi="Times New Roman" w:cs="Times New Roman"/>
        </w:rPr>
        <w:t xml:space="preserve">= </w:t>
      </w:r>
      <w:r w:rsidRPr="00EF66BB">
        <w:rPr>
          <w:rFonts w:ascii="Times New Roman" w:hAnsi="Times New Roman" w:cs="Times New Roman"/>
        </w:rPr>
        <w:t>-0.106</w:t>
      </w:r>
      <w:r w:rsidRPr="00EF66BB">
        <w:rPr>
          <w:rFonts w:ascii="Times New Roman" w:eastAsia="TimesNewRoman" w:hAnsi="Times New Roman" w:cs="Times New Roman"/>
        </w:rPr>
        <w:t xml:space="preserve">; </w:t>
      </w:r>
      <w:r w:rsidRPr="00EF66BB">
        <w:rPr>
          <w:rFonts w:ascii="Times New Roman" w:eastAsia="TimesNewRoman" w:hAnsi="Times New Roman" w:cs="Times New Roman"/>
          <w:i/>
          <w:iCs/>
        </w:rPr>
        <w:t xml:space="preserve">p </w:t>
      </w:r>
      <w:r w:rsidRPr="00EF66BB">
        <w:rPr>
          <w:rFonts w:ascii="Times New Roman" w:eastAsia="TimesNewRoman" w:hAnsi="Times New Roman" w:cs="Times New Roman"/>
        </w:rPr>
        <w:t>=0.681</w:t>
      </w:r>
      <w:r w:rsidRPr="00EF66BB">
        <w:rPr>
          <w:rFonts w:ascii="Times New Roman" w:hAnsi="Times New Roman" w:cs="Times New Roman"/>
        </w:rPr>
        <w:t xml:space="preserve">). </w:t>
      </w:r>
      <w:r w:rsidRPr="00EF66BB">
        <w:rPr>
          <w:rFonts w:ascii="Times New Roman" w:hAnsi="Times New Roman" w:cs="Times New Roman"/>
          <w:color w:val="000000"/>
        </w:rPr>
        <w:t xml:space="preserve">To determine whether the above conditional and indirect relationships were influenced by our control variables, the analyses were repeated with all control variables. Although the indirect and conditional relationships were somewhat attenuated, the findings provided support for unconditional indirect effects for all these variables. </w:t>
      </w:r>
    </w:p>
    <w:p w14:paraId="5345D2FA" w14:textId="482D45A8" w:rsidR="00FF2D2E" w:rsidRPr="00E45B28" w:rsidRDefault="008F29B6" w:rsidP="00141231">
      <w:pPr>
        <w:autoSpaceDE w:val="0"/>
        <w:autoSpaceDN w:val="0"/>
        <w:adjustRightInd w:val="0"/>
        <w:spacing w:line="360" w:lineRule="auto"/>
        <w:rPr>
          <w:rFonts w:ascii="Times New Roman" w:hAnsi="Times New Roman" w:cs="Times New Roman"/>
          <w:color w:val="000000"/>
        </w:rPr>
      </w:pPr>
      <w:r w:rsidRPr="00EF66BB">
        <w:rPr>
          <w:rFonts w:ascii="Times New Roman" w:hAnsi="Times New Roman" w:cs="Times New Roman"/>
        </w:rPr>
        <w:t xml:space="preserve">Table </w:t>
      </w:r>
      <w:r w:rsidR="00A05DC7">
        <w:rPr>
          <w:rFonts w:ascii="Times New Roman" w:hAnsi="Times New Roman" w:cs="Times New Roman"/>
        </w:rPr>
        <w:t>3</w:t>
      </w:r>
      <w:r w:rsidRPr="00EF66BB">
        <w:rPr>
          <w:rFonts w:ascii="Times New Roman" w:hAnsi="Times New Roman" w:cs="Times New Roman"/>
        </w:rPr>
        <w:t>: Moderated mediation</w:t>
      </w:r>
    </w:p>
    <w:tbl>
      <w:tblPr>
        <w:tblStyle w:val="TableGrid"/>
        <w:tblW w:w="9928" w:type="dxa"/>
        <w:tblBorders>
          <w:insideH w:val="none" w:sz="0" w:space="0" w:color="auto"/>
          <w:insideV w:val="none" w:sz="0" w:space="0" w:color="auto"/>
        </w:tblBorders>
        <w:tblLayout w:type="fixed"/>
        <w:tblLook w:val="04A0" w:firstRow="1" w:lastRow="0" w:firstColumn="1" w:lastColumn="0" w:noHBand="0" w:noVBand="1"/>
      </w:tblPr>
      <w:tblGrid>
        <w:gridCol w:w="3155"/>
        <w:gridCol w:w="1354"/>
        <w:gridCol w:w="1053"/>
        <w:gridCol w:w="904"/>
        <w:gridCol w:w="3462"/>
      </w:tblGrid>
      <w:tr w:rsidR="008F29B6" w:rsidRPr="003E306B" w14:paraId="1283502A" w14:textId="77777777" w:rsidTr="00E45B28">
        <w:trPr>
          <w:trHeight w:val="409"/>
        </w:trPr>
        <w:tc>
          <w:tcPr>
            <w:tcW w:w="3155" w:type="dxa"/>
            <w:tcBorders>
              <w:bottom w:val="single" w:sz="4" w:space="0" w:color="auto"/>
              <w:right w:val="single" w:sz="4" w:space="0" w:color="auto"/>
            </w:tcBorders>
          </w:tcPr>
          <w:p w14:paraId="580045E4"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Strategic Planning – moderator </w:t>
            </w:r>
          </w:p>
        </w:tc>
        <w:tc>
          <w:tcPr>
            <w:tcW w:w="1354" w:type="dxa"/>
            <w:tcBorders>
              <w:left w:val="single" w:sz="4" w:space="0" w:color="auto"/>
              <w:bottom w:val="single" w:sz="4" w:space="0" w:color="auto"/>
              <w:right w:val="single" w:sz="4" w:space="0" w:color="auto"/>
            </w:tcBorders>
          </w:tcPr>
          <w:p w14:paraId="1D861BAA" w14:textId="77777777" w:rsidR="008F29B6" w:rsidRPr="003E306B" w:rsidRDefault="008F29B6" w:rsidP="00141231">
            <w:pPr>
              <w:pStyle w:val="NoSpacing"/>
              <w:rPr>
                <w:rFonts w:ascii="Times New Roman" w:hAnsi="Times New Roman" w:cs="Times New Roman"/>
                <w:sz w:val="20"/>
                <w:szCs w:val="20"/>
              </w:rPr>
            </w:pPr>
          </w:p>
        </w:tc>
        <w:tc>
          <w:tcPr>
            <w:tcW w:w="1957" w:type="dxa"/>
            <w:gridSpan w:val="2"/>
            <w:tcBorders>
              <w:left w:val="single" w:sz="4" w:space="0" w:color="auto"/>
              <w:bottom w:val="single" w:sz="4" w:space="0" w:color="auto"/>
              <w:right w:val="single" w:sz="4" w:space="0" w:color="auto"/>
            </w:tcBorders>
          </w:tcPr>
          <w:p w14:paraId="3CE00873"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Bootstrap confidence intervals </w:t>
            </w:r>
          </w:p>
        </w:tc>
        <w:tc>
          <w:tcPr>
            <w:tcW w:w="3462" w:type="dxa"/>
            <w:tcBorders>
              <w:left w:val="single" w:sz="4" w:space="0" w:color="auto"/>
              <w:bottom w:val="single" w:sz="4" w:space="0" w:color="auto"/>
            </w:tcBorders>
          </w:tcPr>
          <w:p w14:paraId="79B0E663"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Model </w:t>
            </w:r>
          </w:p>
        </w:tc>
      </w:tr>
      <w:tr w:rsidR="008F29B6" w:rsidRPr="003E306B" w14:paraId="1A06A0F8" w14:textId="77777777" w:rsidTr="00E45B28">
        <w:trPr>
          <w:trHeight w:val="190"/>
        </w:trPr>
        <w:tc>
          <w:tcPr>
            <w:tcW w:w="3155" w:type="dxa"/>
            <w:tcBorders>
              <w:top w:val="single" w:sz="4" w:space="0" w:color="auto"/>
              <w:right w:val="single" w:sz="4" w:space="0" w:color="auto"/>
            </w:tcBorders>
          </w:tcPr>
          <w:p w14:paraId="52A719D2" w14:textId="18EE5557" w:rsidR="008F29B6" w:rsidRPr="003E306B" w:rsidRDefault="008F29B6" w:rsidP="00141231">
            <w:pPr>
              <w:pStyle w:val="NoSpacing"/>
              <w:rPr>
                <w:rFonts w:ascii="Times New Roman" w:hAnsi="Times New Roman" w:cs="Times New Roman"/>
                <w:sz w:val="20"/>
                <w:szCs w:val="20"/>
              </w:rPr>
            </w:pPr>
          </w:p>
        </w:tc>
        <w:tc>
          <w:tcPr>
            <w:tcW w:w="1354" w:type="dxa"/>
            <w:tcBorders>
              <w:top w:val="single" w:sz="4" w:space="0" w:color="auto"/>
              <w:left w:val="single" w:sz="4" w:space="0" w:color="auto"/>
              <w:right w:val="single" w:sz="4" w:space="0" w:color="auto"/>
            </w:tcBorders>
          </w:tcPr>
          <w:p w14:paraId="6F9680D3"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Β (sig) </w:t>
            </w:r>
          </w:p>
        </w:tc>
        <w:tc>
          <w:tcPr>
            <w:tcW w:w="1053" w:type="dxa"/>
            <w:tcBorders>
              <w:top w:val="single" w:sz="4" w:space="0" w:color="auto"/>
              <w:left w:val="single" w:sz="4" w:space="0" w:color="auto"/>
            </w:tcBorders>
          </w:tcPr>
          <w:p w14:paraId="7BD9224C"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Upper </w:t>
            </w:r>
          </w:p>
        </w:tc>
        <w:tc>
          <w:tcPr>
            <w:tcW w:w="903" w:type="dxa"/>
            <w:tcBorders>
              <w:top w:val="single" w:sz="4" w:space="0" w:color="auto"/>
              <w:right w:val="single" w:sz="4" w:space="0" w:color="auto"/>
            </w:tcBorders>
          </w:tcPr>
          <w:p w14:paraId="5405C35B"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Lower</w:t>
            </w:r>
          </w:p>
        </w:tc>
        <w:tc>
          <w:tcPr>
            <w:tcW w:w="3462" w:type="dxa"/>
            <w:vMerge w:val="restart"/>
            <w:tcBorders>
              <w:top w:val="single" w:sz="4" w:space="0" w:color="auto"/>
              <w:left w:val="single" w:sz="4" w:space="0" w:color="auto"/>
            </w:tcBorders>
          </w:tcPr>
          <w:p w14:paraId="7C245CBC" w14:textId="56535043" w:rsidR="008F29B6" w:rsidRPr="003E306B" w:rsidRDefault="003E306B" w:rsidP="00141231">
            <w:pPr>
              <w:pStyle w:val="NoSpacing"/>
              <w:rPr>
                <w:rFonts w:ascii="Times New Roman" w:hAnsi="Times New Roman" w:cs="Times New Roman"/>
                <w:sz w:val="20"/>
                <w:szCs w:val="20"/>
              </w:rPr>
            </w:pP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08416" behindDoc="0" locked="0" layoutInCell="1" allowOverlap="1" wp14:anchorId="61450D83" wp14:editId="3D3C0705">
                      <wp:simplePos x="0" y="0"/>
                      <wp:positionH relativeFrom="column">
                        <wp:posOffset>1235867</wp:posOffset>
                      </wp:positionH>
                      <wp:positionV relativeFrom="paragraph">
                        <wp:posOffset>266669</wp:posOffset>
                      </wp:positionV>
                      <wp:extent cx="190500" cy="14287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190500" cy="142875"/>
                              </a:xfrm>
                              <a:prstGeom prst="rect">
                                <a:avLst/>
                              </a:prstGeom>
                              <a:solidFill>
                                <a:sysClr val="window" lastClr="FFFFFF"/>
                              </a:solidFill>
                              <a:ln w="6350">
                                <a:noFill/>
                              </a:ln>
                            </wps:spPr>
                            <wps:txbx>
                              <w:txbxContent>
                                <w:p w14:paraId="6501BE5A" w14:textId="77777777" w:rsidR="007B4FF2" w:rsidRPr="00E264F2" w:rsidRDefault="007B4FF2" w:rsidP="008F29B6">
                                  <w:pPr>
                                    <w:rPr>
                                      <w:sz w:val="16"/>
                                      <w:szCs w:val="16"/>
                                    </w:rPr>
                                  </w:pPr>
                                  <w:r w:rsidRPr="00E264F2">
                                    <w:rPr>
                                      <w:sz w:val="16"/>
                                      <w:szCs w:val="16"/>
                                    </w:rPr>
                                    <w:t xml:space="preserve"> </w:t>
                                  </w:r>
                                  <w:r>
                                    <w:rPr>
                                      <w:sz w:val="16"/>
                                      <w:szCs w:val="16"/>
                                    </w:rPr>
                                    <w:t>b</w:t>
                                  </w:r>
                                  <w:r w:rsidRPr="00E264F2">
                                    <w:rPr>
                                      <w:sz w:val="16"/>
                                      <w:szCs w:val="16"/>
                                    </w:rPr>
                                    <w:t>/</w:t>
                                  </w:r>
                                  <w:r>
                                    <w:rPr>
                                      <w:sz w:val="16"/>
                                      <w:szCs w:val="16"/>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1450D83" id="Text Box 10" o:spid="_x0000_s1027" type="#_x0000_t202" style="position:absolute;margin-left:97.3pt;margin-top:21pt;width:15pt;height:11.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" fillcolor="window" stroked="f" strokeweight=".5pt">
                      <v:textbox inset="0,0,0,0">
                        <w:txbxContent>
                          <w:p w14:paraId="6501BE5A" w14:textId="77777777" w:rsidR="007B4FF2" w:rsidRPr="00E264F2" w:rsidRDefault="007B4FF2" w:rsidP="008F29B6">
                            <w:pPr>
                              <w:rPr>
                                <w:sz w:val="16"/>
                                <w:szCs w:val="16"/>
                              </w:rPr>
                            </w:pPr>
                            <w:r w:rsidRPr="00E264F2">
                              <w:rPr>
                                <w:sz w:val="16"/>
                                <w:szCs w:val="16"/>
                              </w:rPr>
                              <w:t xml:space="preserve"> </w:t>
                            </w:r>
                            <w:r>
                              <w:rPr>
                                <w:sz w:val="16"/>
                                <w:szCs w:val="16"/>
                              </w:rPr>
                              <w:t>b</w:t>
                            </w:r>
                            <w:r w:rsidRPr="00E264F2">
                              <w:rPr>
                                <w:sz w:val="16"/>
                                <w:szCs w:val="16"/>
                              </w:rPr>
                              <w:t>/</w:t>
                            </w:r>
                            <w:r>
                              <w:rPr>
                                <w:sz w:val="16"/>
                                <w:szCs w:val="16"/>
                              </w:rPr>
                              <w:t>d</w:t>
                            </w:r>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03296" behindDoc="0" locked="0" layoutInCell="1" allowOverlap="1" wp14:anchorId="3D16E37D" wp14:editId="0F11B8A9">
                      <wp:simplePos x="0" y="0"/>
                      <wp:positionH relativeFrom="column">
                        <wp:posOffset>1436894</wp:posOffset>
                      </wp:positionH>
                      <wp:positionV relativeFrom="paragraph">
                        <wp:posOffset>320360</wp:posOffset>
                      </wp:positionV>
                      <wp:extent cx="540264" cy="268274"/>
                      <wp:effectExtent l="0" t="0" r="12700" b="17780"/>
                      <wp:wrapNone/>
                      <wp:docPr id="9" name="Text Box 9"/>
                      <wp:cNvGraphicFramePr/>
                      <a:graphic xmlns:a="http://schemas.openxmlformats.org/drawingml/2006/main">
                        <a:graphicData uri="http://schemas.microsoft.com/office/word/2010/wordprocessingShape">
                          <wps:wsp>
                            <wps:cNvSpPr txBox="1"/>
                            <wps:spPr>
                              <a:xfrm>
                                <a:off x="0" y="0"/>
                                <a:ext cx="540264" cy="268274"/>
                              </a:xfrm>
                              <a:prstGeom prst="rect">
                                <a:avLst/>
                              </a:prstGeom>
                              <a:solidFill>
                                <a:sysClr val="window" lastClr="FFFFFF"/>
                              </a:solidFill>
                              <a:ln w="6350">
                                <a:solidFill>
                                  <a:prstClr val="black"/>
                                </a:solidFill>
                              </a:ln>
                            </wps:spPr>
                            <wps:txbx>
                              <w:txbxContent>
                                <w:p w14:paraId="2DA37391" w14:textId="77777777" w:rsidR="007B4FF2" w:rsidRPr="003E306B" w:rsidRDefault="007B4FF2" w:rsidP="008F29B6">
                                  <w:pPr>
                                    <w:pStyle w:val="NoSpacing"/>
                                    <w:jc w:val="center"/>
                                    <w:rPr>
                                      <w:rFonts w:ascii="Times New Roman" w:hAnsi="Times New Roman" w:cs="Times New Roman"/>
                                      <w:sz w:val="16"/>
                                      <w:szCs w:val="16"/>
                                    </w:rPr>
                                  </w:pPr>
                                  <w:r w:rsidRPr="003E306B">
                                    <w:rPr>
                                      <w:rFonts w:ascii="Times New Roman" w:hAnsi="Times New Roman" w:cs="Times New Roman"/>
                                      <w:sz w:val="16"/>
                                      <w:szCs w:val="16"/>
                                    </w:rPr>
                                    <w:t>TT effectiveness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6E37D" id="Text Box 9" o:spid="_x0000_s1028" type="#_x0000_t202" style="position:absolute;margin-left:113.15pt;margin-top:25.25pt;width:42.55pt;height:21.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" fillcolor="window" strokeweight=".5pt">
                      <v:textbox inset="0,0,0,0">
                        <w:txbxContent>
                          <w:p w14:paraId="2DA37391" w14:textId="77777777" w:rsidR="007B4FF2" w:rsidRPr="003E306B" w:rsidRDefault="007B4FF2" w:rsidP="008F29B6">
                            <w:pPr>
                              <w:pStyle w:val="NoSpacing"/>
                              <w:jc w:val="center"/>
                              <w:rPr>
                                <w:rFonts w:ascii="Times New Roman" w:hAnsi="Times New Roman" w:cs="Times New Roman"/>
                                <w:sz w:val="16"/>
                                <w:szCs w:val="16"/>
                              </w:rPr>
                            </w:pPr>
                            <w:r w:rsidRPr="003E306B">
                              <w:rPr>
                                <w:rFonts w:ascii="Times New Roman" w:hAnsi="Times New Roman" w:cs="Times New Roman"/>
                                <w:sz w:val="16"/>
                                <w:szCs w:val="16"/>
                              </w:rPr>
                              <w:t>TT effectiveness</w:t>
                            </w:r>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05344" behindDoc="0" locked="0" layoutInCell="1" allowOverlap="1" wp14:anchorId="4FCF5764" wp14:editId="5D47B381">
                      <wp:simplePos x="0" y="0"/>
                      <wp:positionH relativeFrom="column">
                        <wp:posOffset>1225550</wp:posOffset>
                      </wp:positionH>
                      <wp:positionV relativeFrom="paragraph">
                        <wp:posOffset>453064</wp:posOffset>
                      </wp:positionV>
                      <wp:extent cx="211597" cy="6177"/>
                      <wp:effectExtent l="0" t="76200" r="17145" b="89535"/>
                      <wp:wrapNone/>
                      <wp:docPr id="6" name="Straight Arrow Connector 6"/>
                      <wp:cNvGraphicFramePr/>
                      <a:graphic xmlns:a="http://schemas.openxmlformats.org/drawingml/2006/main">
                        <a:graphicData uri="http://schemas.microsoft.com/office/word/2010/wordprocessingShape">
                          <wps:wsp>
                            <wps:cNvCnPr/>
                            <wps:spPr>
                              <a:xfrm flipV="1">
                                <a:off x="0" y="0"/>
                                <a:ext cx="211597" cy="617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C309AC1" id="Straight Arrow Connector 6" o:spid="_x0000_s1026" type="#_x0000_t32" style="position:absolute;margin-left:96.5pt;margin-top:35.65pt;width:16.65pt;height:.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" strokecolor="windowText" strokeweight=".5pt">
                      <v:stroke endarrow="block" joinstyle="miter"/>
                    </v:shape>
                  </w:pict>
                </mc:Fallback>
              </mc:AlternateContent>
            </w:r>
            <w:r w:rsidR="00813ACC" w:rsidRPr="003E306B">
              <w:rPr>
                <w:rFonts w:ascii="Times New Roman" w:hAnsi="Times New Roman" w:cs="Times New Roman"/>
                <w:noProof/>
                <w:sz w:val="20"/>
                <w:szCs w:val="20"/>
                <w:lang w:eastAsia="en-GB"/>
              </w:rPr>
              <mc:AlternateContent>
                <mc:Choice Requires="wps">
                  <w:drawing>
                    <wp:anchor distT="0" distB="0" distL="114300" distR="114300" simplePos="0" relativeHeight="251706368" behindDoc="0" locked="0" layoutInCell="1" allowOverlap="1" wp14:anchorId="7415E1D5" wp14:editId="57467696">
                      <wp:simplePos x="0" y="0"/>
                      <wp:positionH relativeFrom="column">
                        <wp:posOffset>533448</wp:posOffset>
                      </wp:positionH>
                      <wp:positionV relativeFrom="paragraph">
                        <wp:posOffset>624981</wp:posOffset>
                      </wp:positionV>
                      <wp:extent cx="337803" cy="153593"/>
                      <wp:effectExtent l="0" t="38100" r="62865" b="18415"/>
                      <wp:wrapNone/>
                      <wp:docPr id="4" name="Straight Arrow Connector 4"/>
                      <wp:cNvGraphicFramePr/>
                      <a:graphic xmlns:a="http://schemas.openxmlformats.org/drawingml/2006/main">
                        <a:graphicData uri="http://schemas.microsoft.com/office/word/2010/wordprocessingShape">
                          <wps:wsp>
                            <wps:cNvCnPr/>
                            <wps:spPr>
                              <a:xfrm flipV="1">
                                <a:off x="0" y="0"/>
                                <a:ext cx="337803" cy="153593"/>
                              </a:xfrm>
                              <a:prstGeom prst="straightConnector1">
                                <a:avLst/>
                              </a:prstGeom>
                              <a:noFill/>
                              <a:ln w="6350" cap="flat" cmpd="sng" algn="ctr">
                                <a:solidFill>
                                  <a:sysClr val="windowText" lastClr="000000"/>
                                </a:solidFill>
                                <a:prstDash val="dash"/>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3484CC9" id="Straight Arrow Connector 4" o:spid="_x0000_s1026" type="#_x0000_t32" style="position:absolute;margin-left:42pt;margin-top:49.2pt;width:26.6pt;height:12.1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" strokecolor="windowText" strokeweight=".5pt">
                      <v:stroke dashstyle="dash" endarrow="block" joinstyle="miter"/>
                    </v:shape>
                  </w:pict>
                </mc:Fallback>
              </mc:AlternateContent>
            </w:r>
            <w:r w:rsidR="00813ACC" w:rsidRPr="003E306B">
              <w:rPr>
                <w:rFonts w:ascii="Times New Roman" w:hAnsi="Times New Roman" w:cs="Times New Roman"/>
                <w:noProof/>
                <w:sz w:val="20"/>
                <w:szCs w:val="20"/>
                <w:lang w:eastAsia="en-GB"/>
              </w:rPr>
              <mc:AlternateContent>
                <mc:Choice Requires="wps">
                  <w:drawing>
                    <wp:anchor distT="0" distB="0" distL="114300" distR="114300" simplePos="0" relativeHeight="251704320" behindDoc="0" locked="0" layoutInCell="1" allowOverlap="1" wp14:anchorId="6A9831BC" wp14:editId="78D9CCDB">
                      <wp:simplePos x="0" y="0"/>
                      <wp:positionH relativeFrom="column">
                        <wp:posOffset>498503</wp:posOffset>
                      </wp:positionH>
                      <wp:positionV relativeFrom="paragraph">
                        <wp:posOffset>177096</wp:posOffset>
                      </wp:positionV>
                      <wp:extent cx="396046" cy="180551"/>
                      <wp:effectExtent l="0" t="0" r="80645" b="67310"/>
                      <wp:wrapNone/>
                      <wp:docPr id="13" name="Straight Arrow Connector 13"/>
                      <wp:cNvGraphicFramePr/>
                      <a:graphic xmlns:a="http://schemas.openxmlformats.org/drawingml/2006/main">
                        <a:graphicData uri="http://schemas.microsoft.com/office/word/2010/wordprocessingShape">
                          <wps:wsp>
                            <wps:cNvCnPr/>
                            <wps:spPr>
                              <a:xfrm>
                                <a:off x="0" y="0"/>
                                <a:ext cx="396046" cy="1805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966B7F0" id="Straight Arrow Connector 13" o:spid="_x0000_s1026" type="#_x0000_t32" style="position:absolute;margin-left:39.25pt;margin-top:13.95pt;width:31.2pt;height:1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" strokecolor="windowText" strokeweight=".5pt">
                      <v:stroke endarrow="block" joinstyle="miter"/>
                    </v:shape>
                  </w:pict>
                </mc:Fallback>
              </mc:AlternateContent>
            </w:r>
            <w:r w:rsidR="00813ACC" w:rsidRPr="003E306B">
              <w:rPr>
                <w:rFonts w:ascii="Times New Roman" w:hAnsi="Times New Roman" w:cs="Times New Roman"/>
                <w:noProof/>
                <w:sz w:val="20"/>
                <w:szCs w:val="20"/>
                <w:lang w:eastAsia="en-GB"/>
              </w:rPr>
              <mc:AlternateContent>
                <mc:Choice Requires="wps">
                  <w:drawing>
                    <wp:anchor distT="0" distB="0" distL="114300" distR="114300" simplePos="0" relativeHeight="251702272" behindDoc="0" locked="0" layoutInCell="1" allowOverlap="1" wp14:anchorId="0BAD9A53" wp14:editId="7C115E69">
                      <wp:simplePos x="0" y="0"/>
                      <wp:positionH relativeFrom="column">
                        <wp:posOffset>614461</wp:posOffset>
                      </wp:positionH>
                      <wp:positionV relativeFrom="paragraph">
                        <wp:posOffset>357108</wp:posOffset>
                      </wp:positionV>
                      <wp:extent cx="600075" cy="267913"/>
                      <wp:effectExtent l="0" t="0" r="28575" b="18415"/>
                      <wp:wrapNone/>
                      <wp:docPr id="12" name="Text Box 12"/>
                      <wp:cNvGraphicFramePr/>
                      <a:graphic xmlns:a="http://schemas.openxmlformats.org/drawingml/2006/main">
                        <a:graphicData uri="http://schemas.microsoft.com/office/word/2010/wordprocessingShape">
                          <wps:wsp>
                            <wps:cNvSpPr txBox="1"/>
                            <wps:spPr>
                              <a:xfrm>
                                <a:off x="0" y="0"/>
                                <a:ext cx="600075" cy="267913"/>
                              </a:xfrm>
                              <a:prstGeom prst="rect">
                                <a:avLst/>
                              </a:prstGeom>
                              <a:solidFill>
                                <a:sysClr val="window" lastClr="FFFFFF"/>
                              </a:solidFill>
                              <a:ln w="6350">
                                <a:solidFill>
                                  <a:prstClr val="black"/>
                                </a:solidFill>
                              </a:ln>
                            </wps:spPr>
                            <wps:txbx>
                              <w:txbxContent>
                                <w:p w14:paraId="5C0B5654" w14:textId="7D5915A7" w:rsidR="007B4FF2" w:rsidRPr="00813ACC" w:rsidRDefault="007B4FF2" w:rsidP="00813ACC">
                                  <w:pPr>
                                    <w:pStyle w:val="NoSpacing"/>
                                    <w:jc w:val="center"/>
                                    <w:rPr>
                                      <w:rFonts w:ascii="Times New Roman" w:hAnsi="Times New Roman" w:cs="Times New Roman"/>
                                      <w:sz w:val="16"/>
                                      <w:szCs w:val="16"/>
                                    </w:rPr>
                                  </w:pPr>
                                  <w:r w:rsidRPr="00813ACC">
                                    <w:rPr>
                                      <w:rFonts w:ascii="Times New Roman" w:hAnsi="Times New Roman" w:cs="Times New Roman"/>
                                      <w:sz w:val="16"/>
                                      <w:szCs w:val="16"/>
                                    </w:rPr>
                                    <w:t>TT strategic</w:t>
                                  </w:r>
                                  <w:r>
                                    <w:rPr>
                                      <w:rFonts w:ascii="Times New Roman" w:hAnsi="Times New Roman" w:cs="Times New Roman"/>
                                      <w:sz w:val="16"/>
                                      <w:szCs w:val="16"/>
                                    </w:rPr>
                                    <w:t xml:space="preserve"> priority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D9A53" id="Text Box 12" o:spid="_x0000_s1029" type="#_x0000_t202" style="position:absolute;margin-left:48.4pt;margin-top:28.1pt;width:47.25pt;height:2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" fillcolor="window" strokeweight=".5pt">
                      <v:textbox inset="0,0,0,0">
                        <w:txbxContent>
                          <w:p w14:paraId="5C0B5654" w14:textId="7D5915A7" w:rsidR="007B4FF2" w:rsidRPr="00813ACC" w:rsidRDefault="007B4FF2" w:rsidP="00813ACC">
                            <w:pPr>
                              <w:pStyle w:val="NoSpacing"/>
                              <w:jc w:val="center"/>
                              <w:rPr>
                                <w:rFonts w:ascii="Times New Roman" w:hAnsi="Times New Roman" w:cs="Times New Roman"/>
                                <w:sz w:val="16"/>
                                <w:szCs w:val="16"/>
                              </w:rPr>
                            </w:pPr>
                            <w:r w:rsidRPr="00813ACC">
                              <w:rPr>
                                <w:rFonts w:ascii="Times New Roman" w:hAnsi="Times New Roman" w:cs="Times New Roman"/>
                                <w:sz w:val="16"/>
                                <w:szCs w:val="16"/>
                              </w:rPr>
                              <w:t>TT strategic</w:t>
                            </w:r>
                            <w:r>
                              <w:rPr>
                                <w:rFonts w:ascii="Times New Roman" w:hAnsi="Times New Roman" w:cs="Times New Roman"/>
                                <w:sz w:val="16"/>
                                <w:szCs w:val="16"/>
                              </w:rPr>
                              <w:t xml:space="preserve"> priority</w:t>
                            </w:r>
                          </w:p>
                        </w:txbxContent>
                      </v:textbox>
                    </v:shape>
                  </w:pict>
                </mc:Fallback>
              </mc:AlternateContent>
            </w:r>
            <w:r w:rsidR="00813ACC" w:rsidRPr="003E306B">
              <w:rPr>
                <w:rFonts w:ascii="Times New Roman" w:hAnsi="Times New Roman" w:cs="Times New Roman"/>
                <w:noProof/>
                <w:sz w:val="20"/>
                <w:szCs w:val="20"/>
                <w:lang w:eastAsia="en-GB"/>
              </w:rPr>
              <mc:AlternateContent>
                <mc:Choice Requires="wps">
                  <w:drawing>
                    <wp:anchor distT="0" distB="0" distL="114300" distR="114300" simplePos="0" relativeHeight="251701248" behindDoc="0" locked="0" layoutInCell="1" allowOverlap="1" wp14:anchorId="312BE1FA" wp14:editId="34C056D4">
                      <wp:simplePos x="0" y="0"/>
                      <wp:positionH relativeFrom="column">
                        <wp:posOffset>-13861</wp:posOffset>
                      </wp:positionH>
                      <wp:positionV relativeFrom="paragraph">
                        <wp:posOffset>677735</wp:posOffset>
                      </wp:positionV>
                      <wp:extent cx="533400" cy="20002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533400" cy="200025"/>
                              </a:xfrm>
                              <a:prstGeom prst="rect">
                                <a:avLst/>
                              </a:prstGeom>
                              <a:solidFill>
                                <a:sysClr val="window" lastClr="FFFFFF"/>
                              </a:solidFill>
                              <a:ln w="6350">
                                <a:solidFill>
                                  <a:prstClr val="black"/>
                                </a:solidFill>
                              </a:ln>
                            </wps:spPr>
                            <wps:txbx>
                              <w:txbxContent>
                                <w:p w14:paraId="0BF175F8" w14:textId="77777777" w:rsidR="007B4FF2" w:rsidRPr="00813ACC" w:rsidRDefault="007B4FF2" w:rsidP="00813ACC">
                                  <w:pPr>
                                    <w:pStyle w:val="NoSpacing"/>
                                    <w:rPr>
                                      <w:rFonts w:ascii="Times New Roman" w:hAnsi="Times New Roman" w:cs="Times New Roman"/>
                                      <w:sz w:val="18"/>
                                      <w:szCs w:val="18"/>
                                    </w:rPr>
                                  </w:pPr>
                                  <w:r w:rsidRPr="00813ACC">
                                    <w:rPr>
                                      <w:rFonts w:ascii="Times New Roman" w:hAnsi="Times New Roman" w:cs="Times New Roman"/>
                                      <w:sz w:val="18"/>
                                      <w:szCs w:val="18"/>
                                    </w:rPr>
                                    <w:t xml:space="preserve">Incentives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BE1FA" id="Text Box 14" o:spid="_x0000_s1030" type="#_x0000_t202" style="position:absolute;margin-left:-1.1pt;margin-top:53.35pt;width:42pt;height:15.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" fillcolor="window" strokeweight=".5pt">
                      <v:textbox inset="0,0,0,0">
                        <w:txbxContent>
                          <w:p w14:paraId="0BF175F8" w14:textId="77777777" w:rsidR="007B4FF2" w:rsidRPr="00813ACC" w:rsidRDefault="007B4FF2" w:rsidP="00813ACC">
                            <w:pPr>
                              <w:pStyle w:val="NoSpacing"/>
                              <w:rPr>
                                <w:rFonts w:ascii="Times New Roman" w:hAnsi="Times New Roman" w:cs="Times New Roman"/>
                                <w:sz w:val="18"/>
                                <w:szCs w:val="18"/>
                              </w:rPr>
                            </w:pPr>
                            <w:r w:rsidRPr="00813ACC">
                              <w:rPr>
                                <w:rFonts w:ascii="Times New Roman" w:hAnsi="Times New Roman" w:cs="Times New Roman"/>
                                <w:sz w:val="18"/>
                                <w:szCs w:val="18"/>
                              </w:rPr>
                              <w:t xml:space="preserve">Incentives </w:t>
                            </w:r>
                          </w:p>
                        </w:txbxContent>
                      </v:textbox>
                    </v:shape>
                  </w:pict>
                </mc:Fallback>
              </mc:AlternateContent>
            </w:r>
            <w:r w:rsidR="00813ACC" w:rsidRPr="003E306B">
              <w:rPr>
                <w:rFonts w:ascii="Times New Roman" w:hAnsi="Times New Roman" w:cs="Times New Roman"/>
                <w:noProof/>
                <w:sz w:val="20"/>
                <w:szCs w:val="20"/>
                <w:lang w:eastAsia="en-GB"/>
              </w:rPr>
              <mc:AlternateContent>
                <mc:Choice Requires="wps">
                  <w:drawing>
                    <wp:anchor distT="0" distB="0" distL="114300" distR="114300" simplePos="0" relativeHeight="251700224" behindDoc="0" locked="0" layoutInCell="1" allowOverlap="1" wp14:anchorId="51B5F6E5" wp14:editId="1DECB9C8">
                      <wp:simplePos x="0" y="0"/>
                      <wp:positionH relativeFrom="column">
                        <wp:posOffset>-8202</wp:posOffset>
                      </wp:positionH>
                      <wp:positionV relativeFrom="paragraph">
                        <wp:posOffset>66435</wp:posOffset>
                      </wp:positionV>
                      <wp:extent cx="495300" cy="244617"/>
                      <wp:effectExtent l="0" t="0" r="19050" b="22225"/>
                      <wp:wrapNone/>
                      <wp:docPr id="26" name="Text Box 26"/>
                      <wp:cNvGraphicFramePr/>
                      <a:graphic xmlns:a="http://schemas.openxmlformats.org/drawingml/2006/main">
                        <a:graphicData uri="http://schemas.microsoft.com/office/word/2010/wordprocessingShape">
                          <wps:wsp>
                            <wps:cNvSpPr txBox="1"/>
                            <wps:spPr>
                              <a:xfrm>
                                <a:off x="0" y="0"/>
                                <a:ext cx="495300" cy="244617"/>
                              </a:xfrm>
                              <a:prstGeom prst="rect">
                                <a:avLst/>
                              </a:prstGeom>
                              <a:solidFill>
                                <a:schemeClr val="lt1"/>
                              </a:solidFill>
                              <a:ln w="6350">
                                <a:solidFill>
                                  <a:prstClr val="black"/>
                                </a:solidFill>
                              </a:ln>
                            </wps:spPr>
                            <wps:txbx>
                              <w:txbxContent>
                                <w:p w14:paraId="52EF8E1B" w14:textId="38272072" w:rsidR="007B4FF2" w:rsidRPr="00813ACC" w:rsidRDefault="007B4FF2" w:rsidP="00813ACC">
                                  <w:pPr>
                                    <w:pStyle w:val="NoSpacing"/>
                                    <w:jc w:val="center"/>
                                    <w:rPr>
                                      <w:rFonts w:ascii="Times New Roman" w:hAnsi="Times New Roman" w:cs="Times New Roman"/>
                                      <w:sz w:val="17"/>
                                      <w:szCs w:val="17"/>
                                    </w:rPr>
                                  </w:pPr>
                                  <w:r w:rsidRPr="00813ACC">
                                    <w:rPr>
                                      <w:rFonts w:ascii="Times New Roman" w:hAnsi="Times New Roman" w:cs="Times New Roman"/>
                                      <w:sz w:val="17"/>
                                      <w:szCs w:val="17"/>
                                    </w:rPr>
                                    <w:t xml:space="preserve">TTO support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5F6E5" id="Text Box 26" o:spid="_x0000_s1031" type="#_x0000_t202" style="position:absolute;margin-left:-.65pt;margin-top:5.25pt;width:39pt;height:1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" fillcolor="white [3201]" strokeweight=".5pt">
                      <v:textbox inset="0,0,0,0">
                        <w:txbxContent>
                          <w:p w14:paraId="52EF8E1B" w14:textId="38272072" w:rsidR="007B4FF2" w:rsidRPr="00813ACC" w:rsidRDefault="007B4FF2" w:rsidP="00813ACC">
                            <w:pPr>
                              <w:pStyle w:val="NoSpacing"/>
                              <w:jc w:val="center"/>
                              <w:rPr>
                                <w:rFonts w:ascii="Times New Roman" w:hAnsi="Times New Roman" w:cs="Times New Roman"/>
                                <w:sz w:val="17"/>
                                <w:szCs w:val="17"/>
                              </w:rPr>
                            </w:pPr>
                            <w:r w:rsidRPr="00813ACC">
                              <w:rPr>
                                <w:rFonts w:ascii="Times New Roman" w:hAnsi="Times New Roman" w:cs="Times New Roman"/>
                                <w:sz w:val="17"/>
                                <w:szCs w:val="17"/>
                              </w:rPr>
                              <w:t xml:space="preserve">TTO support </w:t>
                            </w:r>
                          </w:p>
                        </w:txbxContent>
                      </v:textbox>
                    </v:shape>
                  </w:pict>
                </mc:Fallback>
              </mc:AlternateContent>
            </w:r>
            <w:r w:rsidR="008F29B6" w:rsidRPr="003E306B">
              <w:rPr>
                <w:rFonts w:ascii="Times New Roman" w:hAnsi="Times New Roman" w:cs="Times New Roman"/>
                <w:noProof/>
                <w:sz w:val="20"/>
                <w:szCs w:val="20"/>
                <w:lang w:eastAsia="en-GB"/>
              </w:rPr>
              <mc:AlternateContent>
                <mc:Choice Requires="wps">
                  <w:drawing>
                    <wp:anchor distT="0" distB="0" distL="114300" distR="114300" simplePos="0" relativeHeight="251707392" behindDoc="0" locked="0" layoutInCell="1" allowOverlap="1" wp14:anchorId="581E2D8D" wp14:editId="78FB92B5">
                      <wp:simplePos x="0" y="0"/>
                      <wp:positionH relativeFrom="column">
                        <wp:posOffset>627380</wp:posOffset>
                      </wp:positionH>
                      <wp:positionV relativeFrom="paragraph">
                        <wp:posOffset>74930</wp:posOffset>
                      </wp:positionV>
                      <wp:extent cx="190500" cy="142875"/>
                      <wp:effectExtent l="0" t="0" r="0" b="9525"/>
                      <wp:wrapNone/>
                      <wp:docPr id="11" name="Text Box 11"/>
                      <wp:cNvGraphicFramePr/>
                      <a:graphic xmlns:a="http://schemas.openxmlformats.org/drawingml/2006/main">
                        <a:graphicData uri="http://schemas.microsoft.com/office/word/2010/wordprocessingShape">
                          <wps:wsp>
                            <wps:cNvSpPr txBox="1"/>
                            <wps:spPr>
                              <a:xfrm>
                                <a:off x="0" y="0"/>
                                <a:ext cx="190500" cy="142875"/>
                              </a:xfrm>
                              <a:prstGeom prst="rect">
                                <a:avLst/>
                              </a:prstGeom>
                              <a:solidFill>
                                <a:schemeClr val="lt1"/>
                              </a:solidFill>
                              <a:ln w="6350">
                                <a:noFill/>
                              </a:ln>
                            </wps:spPr>
                            <wps:txbx>
                              <w:txbxContent>
                                <w:p w14:paraId="365442DB" w14:textId="77777777" w:rsidR="007B4FF2" w:rsidRPr="00E264F2" w:rsidRDefault="007B4FF2" w:rsidP="008F29B6">
                                  <w:pPr>
                                    <w:rPr>
                                      <w:sz w:val="16"/>
                                      <w:szCs w:val="16"/>
                                    </w:rPr>
                                  </w:pPr>
                                  <w:r w:rsidRPr="00E264F2">
                                    <w:rPr>
                                      <w:sz w:val="16"/>
                                      <w:szCs w:val="16"/>
                                    </w:rPr>
                                    <w:t xml:space="preserve"> a/c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81E2D8D" id="Text Box 11" o:spid="_x0000_s1032" type="#_x0000_t202" style="position:absolute;margin-left:49.4pt;margin-top:5.9pt;width:15pt;height:11.2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" fillcolor="white [3201]" stroked="f" strokeweight=".5pt">
                      <v:textbox inset="0,0,0,0">
                        <w:txbxContent>
                          <w:p w14:paraId="365442DB" w14:textId="77777777" w:rsidR="007B4FF2" w:rsidRPr="00E264F2" w:rsidRDefault="007B4FF2" w:rsidP="008F29B6">
                            <w:pPr>
                              <w:rPr>
                                <w:sz w:val="16"/>
                                <w:szCs w:val="16"/>
                              </w:rPr>
                            </w:pPr>
                            <w:r w:rsidRPr="00E264F2">
                              <w:rPr>
                                <w:sz w:val="16"/>
                                <w:szCs w:val="16"/>
                              </w:rPr>
                              <w:t xml:space="preserve"> a/c</w:t>
                            </w:r>
                          </w:p>
                        </w:txbxContent>
                      </v:textbox>
                    </v:shape>
                  </w:pict>
                </mc:Fallback>
              </mc:AlternateContent>
            </w:r>
          </w:p>
        </w:tc>
      </w:tr>
      <w:tr w:rsidR="008F29B6" w:rsidRPr="003E306B" w14:paraId="2108BE34" w14:textId="77777777" w:rsidTr="00E45B28">
        <w:trPr>
          <w:trHeight w:val="409"/>
        </w:trPr>
        <w:tc>
          <w:tcPr>
            <w:tcW w:w="3155" w:type="dxa"/>
            <w:tcBorders>
              <w:right w:val="single" w:sz="4" w:space="0" w:color="auto"/>
            </w:tcBorders>
          </w:tcPr>
          <w:p w14:paraId="0B5A0990" w14:textId="0A4C97A4" w:rsidR="008F29B6" w:rsidRPr="003E306B" w:rsidRDefault="003E306B" w:rsidP="00141231">
            <w:pPr>
              <w:pStyle w:val="NoSpacing"/>
              <w:rPr>
                <w:rFonts w:ascii="Times New Roman" w:hAnsi="Times New Roman" w:cs="Times New Roman"/>
                <w:i/>
                <w:sz w:val="20"/>
                <w:szCs w:val="20"/>
              </w:rPr>
            </w:pPr>
            <w:r w:rsidRPr="003E306B">
              <w:rPr>
                <w:rFonts w:ascii="Times New Roman" w:hAnsi="Times New Roman" w:cs="Times New Roman"/>
                <w:i/>
                <w:noProof/>
                <w:sz w:val="20"/>
                <w:szCs w:val="20"/>
                <w:lang w:eastAsia="en-GB"/>
              </w:rPr>
              <mc:AlternateContent>
                <mc:Choice Requires="wps">
                  <w:drawing>
                    <wp:anchor distT="0" distB="0" distL="114300" distR="114300" simplePos="0" relativeHeight="251699200" behindDoc="0" locked="0" layoutInCell="1" allowOverlap="1" wp14:anchorId="079B20B7" wp14:editId="7DC16AAF">
                      <wp:simplePos x="0" y="0"/>
                      <wp:positionH relativeFrom="column">
                        <wp:posOffset>737870</wp:posOffset>
                      </wp:positionH>
                      <wp:positionV relativeFrom="paragraph">
                        <wp:posOffset>85725</wp:posOffset>
                      </wp:positionV>
                      <wp:extent cx="333375" cy="8223"/>
                      <wp:effectExtent l="0" t="76200" r="28575" b="87630"/>
                      <wp:wrapNone/>
                      <wp:docPr id="27" name="Straight Arrow Connector 27"/>
                      <wp:cNvGraphicFramePr/>
                      <a:graphic xmlns:a="http://schemas.openxmlformats.org/drawingml/2006/main">
                        <a:graphicData uri="http://schemas.microsoft.com/office/word/2010/wordprocessingShape">
                          <wps:wsp>
                            <wps:cNvCnPr/>
                            <wps:spPr>
                              <a:xfrm flipV="1">
                                <a:off x="0" y="0"/>
                                <a:ext cx="333375" cy="82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637590B" id="Straight Arrow Connector 27" o:spid="_x0000_s1026" type="#_x0000_t32" style="position:absolute;margin-left:58.1pt;margin-top:6.75pt;width:26.25pt;height:.6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" strokecolor="black [3213]" strokeweight=".5pt">
                      <v:stroke endarrow="block" joinstyle="miter"/>
                    </v:shape>
                  </w:pict>
                </mc:Fallback>
              </mc:AlternateContent>
            </w:r>
            <w:r w:rsidR="008F29B6" w:rsidRPr="003E306B">
              <w:rPr>
                <w:rFonts w:ascii="Times New Roman" w:hAnsi="Times New Roman" w:cs="Times New Roman"/>
                <w:i/>
                <w:sz w:val="20"/>
                <w:szCs w:val="20"/>
              </w:rPr>
              <w:t>TT</w:t>
            </w:r>
            <w:r w:rsidR="008F61BC" w:rsidRPr="003E306B">
              <w:rPr>
                <w:rFonts w:ascii="Times New Roman" w:hAnsi="Times New Roman" w:cs="Times New Roman"/>
                <w:i/>
                <w:sz w:val="20"/>
                <w:szCs w:val="20"/>
              </w:rPr>
              <w:t>O support</w:t>
            </w:r>
            <w:r w:rsidR="008F29B6" w:rsidRPr="003E306B">
              <w:rPr>
                <w:rFonts w:ascii="Times New Roman" w:hAnsi="Times New Roman" w:cs="Times New Roman"/>
                <w:i/>
                <w:sz w:val="20"/>
                <w:szCs w:val="20"/>
              </w:rPr>
              <w:t xml:space="preserve">         </w:t>
            </w:r>
            <w:r>
              <w:rPr>
                <w:rFonts w:ascii="Times New Roman" w:hAnsi="Times New Roman" w:cs="Times New Roman"/>
                <w:i/>
                <w:sz w:val="20"/>
                <w:szCs w:val="20"/>
              </w:rPr>
              <w:t xml:space="preserve">       </w:t>
            </w:r>
            <w:r w:rsidR="008F29B6" w:rsidRPr="003E306B">
              <w:rPr>
                <w:rFonts w:ascii="Times New Roman" w:hAnsi="Times New Roman" w:cs="Times New Roman"/>
                <w:i/>
                <w:sz w:val="20"/>
                <w:szCs w:val="20"/>
              </w:rPr>
              <w:t xml:space="preserve"> TT effectiveness </w:t>
            </w:r>
          </w:p>
        </w:tc>
        <w:tc>
          <w:tcPr>
            <w:tcW w:w="1354" w:type="dxa"/>
            <w:tcBorders>
              <w:left w:val="single" w:sz="4" w:space="0" w:color="auto"/>
              <w:right w:val="single" w:sz="4" w:space="0" w:color="auto"/>
            </w:tcBorders>
          </w:tcPr>
          <w:p w14:paraId="182D8706" w14:textId="77777777" w:rsidR="008F29B6" w:rsidRPr="003E306B" w:rsidRDefault="008F29B6" w:rsidP="00141231">
            <w:pPr>
              <w:pStyle w:val="NoSpacing"/>
              <w:rPr>
                <w:rFonts w:ascii="Times New Roman" w:hAnsi="Times New Roman" w:cs="Times New Roman"/>
                <w:sz w:val="20"/>
                <w:szCs w:val="20"/>
              </w:rPr>
            </w:pPr>
          </w:p>
        </w:tc>
        <w:tc>
          <w:tcPr>
            <w:tcW w:w="1053" w:type="dxa"/>
            <w:tcBorders>
              <w:left w:val="single" w:sz="4" w:space="0" w:color="auto"/>
            </w:tcBorders>
          </w:tcPr>
          <w:p w14:paraId="25A19D04" w14:textId="77777777" w:rsidR="008F29B6" w:rsidRPr="003E306B" w:rsidRDefault="008F29B6" w:rsidP="00141231">
            <w:pPr>
              <w:pStyle w:val="NoSpacing"/>
              <w:rPr>
                <w:rFonts w:ascii="Times New Roman" w:hAnsi="Times New Roman" w:cs="Times New Roman"/>
                <w:sz w:val="20"/>
                <w:szCs w:val="20"/>
              </w:rPr>
            </w:pPr>
          </w:p>
        </w:tc>
        <w:tc>
          <w:tcPr>
            <w:tcW w:w="903" w:type="dxa"/>
            <w:tcBorders>
              <w:right w:val="single" w:sz="4" w:space="0" w:color="auto"/>
            </w:tcBorders>
          </w:tcPr>
          <w:p w14:paraId="44115FE5" w14:textId="77777777" w:rsidR="008F29B6" w:rsidRPr="003E306B" w:rsidRDefault="008F29B6" w:rsidP="00141231">
            <w:pPr>
              <w:pStyle w:val="NoSpacing"/>
              <w:rPr>
                <w:rFonts w:ascii="Times New Roman" w:hAnsi="Times New Roman" w:cs="Times New Roman"/>
                <w:sz w:val="20"/>
                <w:szCs w:val="20"/>
              </w:rPr>
            </w:pPr>
          </w:p>
        </w:tc>
        <w:tc>
          <w:tcPr>
            <w:tcW w:w="3462" w:type="dxa"/>
            <w:vMerge/>
            <w:tcBorders>
              <w:left w:val="single" w:sz="4" w:space="0" w:color="auto"/>
            </w:tcBorders>
          </w:tcPr>
          <w:p w14:paraId="6998ABEE"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37740237" w14:textId="77777777" w:rsidTr="00E45B28">
        <w:trPr>
          <w:trHeight w:val="204"/>
        </w:trPr>
        <w:tc>
          <w:tcPr>
            <w:tcW w:w="3155" w:type="dxa"/>
            <w:tcBorders>
              <w:right w:val="single" w:sz="4" w:space="0" w:color="auto"/>
            </w:tcBorders>
          </w:tcPr>
          <w:p w14:paraId="67758437"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(A X B) – ( C X D)</w:t>
            </w:r>
          </w:p>
        </w:tc>
        <w:tc>
          <w:tcPr>
            <w:tcW w:w="1354" w:type="dxa"/>
            <w:tcBorders>
              <w:left w:val="single" w:sz="4" w:space="0" w:color="auto"/>
              <w:right w:val="single" w:sz="4" w:space="0" w:color="auto"/>
            </w:tcBorders>
          </w:tcPr>
          <w:p w14:paraId="225E1C15"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0.44**(.006)</w:t>
            </w:r>
          </w:p>
        </w:tc>
        <w:tc>
          <w:tcPr>
            <w:tcW w:w="1053" w:type="dxa"/>
            <w:tcBorders>
              <w:left w:val="single" w:sz="4" w:space="0" w:color="auto"/>
            </w:tcBorders>
          </w:tcPr>
          <w:p w14:paraId="0F680CE7"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0.771</w:t>
            </w:r>
          </w:p>
        </w:tc>
        <w:tc>
          <w:tcPr>
            <w:tcW w:w="903" w:type="dxa"/>
            <w:tcBorders>
              <w:right w:val="single" w:sz="4" w:space="0" w:color="auto"/>
            </w:tcBorders>
          </w:tcPr>
          <w:p w14:paraId="25C3A108"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0.168</w:t>
            </w:r>
          </w:p>
        </w:tc>
        <w:tc>
          <w:tcPr>
            <w:tcW w:w="3462" w:type="dxa"/>
            <w:vMerge/>
            <w:tcBorders>
              <w:left w:val="single" w:sz="4" w:space="0" w:color="auto"/>
            </w:tcBorders>
          </w:tcPr>
          <w:p w14:paraId="5D0582B3"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1E3D8CB6" w14:textId="77777777" w:rsidTr="00E45B28">
        <w:trPr>
          <w:trHeight w:val="409"/>
        </w:trPr>
        <w:tc>
          <w:tcPr>
            <w:tcW w:w="3155" w:type="dxa"/>
            <w:tcBorders>
              <w:right w:val="single" w:sz="4" w:space="0" w:color="auto"/>
            </w:tcBorders>
          </w:tcPr>
          <w:p w14:paraId="7885D51D"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At a High level of Strategic Planning </w:t>
            </w:r>
          </w:p>
        </w:tc>
        <w:tc>
          <w:tcPr>
            <w:tcW w:w="1354" w:type="dxa"/>
            <w:tcBorders>
              <w:left w:val="single" w:sz="4" w:space="0" w:color="auto"/>
              <w:right w:val="single" w:sz="4" w:space="0" w:color="auto"/>
            </w:tcBorders>
          </w:tcPr>
          <w:p w14:paraId="414DB145" w14:textId="46096702"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0.23**(.007)</w:t>
            </w:r>
          </w:p>
        </w:tc>
        <w:tc>
          <w:tcPr>
            <w:tcW w:w="1053" w:type="dxa"/>
            <w:tcBorders>
              <w:left w:val="single" w:sz="4" w:space="0" w:color="auto"/>
            </w:tcBorders>
          </w:tcPr>
          <w:p w14:paraId="5C968818"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0.128</w:t>
            </w:r>
          </w:p>
        </w:tc>
        <w:tc>
          <w:tcPr>
            <w:tcW w:w="903" w:type="dxa"/>
            <w:tcBorders>
              <w:right w:val="single" w:sz="4" w:space="0" w:color="auto"/>
            </w:tcBorders>
          </w:tcPr>
          <w:p w14:paraId="15EFED5E"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0.329</w:t>
            </w:r>
          </w:p>
        </w:tc>
        <w:tc>
          <w:tcPr>
            <w:tcW w:w="3462" w:type="dxa"/>
            <w:vMerge/>
            <w:tcBorders>
              <w:left w:val="single" w:sz="4" w:space="0" w:color="auto"/>
            </w:tcBorders>
          </w:tcPr>
          <w:p w14:paraId="3071F129"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4A182F9D" w14:textId="77777777" w:rsidTr="00E45B28">
        <w:trPr>
          <w:trHeight w:val="409"/>
        </w:trPr>
        <w:tc>
          <w:tcPr>
            <w:tcW w:w="3155" w:type="dxa"/>
            <w:tcBorders>
              <w:bottom w:val="double" w:sz="4" w:space="0" w:color="auto"/>
              <w:right w:val="single" w:sz="4" w:space="0" w:color="auto"/>
            </w:tcBorders>
          </w:tcPr>
          <w:p w14:paraId="3A4BDB4A"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At a Low level of Strategic Planning </w:t>
            </w:r>
          </w:p>
        </w:tc>
        <w:tc>
          <w:tcPr>
            <w:tcW w:w="1354" w:type="dxa"/>
            <w:tcBorders>
              <w:left w:val="single" w:sz="4" w:space="0" w:color="auto"/>
              <w:bottom w:val="double" w:sz="4" w:space="0" w:color="auto"/>
              <w:right w:val="single" w:sz="4" w:space="0" w:color="auto"/>
            </w:tcBorders>
          </w:tcPr>
          <w:p w14:paraId="0B287011"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-0.02 (0.718)</w:t>
            </w:r>
          </w:p>
        </w:tc>
        <w:tc>
          <w:tcPr>
            <w:tcW w:w="1053" w:type="dxa"/>
            <w:tcBorders>
              <w:left w:val="single" w:sz="4" w:space="0" w:color="auto"/>
              <w:bottom w:val="double" w:sz="4" w:space="0" w:color="auto"/>
            </w:tcBorders>
          </w:tcPr>
          <w:p w14:paraId="295FE8E9"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-0.154</w:t>
            </w:r>
          </w:p>
        </w:tc>
        <w:tc>
          <w:tcPr>
            <w:tcW w:w="903" w:type="dxa"/>
            <w:tcBorders>
              <w:bottom w:val="double" w:sz="4" w:space="0" w:color="auto"/>
              <w:right w:val="single" w:sz="4" w:space="0" w:color="auto"/>
            </w:tcBorders>
          </w:tcPr>
          <w:p w14:paraId="5F76F6FA"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0.096</w:t>
            </w:r>
          </w:p>
        </w:tc>
        <w:tc>
          <w:tcPr>
            <w:tcW w:w="3462" w:type="dxa"/>
            <w:vMerge/>
            <w:tcBorders>
              <w:left w:val="single" w:sz="4" w:space="0" w:color="auto"/>
            </w:tcBorders>
          </w:tcPr>
          <w:p w14:paraId="71EDC7D5"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6CD22EBD" w14:textId="77777777" w:rsidTr="00E45B28">
        <w:trPr>
          <w:trHeight w:val="409"/>
        </w:trPr>
        <w:tc>
          <w:tcPr>
            <w:tcW w:w="3155" w:type="dxa"/>
            <w:tcBorders>
              <w:right w:val="single" w:sz="4" w:space="0" w:color="auto"/>
            </w:tcBorders>
          </w:tcPr>
          <w:p w14:paraId="1210837C" w14:textId="094245A2" w:rsidR="008F29B6" w:rsidRPr="003E306B" w:rsidRDefault="008F29B6" w:rsidP="00141231">
            <w:pPr>
              <w:pStyle w:val="NoSpacing"/>
              <w:rPr>
                <w:rFonts w:ascii="Times New Roman" w:hAnsi="Times New Roman" w:cs="Times New Roman"/>
                <w:i/>
                <w:sz w:val="20"/>
                <w:szCs w:val="20"/>
              </w:rPr>
            </w:pPr>
            <w:r w:rsidRPr="003E306B">
              <w:rPr>
                <w:rFonts w:ascii="Times New Roman" w:hAnsi="Times New Roman" w:cs="Times New Roman"/>
                <w:i/>
                <w:noProof/>
                <w:sz w:val="20"/>
                <w:szCs w:val="20"/>
                <w:lang w:eastAsia="en-GB"/>
              </w:rPr>
              <mc:AlternateContent>
                <mc:Choice Requires="wps">
                  <w:drawing>
                    <wp:anchor distT="0" distB="0" distL="114300" distR="114300" simplePos="0" relativeHeight="251709440" behindDoc="0" locked="0" layoutInCell="1" allowOverlap="1" wp14:anchorId="4D0A28D5" wp14:editId="300E6AD5">
                      <wp:simplePos x="0" y="0"/>
                      <wp:positionH relativeFrom="column">
                        <wp:posOffset>709295</wp:posOffset>
                      </wp:positionH>
                      <wp:positionV relativeFrom="paragraph">
                        <wp:posOffset>47442</wp:posOffset>
                      </wp:positionV>
                      <wp:extent cx="361950" cy="9045"/>
                      <wp:effectExtent l="0" t="76200" r="19050" b="86360"/>
                      <wp:wrapNone/>
                      <wp:docPr id="28" name="Straight Arrow Connector 28"/>
                      <wp:cNvGraphicFramePr/>
                      <a:graphic xmlns:a="http://schemas.openxmlformats.org/drawingml/2006/main">
                        <a:graphicData uri="http://schemas.microsoft.com/office/word/2010/wordprocessingShape">
                          <wps:wsp>
                            <wps:cNvCnPr/>
                            <wps:spPr>
                              <a:xfrm flipV="1">
                                <a:off x="0" y="0"/>
                                <a:ext cx="361950" cy="90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8C0D1B7" id="Straight Arrow Connector 28" o:spid="_x0000_s1026" type="#_x0000_t32" style="position:absolute;margin-left:55.85pt;margin-top:3.75pt;width:28.5pt;height:.7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" strokecolor="black [3213]" strokeweight=".5pt">
                      <v:stroke endarrow="block" joinstyle="miter"/>
                    </v:shape>
                  </w:pict>
                </mc:Fallback>
              </mc:AlternateContent>
            </w:r>
            <w:r w:rsidRPr="003E306B">
              <w:rPr>
                <w:rFonts w:ascii="Times New Roman" w:hAnsi="Times New Roman" w:cs="Times New Roman"/>
                <w:i/>
                <w:sz w:val="20"/>
                <w:szCs w:val="20"/>
              </w:rPr>
              <w:t xml:space="preserve">Incentivising         </w:t>
            </w:r>
            <w:r w:rsidR="003E306B">
              <w:rPr>
                <w:rFonts w:ascii="Times New Roman" w:hAnsi="Times New Roman" w:cs="Times New Roman"/>
                <w:i/>
                <w:sz w:val="20"/>
                <w:szCs w:val="20"/>
              </w:rPr>
              <w:t xml:space="preserve">      </w:t>
            </w:r>
            <w:r w:rsidRPr="003E306B">
              <w:rPr>
                <w:rFonts w:ascii="Times New Roman" w:hAnsi="Times New Roman" w:cs="Times New Roman"/>
                <w:i/>
                <w:sz w:val="20"/>
                <w:szCs w:val="20"/>
              </w:rPr>
              <w:t xml:space="preserve">TT effectiveness </w:t>
            </w:r>
          </w:p>
        </w:tc>
        <w:tc>
          <w:tcPr>
            <w:tcW w:w="1354" w:type="dxa"/>
            <w:tcBorders>
              <w:left w:val="single" w:sz="4" w:space="0" w:color="auto"/>
              <w:right w:val="single" w:sz="4" w:space="0" w:color="auto"/>
            </w:tcBorders>
          </w:tcPr>
          <w:p w14:paraId="1E90DA94" w14:textId="77777777" w:rsidR="008F29B6" w:rsidRPr="003E306B" w:rsidRDefault="008F29B6" w:rsidP="00141231">
            <w:pPr>
              <w:pStyle w:val="NoSpacing"/>
              <w:rPr>
                <w:rFonts w:ascii="Times New Roman" w:hAnsi="Times New Roman" w:cs="Times New Roman"/>
                <w:sz w:val="20"/>
                <w:szCs w:val="20"/>
              </w:rPr>
            </w:pPr>
          </w:p>
        </w:tc>
        <w:tc>
          <w:tcPr>
            <w:tcW w:w="1053" w:type="dxa"/>
            <w:tcBorders>
              <w:left w:val="single" w:sz="4" w:space="0" w:color="auto"/>
            </w:tcBorders>
          </w:tcPr>
          <w:p w14:paraId="361E31E3" w14:textId="77777777" w:rsidR="008F29B6" w:rsidRPr="003E306B" w:rsidRDefault="008F29B6" w:rsidP="00141231">
            <w:pPr>
              <w:pStyle w:val="NoSpacing"/>
              <w:rPr>
                <w:rFonts w:ascii="Times New Roman" w:hAnsi="Times New Roman" w:cs="Times New Roman"/>
                <w:sz w:val="20"/>
                <w:szCs w:val="20"/>
              </w:rPr>
            </w:pPr>
          </w:p>
        </w:tc>
        <w:tc>
          <w:tcPr>
            <w:tcW w:w="903" w:type="dxa"/>
            <w:tcBorders>
              <w:right w:val="single" w:sz="4" w:space="0" w:color="auto"/>
            </w:tcBorders>
          </w:tcPr>
          <w:p w14:paraId="3F6CAE4D" w14:textId="77777777" w:rsidR="008F29B6" w:rsidRPr="003E306B" w:rsidRDefault="008F29B6" w:rsidP="00141231">
            <w:pPr>
              <w:pStyle w:val="NoSpacing"/>
              <w:rPr>
                <w:rFonts w:ascii="Times New Roman" w:hAnsi="Times New Roman" w:cs="Times New Roman"/>
                <w:sz w:val="20"/>
                <w:szCs w:val="20"/>
              </w:rPr>
            </w:pPr>
          </w:p>
        </w:tc>
        <w:tc>
          <w:tcPr>
            <w:tcW w:w="3462" w:type="dxa"/>
            <w:vMerge w:val="restart"/>
            <w:tcBorders>
              <w:left w:val="single" w:sz="4" w:space="0" w:color="auto"/>
            </w:tcBorders>
          </w:tcPr>
          <w:p w14:paraId="47679BD6" w14:textId="311BEA04" w:rsidR="008F29B6" w:rsidRPr="003E306B" w:rsidRDefault="003E306B" w:rsidP="00141231">
            <w:pPr>
              <w:pStyle w:val="NoSpacing"/>
              <w:rPr>
                <w:rFonts w:ascii="Times New Roman" w:hAnsi="Times New Roman" w:cs="Times New Roman"/>
                <w:sz w:val="20"/>
                <w:szCs w:val="20"/>
              </w:rPr>
            </w:pP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18656" behindDoc="0" locked="0" layoutInCell="1" allowOverlap="1" wp14:anchorId="076F56D7" wp14:editId="3C88766D">
                      <wp:simplePos x="0" y="0"/>
                      <wp:positionH relativeFrom="column">
                        <wp:posOffset>1253500</wp:posOffset>
                      </wp:positionH>
                      <wp:positionV relativeFrom="paragraph">
                        <wp:posOffset>146685</wp:posOffset>
                      </wp:positionV>
                      <wp:extent cx="190500" cy="142875"/>
                      <wp:effectExtent l="0" t="0" r="0" b="9525"/>
                      <wp:wrapNone/>
                      <wp:docPr id="49" name="Text Box 49"/>
                      <wp:cNvGraphicFramePr/>
                      <a:graphic xmlns:a="http://schemas.openxmlformats.org/drawingml/2006/main">
                        <a:graphicData uri="http://schemas.microsoft.com/office/word/2010/wordprocessingShape">
                          <wps:wsp>
                            <wps:cNvSpPr txBox="1"/>
                            <wps:spPr>
                              <a:xfrm>
                                <a:off x="0" y="0"/>
                                <a:ext cx="190500" cy="142875"/>
                              </a:xfrm>
                              <a:prstGeom prst="rect">
                                <a:avLst/>
                              </a:prstGeom>
                              <a:solidFill>
                                <a:sysClr val="window" lastClr="FFFFFF"/>
                              </a:solidFill>
                              <a:ln w="6350">
                                <a:noFill/>
                              </a:ln>
                            </wps:spPr>
                            <wps:txbx>
                              <w:txbxContent>
                                <w:p w14:paraId="27DF2880" w14:textId="77777777" w:rsidR="007B4FF2" w:rsidRPr="00E264F2" w:rsidRDefault="007B4FF2" w:rsidP="008F29B6">
                                  <w:pPr>
                                    <w:rPr>
                                      <w:sz w:val="16"/>
                                      <w:szCs w:val="16"/>
                                    </w:rPr>
                                  </w:pPr>
                                  <w:r w:rsidRPr="00E264F2">
                                    <w:rPr>
                                      <w:sz w:val="16"/>
                                      <w:szCs w:val="16"/>
                                    </w:rPr>
                                    <w:t xml:space="preserve"> </w:t>
                                  </w:r>
                                  <w:r>
                                    <w:rPr>
                                      <w:sz w:val="16"/>
                                      <w:szCs w:val="16"/>
                                    </w:rPr>
                                    <w:t>f</w:t>
                                  </w:r>
                                  <w:r w:rsidRPr="00E264F2">
                                    <w:rPr>
                                      <w:sz w:val="16"/>
                                      <w:szCs w:val="16"/>
                                    </w:rPr>
                                    <w:t>/</w:t>
                                  </w:r>
                                  <w:r>
                                    <w:rPr>
                                      <w:sz w:val="16"/>
                                      <w:szCs w:val="16"/>
                                    </w:rPr>
                                    <w: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6F56D7" id="Text Box 49" o:spid="_x0000_s1033" type="#_x0000_t202" style="position:absolute;margin-left:98.7pt;margin-top:11.55pt;width:15pt;height:11.2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" fillcolor="window" stroked="f" strokeweight=".5pt">
                      <v:textbox inset="0,0,0,0">
                        <w:txbxContent>
                          <w:p w14:paraId="27DF2880" w14:textId="77777777" w:rsidR="007B4FF2" w:rsidRPr="00E264F2" w:rsidRDefault="007B4FF2" w:rsidP="008F29B6">
                            <w:pPr>
                              <w:rPr>
                                <w:sz w:val="16"/>
                                <w:szCs w:val="16"/>
                              </w:rPr>
                            </w:pPr>
                            <w:r w:rsidRPr="00E264F2">
                              <w:rPr>
                                <w:sz w:val="16"/>
                                <w:szCs w:val="16"/>
                              </w:rPr>
                              <w:t xml:space="preserve"> </w:t>
                            </w:r>
                            <w:proofErr w:type="gramStart"/>
                            <w:r>
                              <w:rPr>
                                <w:sz w:val="16"/>
                                <w:szCs w:val="16"/>
                              </w:rPr>
                              <w:t>f</w:t>
                            </w:r>
                            <w:r w:rsidRPr="00E264F2">
                              <w:rPr>
                                <w:sz w:val="16"/>
                                <w:szCs w:val="16"/>
                              </w:rPr>
                              <w:t>/</w:t>
                            </w:r>
                            <w:r>
                              <w:rPr>
                                <w:sz w:val="16"/>
                                <w:szCs w:val="16"/>
                              </w:rPr>
                              <w:t>h</w:t>
                            </w:r>
                            <w:proofErr w:type="gramEnd"/>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15584" behindDoc="0" locked="0" layoutInCell="1" allowOverlap="1" wp14:anchorId="76DC8DC3" wp14:editId="6FE3140B">
                      <wp:simplePos x="0" y="0"/>
                      <wp:positionH relativeFrom="column">
                        <wp:posOffset>1221834</wp:posOffset>
                      </wp:positionH>
                      <wp:positionV relativeFrom="paragraph">
                        <wp:posOffset>392592</wp:posOffset>
                      </wp:positionV>
                      <wp:extent cx="211597" cy="6177"/>
                      <wp:effectExtent l="0" t="76200" r="17145" b="89535"/>
                      <wp:wrapNone/>
                      <wp:docPr id="53" name="Straight Arrow Connector 53"/>
                      <wp:cNvGraphicFramePr/>
                      <a:graphic xmlns:a="http://schemas.openxmlformats.org/drawingml/2006/main">
                        <a:graphicData uri="http://schemas.microsoft.com/office/word/2010/wordprocessingShape">
                          <wps:wsp>
                            <wps:cNvCnPr/>
                            <wps:spPr>
                              <a:xfrm flipV="1">
                                <a:off x="0" y="0"/>
                                <a:ext cx="211597" cy="617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6EBFFE5" id="Straight Arrow Connector 53" o:spid="_x0000_s1026" type="#_x0000_t32" style="position:absolute;margin-left:96.2pt;margin-top:30.9pt;width:16.65pt;height:.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" strokecolor="windowText" strokeweight=".5pt">
                      <v:stroke endarrow="block" joinstyle="miter"/>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24800" behindDoc="0" locked="0" layoutInCell="1" allowOverlap="1" wp14:anchorId="04E8B880" wp14:editId="580F3BA6">
                      <wp:simplePos x="0" y="0"/>
                      <wp:positionH relativeFrom="column">
                        <wp:posOffset>1445859</wp:posOffset>
                      </wp:positionH>
                      <wp:positionV relativeFrom="paragraph">
                        <wp:posOffset>260224</wp:posOffset>
                      </wp:positionV>
                      <wp:extent cx="540264" cy="268274"/>
                      <wp:effectExtent l="0" t="0" r="12700" b="17780"/>
                      <wp:wrapNone/>
                      <wp:docPr id="29" name="Text Box 29"/>
                      <wp:cNvGraphicFramePr/>
                      <a:graphic xmlns:a="http://schemas.openxmlformats.org/drawingml/2006/main">
                        <a:graphicData uri="http://schemas.microsoft.com/office/word/2010/wordprocessingShape">
                          <wps:wsp>
                            <wps:cNvSpPr txBox="1"/>
                            <wps:spPr>
                              <a:xfrm>
                                <a:off x="0" y="0"/>
                                <a:ext cx="540264" cy="268274"/>
                              </a:xfrm>
                              <a:prstGeom prst="rect">
                                <a:avLst/>
                              </a:prstGeom>
                              <a:solidFill>
                                <a:sysClr val="window" lastClr="FFFFFF"/>
                              </a:solidFill>
                              <a:ln w="6350">
                                <a:solidFill>
                                  <a:prstClr val="black"/>
                                </a:solidFill>
                              </a:ln>
                            </wps:spPr>
                            <wps:txbx>
                              <w:txbxContent>
                                <w:p w14:paraId="7F827783" w14:textId="77777777" w:rsidR="007B4FF2" w:rsidRPr="003E306B" w:rsidRDefault="007B4FF2" w:rsidP="003E306B">
                                  <w:pPr>
                                    <w:pStyle w:val="NoSpacing"/>
                                    <w:jc w:val="center"/>
                                    <w:rPr>
                                      <w:rFonts w:ascii="Times New Roman" w:hAnsi="Times New Roman" w:cs="Times New Roman"/>
                                      <w:sz w:val="16"/>
                                      <w:szCs w:val="16"/>
                                    </w:rPr>
                                  </w:pPr>
                                  <w:r w:rsidRPr="003E306B">
                                    <w:rPr>
                                      <w:rFonts w:ascii="Times New Roman" w:hAnsi="Times New Roman" w:cs="Times New Roman"/>
                                      <w:sz w:val="16"/>
                                      <w:szCs w:val="16"/>
                                    </w:rPr>
                                    <w:t>TT effectiveness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8B880" id="Text Box 29" o:spid="_x0000_s1034" type="#_x0000_t202" style="position:absolute;margin-left:113.85pt;margin-top:20.5pt;width:42.55pt;height:21.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" fillcolor="window" strokeweight=".5pt">
                      <v:textbox inset="0,0,0,0">
                        <w:txbxContent>
                          <w:p w14:paraId="7F827783" w14:textId="77777777" w:rsidR="007B4FF2" w:rsidRPr="003E306B" w:rsidRDefault="007B4FF2" w:rsidP="003E306B">
                            <w:pPr>
                              <w:pStyle w:val="NoSpacing"/>
                              <w:jc w:val="center"/>
                              <w:rPr>
                                <w:rFonts w:ascii="Times New Roman" w:hAnsi="Times New Roman" w:cs="Times New Roman"/>
                                <w:sz w:val="16"/>
                                <w:szCs w:val="16"/>
                              </w:rPr>
                            </w:pPr>
                            <w:r w:rsidRPr="003E306B">
                              <w:rPr>
                                <w:rFonts w:ascii="Times New Roman" w:hAnsi="Times New Roman" w:cs="Times New Roman"/>
                                <w:sz w:val="16"/>
                                <w:szCs w:val="16"/>
                              </w:rPr>
                              <w:t>TT effectiveness</w:t>
                            </w:r>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22752" behindDoc="0" locked="0" layoutInCell="1" allowOverlap="1" wp14:anchorId="210C65F8" wp14:editId="715FD0F7">
                      <wp:simplePos x="0" y="0"/>
                      <wp:positionH relativeFrom="column">
                        <wp:posOffset>633121</wp:posOffset>
                      </wp:positionH>
                      <wp:positionV relativeFrom="paragraph">
                        <wp:posOffset>271114</wp:posOffset>
                      </wp:positionV>
                      <wp:extent cx="600075" cy="267913"/>
                      <wp:effectExtent l="0" t="0" r="28575" b="18415"/>
                      <wp:wrapNone/>
                      <wp:docPr id="25" name="Text Box 25"/>
                      <wp:cNvGraphicFramePr/>
                      <a:graphic xmlns:a="http://schemas.openxmlformats.org/drawingml/2006/main">
                        <a:graphicData uri="http://schemas.microsoft.com/office/word/2010/wordprocessingShape">
                          <wps:wsp>
                            <wps:cNvSpPr txBox="1"/>
                            <wps:spPr>
                              <a:xfrm>
                                <a:off x="0" y="0"/>
                                <a:ext cx="600075" cy="267913"/>
                              </a:xfrm>
                              <a:prstGeom prst="rect">
                                <a:avLst/>
                              </a:prstGeom>
                              <a:solidFill>
                                <a:sysClr val="window" lastClr="FFFFFF"/>
                              </a:solidFill>
                              <a:ln w="6350">
                                <a:solidFill>
                                  <a:prstClr val="black"/>
                                </a:solidFill>
                              </a:ln>
                            </wps:spPr>
                            <wps:txbx>
                              <w:txbxContent>
                                <w:p w14:paraId="26693461" w14:textId="77777777" w:rsidR="007B4FF2" w:rsidRPr="00813ACC" w:rsidRDefault="007B4FF2" w:rsidP="003E306B">
                                  <w:pPr>
                                    <w:pStyle w:val="NoSpacing"/>
                                    <w:jc w:val="center"/>
                                    <w:rPr>
                                      <w:rFonts w:ascii="Times New Roman" w:hAnsi="Times New Roman" w:cs="Times New Roman"/>
                                      <w:sz w:val="16"/>
                                      <w:szCs w:val="16"/>
                                    </w:rPr>
                                  </w:pPr>
                                  <w:r w:rsidRPr="00813ACC">
                                    <w:rPr>
                                      <w:rFonts w:ascii="Times New Roman" w:hAnsi="Times New Roman" w:cs="Times New Roman"/>
                                      <w:sz w:val="16"/>
                                      <w:szCs w:val="16"/>
                                    </w:rPr>
                                    <w:t>TT strategic</w:t>
                                  </w:r>
                                  <w:r>
                                    <w:rPr>
                                      <w:rFonts w:ascii="Times New Roman" w:hAnsi="Times New Roman" w:cs="Times New Roman"/>
                                      <w:sz w:val="16"/>
                                      <w:szCs w:val="16"/>
                                    </w:rPr>
                                    <w:t xml:space="preserve"> priority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C65F8" id="Text Box 25" o:spid="_x0000_s1035" type="#_x0000_t202" style="position:absolute;margin-left:49.85pt;margin-top:21.35pt;width:47.25pt;height:21.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" fillcolor="window" strokeweight=".5pt">
                      <v:textbox inset="0,0,0,0">
                        <w:txbxContent>
                          <w:p w14:paraId="26693461" w14:textId="77777777" w:rsidR="007B4FF2" w:rsidRPr="00813ACC" w:rsidRDefault="007B4FF2" w:rsidP="003E306B">
                            <w:pPr>
                              <w:pStyle w:val="NoSpacing"/>
                              <w:jc w:val="center"/>
                              <w:rPr>
                                <w:rFonts w:ascii="Times New Roman" w:hAnsi="Times New Roman" w:cs="Times New Roman"/>
                                <w:sz w:val="16"/>
                                <w:szCs w:val="16"/>
                              </w:rPr>
                            </w:pPr>
                            <w:r w:rsidRPr="00813ACC">
                              <w:rPr>
                                <w:rFonts w:ascii="Times New Roman" w:hAnsi="Times New Roman" w:cs="Times New Roman"/>
                                <w:sz w:val="16"/>
                                <w:szCs w:val="16"/>
                              </w:rPr>
                              <w:t>TT strategic</w:t>
                            </w:r>
                            <w:r>
                              <w:rPr>
                                <w:rFonts w:ascii="Times New Roman" w:hAnsi="Times New Roman" w:cs="Times New Roman"/>
                                <w:sz w:val="16"/>
                                <w:szCs w:val="16"/>
                              </w:rPr>
                              <w:t xml:space="preserve"> priority</w:t>
                            </w:r>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17632" behindDoc="0" locked="0" layoutInCell="1" allowOverlap="1" wp14:anchorId="71F047D8" wp14:editId="2D2AC858">
                      <wp:simplePos x="0" y="0"/>
                      <wp:positionH relativeFrom="column">
                        <wp:posOffset>693451</wp:posOffset>
                      </wp:positionH>
                      <wp:positionV relativeFrom="paragraph">
                        <wp:posOffset>632298</wp:posOffset>
                      </wp:positionV>
                      <wp:extent cx="190500" cy="142875"/>
                      <wp:effectExtent l="0" t="0" r="0" b="9525"/>
                      <wp:wrapNone/>
                      <wp:docPr id="36" name="Text Box 36"/>
                      <wp:cNvGraphicFramePr/>
                      <a:graphic xmlns:a="http://schemas.openxmlformats.org/drawingml/2006/main">
                        <a:graphicData uri="http://schemas.microsoft.com/office/word/2010/wordprocessingShape">
                          <wps:wsp>
                            <wps:cNvSpPr txBox="1"/>
                            <wps:spPr>
                              <a:xfrm>
                                <a:off x="0" y="0"/>
                                <a:ext cx="190500" cy="142875"/>
                              </a:xfrm>
                              <a:prstGeom prst="rect">
                                <a:avLst/>
                              </a:prstGeom>
                              <a:solidFill>
                                <a:sysClr val="window" lastClr="FFFFFF"/>
                              </a:solidFill>
                              <a:ln w="6350">
                                <a:noFill/>
                              </a:ln>
                            </wps:spPr>
                            <wps:txbx>
                              <w:txbxContent>
                                <w:p w14:paraId="5F3BD514" w14:textId="77777777" w:rsidR="007B4FF2" w:rsidRPr="00E264F2" w:rsidRDefault="007B4FF2" w:rsidP="008F29B6">
                                  <w:pPr>
                                    <w:rPr>
                                      <w:sz w:val="16"/>
                                      <w:szCs w:val="16"/>
                                    </w:rPr>
                                  </w:pPr>
                                  <w:r w:rsidRPr="00E264F2">
                                    <w:rPr>
                                      <w:sz w:val="16"/>
                                      <w:szCs w:val="16"/>
                                    </w:rPr>
                                    <w:t xml:space="preserve"> </w:t>
                                  </w:r>
                                  <w:r>
                                    <w:rPr>
                                      <w:sz w:val="16"/>
                                      <w:szCs w:val="16"/>
                                    </w:rPr>
                                    <w:t>e</w:t>
                                  </w:r>
                                  <w:r w:rsidRPr="00E264F2">
                                    <w:rPr>
                                      <w:sz w:val="16"/>
                                      <w:szCs w:val="16"/>
                                    </w:rPr>
                                    <w:t>/</w:t>
                                  </w:r>
                                  <w:r>
                                    <w:rPr>
                                      <w:sz w:val="16"/>
                                      <w:szCs w:val="16"/>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1F047D8" id="Text Box 36" o:spid="_x0000_s1036" type="#_x0000_t202" style="position:absolute;margin-left:54.6pt;margin-top:49.8pt;width:15pt;height:11.2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" fillcolor="window" stroked="f" strokeweight=".5pt">
                      <v:textbox inset="0,0,0,0">
                        <w:txbxContent>
                          <w:p w14:paraId="5F3BD514" w14:textId="77777777" w:rsidR="007B4FF2" w:rsidRPr="00E264F2" w:rsidRDefault="007B4FF2" w:rsidP="008F29B6">
                            <w:pPr>
                              <w:rPr>
                                <w:sz w:val="16"/>
                                <w:szCs w:val="16"/>
                              </w:rPr>
                            </w:pPr>
                            <w:r w:rsidRPr="00E264F2">
                              <w:rPr>
                                <w:sz w:val="16"/>
                                <w:szCs w:val="16"/>
                              </w:rPr>
                              <w:t xml:space="preserve"> </w:t>
                            </w:r>
                            <w:proofErr w:type="gramStart"/>
                            <w:r>
                              <w:rPr>
                                <w:sz w:val="16"/>
                                <w:szCs w:val="16"/>
                              </w:rPr>
                              <w:t>e</w:t>
                            </w:r>
                            <w:r w:rsidRPr="00E264F2">
                              <w:rPr>
                                <w:sz w:val="16"/>
                                <w:szCs w:val="16"/>
                              </w:rPr>
                              <w:t>/</w:t>
                            </w:r>
                            <w:r>
                              <w:rPr>
                                <w:sz w:val="16"/>
                                <w:szCs w:val="16"/>
                              </w:rPr>
                              <w:t>g</w:t>
                            </w:r>
                            <w:proofErr w:type="gramEnd"/>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16608" behindDoc="0" locked="0" layoutInCell="1" allowOverlap="1" wp14:anchorId="5AC5CDB3" wp14:editId="710A46E4">
                      <wp:simplePos x="0" y="0"/>
                      <wp:positionH relativeFrom="column">
                        <wp:posOffset>519105</wp:posOffset>
                      </wp:positionH>
                      <wp:positionV relativeFrom="paragraph">
                        <wp:posOffset>535756</wp:posOffset>
                      </wp:positionV>
                      <wp:extent cx="404300" cy="152867"/>
                      <wp:effectExtent l="0" t="38100" r="53340" b="19050"/>
                      <wp:wrapNone/>
                      <wp:docPr id="50" name="Straight Arrow Connector 50"/>
                      <wp:cNvGraphicFramePr/>
                      <a:graphic xmlns:a="http://schemas.openxmlformats.org/drawingml/2006/main">
                        <a:graphicData uri="http://schemas.microsoft.com/office/word/2010/wordprocessingShape">
                          <wps:wsp>
                            <wps:cNvCnPr/>
                            <wps:spPr>
                              <a:xfrm flipV="1">
                                <a:off x="0" y="0"/>
                                <a:ext cx="404300" cy="15286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D504D31" id="Straight Arrow Connector 50" o:spid="_x0000_s1026" type="#_x0000_t32" style="position:absolute;margin-left:40.85pt;margin-top:42.2pt;width:31.85pt;height:12.0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" strokecolor="windowText" strokeweight=".5pt">
                      <v:stroke endarrow="block" joinstyle="miter"/>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11488" behindDoc="0" locked="0" layoutInCell="1" allowOverlap="1" wp14:anchorId="3853D190" wp14:editId="1253C9A6">
                      <wp:simplePos x="0" y="0"/>
                      <wp:positionH relativeFrom="column">
                        <wp:posOffset>-20409</wp:posOffset>
                      </wp:positionH>
                      <wp:positionV relativeFrom="paragraph">
                        <wp:posOffset>599319</wp:posOffset>
                      </wp:positionV>
                      <wp:extent cx="533400" cy="200025"/>
                      <wp:effectExtent l="0" t="0" r="19050" b="28575"/>
                      <wp:wrapNone/>
                      <wp:docPr id="56" name="Text Box 56"/>
                      <wp:cNvGraphicFramePr/>
                      <a:graphic xmlns:a="http://schemas.openxmlformats.org/drawingml/2006/main">
                        <a:graphicData uri="http://schemas.microsoft.com/office/word/2010/wordprocessingShape">
                          <wps:wsp>
                            <wps:cNvSpPr txBox="1"/>
                            <wps:spPr>
                              <a:xfrm>
                                <a:off x="0" y="0"/>
                                <a:ext cx="533400" cy="200025"/>
                              </a:xfrm>
                              <a:prstGeom prst="rect">
                                <a:avLst/>
                              </a:prstGeom>
                              <a:solidFill>
                                <a:sysClr val="window" lastClr="FFFFFF"/>
                              </a:solidFill>
                              <a:ln w="6350">
                                <a:solidFill>
                                  <a:prstClr val="black"/>
                                </a:solidFill>
                              </a:ln>
                            </wps:spPr>
                            <wps:txbx>
                              <w:txbxContent>
                                <w:p w14:paraId="1963C079" w14:textId="77777777" w:rsidR="007B4FF2" w:rsidRPr="003E306B" w:rsidRDefault="007B4FF2" w:rsidP="003E306B">
                                  <w:pPr>
                                    <w:pStyle w:val="NoSpacing"/>
                                    <w:rPr>
                                      <w:rFonts w:ascii="Times New Roman" w:hAnsi="Times New Roman" w:cs="Times New Roman"/>
                                      <w:sz w:val="18"/>
                                      <w:szCs w:val="18"/>
                                    </w:rPr>
                                  </w:pPr>
                                  <w:r w:rsidRPr="003E306B">
                                    <w:rPr>
                                      <w:rFonts w:ascii="Times New Roman" w:hAnsi="Times New Roman" w:cs="Times New Roman"/>
                                      <w:sz w:val="18"/>
                                      <w:szCs w:val="18"/>
                                    </w:rPr>
                                    <w:t xml:space="preserve">Incentives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D190" id="Text Box 56" o:spid="_x0000_s1037" type="#_x0000_t202" style="position:absolute;margin-left:-1.6pt;margin-top:47.2pt;width:42pt;height:15.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" fillcolor="window" strokeweight=".5pt">
                      <v:textbox inset="0,0,0,0">
                        <w:txbxContent>
                          <w:p w14:paraId="1963C079" w14:textId="77777777" w:rsidR="007B4FF2" w:rsidRPr="003E306B" w:rsidRDefault="007B4FF2" w:rsidP="003E306B">
                            <w:pPr>
                              <w:pStyle w:val="NoSpacing"/>
                              <w:rPr>
                                <w:rFonts w:ascii="Times New Roman" w:hAnsi="Times New Roman" w:cs="Times New Roman"/>
                                <w:sz w:val="18"/>
                                <w:szCs w:val="18"/>
                              </w:rPr>
                            </w:pPr>
                            <w:r w:rsidRPr="003E306B">
                              <w:rPr>
                                <w:rFonts w:ascii="Times New Roman" w:hAnsi="Times New Roman" w:cs="Times New Roman"/>
                                <w:sz w:val="18"/>
                                <w:szCs w:val="18"/>
                              </w:rPr>
                              <w:t xml:space="preserve">Incentives </w:t>
                            </w:r>
                          </w:p>
                        </w:txbxContent>
                      </v:textbox>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14560" behindDoc="0" locked="0" layoutInCell="1" allowOverlap="1" wp14:anchorId="217AF123" wp14:editId="24046CAC">
                      <wp:simplePos x="0" y="0"/>
                      <wp:positionH relativeFrom="column">
                        <wp:posOffset>511716</wp:posOffset>
                      </wp:positionH>
                      <wp:positionV relativeFrom="paragraph">
                        <wp:posOffset>116992</wp:posOffset>
                      </wp:positionV>
                      <wp:extent cx="401231" cy="138624"/>
                      <wp:effectExtent l="0" t="0" r="75565" b="71120"/>
                      <wp:wrapNone/>
                      <wp:docPr id="51" name="Straight Arrow Connector 51"/>
                      <wp:cNvGraphicFramePr/>
                      <a:graphic xmlns:a="http://schemas.openxmlformats.org/drawingml/2006/main">
                        <a:graphicData uri="http://schemas.microsoft.com/office/word/2010/wordprocessingShape">
                          <wps:wsp>
                            <wps:cNvCnPr/>
                            <wps:spPr>
                              <a:xfrm>
                                <a:off x="0" y="0"/>
                                <a:ext cx="401231" cy="138624"/>
                              </a:xfrm>
                              <a:prstGeom prst="straightConnector1">
                                <a:avLst/>
                              </a:prstGeom>
                              <a:noFill/>
                              <a:ln w="6350" cap="flat" cmpd="sng" algn="ctr">
                                <a:solidFill>
                                  <a:sysClr val="windowText" lastClr="000000"/>
                                </a:solidFill>
                                <a:prstDash val="dash"/>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9E5494A" id="Straight Arrow Connector 51" o:spid="_x0000_s1026" type="#_x0000_t32" style="position:absolute;margin-left:40.3pt;margin-top:9.2pt;width:31.6pt;height:10.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" strokecolor="windowText" strokeweight=".5pt">
                      <v:stroke dashstyle="dash" endarrow="block" joinstyle="miter"/>
                    </v:shape>
                  </w:pict>
                </mc:Fallback>
              </mc:AlternateContent>
            </w:r>
            <w:r w:rsidRPr="003E306B">
              <w:rPr>
                <w:rFonts w:ascii="Times New Roman" w:hAnsi="Times New Roman" w:cs="Times New Roman"/>
                <w:noProof/>
                <w:sz w:val="20"/>
                <w:szCs w:val="20"/>
                <w:lang w:eastAsia="en-GB"/>
              </w:rPr>
              <mc:AlternateContent>
                <mc:Choice Requires="wps">
                  <w:drawing>
                    <wp:anchor distT="0" distB="0" distL="114300" distR="114300" simplePos="0" relativeHeight="251720704" behindDoc="0" locked="0" layoutInCell="1" allowOverlap="1" wp14:anchorId="157464C4" wp14:editId="070CC7F5">
                      <wp:simplePos x="0" y="0"/>
                      <wp:positionH relativeFrom="column">
                        <wp:posOffset>-32558</wp:posOffset>
                      </wp:positionH>
                      <wp:positionV relativeFrom="paragraph">
                        <wp:posOffset>11482</wp:posOffset>
                      </wp:positionV>
                      <wp:extent cx="533085" cy="244617"/>
                      <wp:effectExtent l="0" t="0" r="19685" b="22225"/>
                      <wp:wrapNone/>
                      <wp:docPr id="1" name="Text Box 1"/>
                      <wp:cNvGraphicFramePr/>
                      <a:graphic xmlns:a="http://schemas.openxmlformats.org/drawingml/2006/main">
                        <a:graphicData uri="http://schemas.microsoft.com/office/word/2010/wordprocessingShape">
                          <wps:wsp>
                            <wps:cNvSpPr txBox="1"/>
                            <wps:spPr>
                              <a:xfrm>
                                <a:off x="0" y="0"/>
                                <a:ext cx="533085" cy="244617"/>
                              </a:xfrm>
                              <a:prstGeom prst="rect">
                                <a:avLst/>
                              </a:prstGeom>
                              <a:solidFill>
                                <a:schemeClr val="lt1"/>
                              </a:solidFill>
                              <a:ln w="6350">
                                <a:solidFill>
                                  <a:prstClr val="black"/>
                                </a:solidFill>
                              </a:ln>
                            </wps:spPr>
                            <wps:txbx>
                              <w:txbxContent>
                                <w:p w14:paraId="2766F647" w14:textId="77777777" w:rsidR="007B4FF2" w:rsidRPr="00813ACC" w:rsidRDefault="007B4FF2" w:rsidP="003E306B">
                                  <w:pPr>
                                    <w:pStyle w:val="NoSpacing"/>
                                    <w:jc w:val="center"/>
                                    <w:rPr>
                                      <w:rFonts w:ascii="Times New Roman" w:hAnsi="Times New Roman" w:cs="Times New Roman"/>
                                      <w:sz w:val="17"/>
                                      <w:szCs w:val="17"/>
                                    </w:rPr>
                                  </w:pPr>
                                  <w:r w:rsidRPr="00813ACC">
                                    <w:rPr>
                                      <w:rFonts w:ascii="Times New Roman" w:hAnsi="Times New Roman" w:cs="Times New Roman"/>
                                      <w:sz w:val="17"/>
                                      <w:szCs w:val="17"/>
                                    </w:rPr>
                                    <w:t xml:space="preserve">TTO support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464C4" id="Text Box 1" o:spid="_x0000_s1038" type="#_x0000_t202" style="position:absolute;margin-left:-2.55pt;margin-top:.9pt;width:42pt;height:19.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" fillcolor="white [3201]" strokeweight=".5pt">
                      <v:textbox inset="0,0,0,0">
                        <w:txbxContent>
                          <w:p w14:paraId="2766F647" w14:textId="77777777" w:rsidR="007B4FF2" w:rsidRPr="00813ACC" w:rsidRDefault="007B4FF2" w:rsidP="003E306B">
                            <w:pPr>
                              <w:pStyle w:val="NoSpacing"/>
                              <w:jc w:val="center"/>
                              <w:rPr>
                                <w:rFonts w:ascii="Times New Roman" w:hAnsi="Times New Roman" w:cs="Times New Roman"/>
                                <w:sz w:val="17"/>
                                <w:szCs w:val="17"/>
                              </w:rPr>
                            </w:pPr>
                            <w:r w:rsidRPr="00813ACC">
                              <w:rPr>
                                <w:rFonts w:ascii="Times New Roman" w:hAnsi="Times New Roman" w:cs="Times New Roman"/>
                                <w:sz w:val="17"/>
                                <w:szCs w:val="17"/>
                              </w:rPr>
                              <w:t xml:space="preserve">TTO support </w:t>
                            </w:r>
                          </w:p>
                        </w:txbxContent>
                      </v:textbox>
                    </v:shape>
                  </w:pict>
                </mc:Fallback>
              </mc:AlternateContent>
            </w:r>
          </w:p>
        </w:tc>
      </w:tr>
      <w:tr w:rsidR="008F29B6" w:rsidRPr="003E306B" w14:paraId="50911843" w14:textId="77777777" w:rsidTr="00E45B28">
        <w:trPr>
          <w:trHeight w:val="204"/>
        </w:trPr>
        <w:tc>
          <w:tcPr>
            <w:tcW w:w="3155" w:type="dxa"/>
            <w:tcBorders>
              <w:right w:val="single" w:sz="4" w:space="0" w:color="auto"/>
            </w:tcBorders>
          </w:tcPr>
          <w:p w14:paraId="56580C3C"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(E X F) – ( G X H)</w:t>
            </w:r>
          </w:p>
        </w:tc>
        <w:tc>
          <w:tcPr>
            <w:tcW w:w="1354" w:type="dxa"/>
            <w:tcBorders>
              <w:left w:val="single" w:sz="4" w:space="0" w:color="auto"/>
              <w:right w:val="single" w:sz="4" w:space="0" w:color="auto"/>
            </w:tcBorders>
          </w:tcPr>
          <w:p w14:paraId="0ADA3224"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-0.106 (.681)</w:t>
            </w:r>
          </w:p>
        </w:tc>
        <w:tc>
          <w:tcPr>
            <w:tcW w:w="1053" w:type="dxa"/>
            <w:tcBorders>
              <w:left w:val="single" w:sz="4" w:space="0" w:color="auto"/>
            </w:tcBorders>
          </w:tcPr>
          <w:p w14:paraId="6FC24878"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-0.493</w:t>
            </w:r>
          </w:p>
        </w:tc>
        <w:tc>
          <w:tcPr>
            <w:tcW w:w="903" w:type="dxa"/>
            <w:tcBorders>
              <w:right w:val="single" w:sz="4" w:space="0" w:color="auto"/>
            </w:tcBorders>
          </w:tcPr>
          <w:p w14:paraId="0B63290B"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0.301</w:t>
            </w:r>
          </w:p>
        </w:tc>
        <w:tc>
          <w:tcPr>
            <w:tcW w:w="3462" w:type="dxa"/>
            <w:vMerge/>
            <w:tcBorders>
              <w:left w:val="single" w:sz="4" w:space="0" w:color="auto"/>
            </w:tcBorders>
          </w:tcPr>
          <w:p w14:paraId="762A51CD"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57FAEA91" w14:textId="77777777" w:rsidTr="00E45B28">
        <w:trPr>
          <w:trHeight w:val="409"/>
        </w:trPr>
        <w:tc>
          <w:tcPr>
            <w:tcW w:w="3155" w:type="dxa"/>
            <w:tcBorders>
              <w:right w:val="single" w:sz="4" w:space="0" w:color="auto"/>
            </w:tcBorders>
          </w:tcPr>
          <w:p w14:paraId="695CA6AB"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At a High level of Strategic Planning </w:t>
            </w:r>
          </w:p>
        </w:tc>
        <w:tc>
          <w:tcPr>
            <w:tcW w:w="1354" w:type="dxa"/>
            <w:tcBorders>
              <w:left w:val="single" w:sz="4" w:space="0" w:color="auto"/>
              <w:right w:val="single" w:sz="4" w:space="0" w:color="auto"/>
            </w:tcBorders>
          </w:tcPr>
          <w:p w14:paraId="2272D047"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0.03 (0.589)</w:t>
            </w:r>
          </w:p>
        </w:tc>
        <w:tc>
          <w:tcPr>
            <w:tcW w:w="1053" w:type="dxa"/>
            <w:tcBorders>
              <w:left w:val="single" w:sz="4" w:space="0" w:color="auto"/>
            </w:tcBorders>
          </w:tcPr>
          <w:p w14:paraId="29AD0BAF"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-0.073</w:t>
            </w:r>
          </w:p>
        </w:tc>
        <w:tc>
          <w:tcPr>
            <w:tcW w:w="903" w:type="dxa"/>
            <w:tcBorders>
              <w:right w:val="single" w:sz="4" w:space="0" w:color="auto"/>
            </w:tcBorders>
          </w:tcPr>
          <w:p w14:paraId="6EA614E2"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0.128</w:t>
            </w:r>
          </w:p>
        </w:tc>
        <w:tc>
          <w:tcPr>
            <w:tcW w:w="3462" w:type="dxa"/>
            <w:vMerge/>
            <w:tcBorders>
              <w:left w:val="single" w:sz="4" w:space="0" w:color="auto"/>
            </w:tcBorders>
          </w:tcPr>
          <w:p w14:paraId="747C19E9"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4BC9C3A5" w14:textId="77777777" w:rsidTr="00E45B28">
        <w:trPr>
          <w:trHeight w:val="409"/>
        </w:trPr>
        <w:tc>
          <w:tcPr>
            <w:tcW w:w="3155" w:type="dxa"/>
            <w:tcBorders>
              <w:right w:val="single" w:sz="4" w:space="0" w:color="auto"/>
            </w:tcBorders>
          </w:tcPr>
          <w:p w14:paraId="50059E4F"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 xml:space="preserve">At a Low level of Strategic Planning </w:t>
            </w:r>
          </w:p>
        </w:tc>
        <w:tc>
          <w:tcPr>
            <w:tcW w:w="1354" w:type="dxa"/>
            <w:tcBorders>
              <w:left w:val="single" w:sz="4" w:space="0" w:color="auto"/>
              <w:right w:val="single" w:sz="4" w:space="0" w:color="auto"/>
            </w:tcBorders>
          </w:tcPr>
          <w:p w14:paraId="02970A2E"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0.114 (0.21)</w:t>
            </w:r>
          </w:p>
        </w:tc>
        <w:tc>
          <w:tcPr>
            <w:tcW w:w="1053" w:type="dxa"/>
            <w:tcBorders>
              <w:left w:val="single" w:sz="4" w:space="0" w:color="auto"/>
            </w:tcBorders>
          </w:tcPr>
          <w:p w14:paraId="776E3324"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-0.044</w:t>
            </w:r>
          </w:p>
        </w:tc>
        <w:tc>
          <w:tcPr>
            <w:tcW w:w="903" w:type="dxa"/>
            <w:tcBorders>
              <w:right w:val="single" w:sz="4" w:space="0" w:color="auto"/>
            </w:tcBorders>
          </w:tcPr>
          <w:p w14:paraId="59ACE144" w14:textId="77777777" w:rsidR="008F29B6" w:rsidRPr="003E306B" w:rsidRDefault="008F29B6" w:rsidP="00141231">
            <w:pPr>
              <w:pStyle w:val="NoSpacing"/>
              <w:rPr>
                <w:rFonts w:ascii="Times New Roman" w:hAnsi="Times New Roman" w:cs="Times New Roman"/>
                <w:sz w:val="20"/>
                <w:szCs w:val="20"/>
              </w:rPr>
            </w:pPr>
            <w:r w:rsidRPr="003E306B">
              <w:rPr>
                <w:rFonts w:ascii="Times New Roman" w:hAnsi="Times New Roman" w:cs="Times New Roman"/>
                <w:sz w:val="20"/>
                <w:szCs w:val="20"/>
              </w:rPr>
              <w:t>0.236</w:t>
            </w:r>
          </w:p>
        </w:tc>
        <w:tc>
          <w:tcPr>
            <w:tcW w:w="3462" w:type="dxa"/>
            <w:vMerge/>
            <w:tcBorders>
              <w:left w:val="single" w:sz="4" w:space="0" w:color="auto"/>
            </w:tcBorders>
          </w:tcPr>
          <w:p w14:paraId="584AE1EA" w14:textId="77777777" w:rsidR="008F29B6" w:rsidRPr="003E306B" w:rsidRDefault="008F29B6" w:rsidP="00141231">
            <w:pPr>
              <w:pStyle w:val="NoSpacing"/>
              <w:rPr>
                <w:rFonts w:ascii="Times New Roman" w:hAnsi="Times New Roman" w:cs="Times New Roman"/>
                <w:sz w:val="20"/>
                <w:szCs w:val="20"/>
              </w:rPr>
            </w:pPr>
          </w:p>
        </w:tc>
      </w:tr>
      <w:tr w:rsidR="008F29B6" w:rsidRPr="003E306B" w14:paraId="6BBF5E47" w14:textId="77777777" w:rsidTr="00E45B28">
        <w:trPr>
          <w:trHeight w:val="70"/>
        </w:trPr>
        <w:tc>
          <w:tcPr>
            <w:tcW w:w="3155" w:type="dxa"/>
            <w:tcBorders>
              <w:right w:val="single" w:sz="4" w:space="0" w:color="auto"/>
            </w:tcBorders>
          </w:tcPr>
          <w:p w14:paraId="16637187" w14:textId="77777777" w:rsidR="008F29B6" w:rsidRPr="003E306B" w:rsidRDefault="008F29B6" w:rsidP="00141231">
            <w:pPr>
              <w:pStyle w:val="NoSpacing"/>
              <w:rPr>
                <w:rFonts w:ascii="Times New Roman" w:hAnsi="Times New Roman" w:cs="Times New Roman"/>
                <w:sz w:val="20"/>
                <w:szCs w:val="20"/>
              </w:rPr>
            </w:pPr>
          </w:p>
        </w:tc>
        <w:tc>
          <w:tcPr>
            <w:tcW w:w="1354" w:type="dxa"/>
            <w:tcBorders>
              <w:left w:val="single" w:sz="4" w:space="0" w:color="auto"/>
              <w:right w:val="single" w:sz="4" w:space="0" w:color="auto"/>
            </w:tcBorders>
          </w:tcPr>
          <w:p w14:paraId="000700B1" w14:textId="77777777" w:rsidR="008F29B6" w:rsidRPr="003E306B" w:rsidRDefault="008F29B6" w:rsidP="00141231">
            <w:pPr>
              <w:pStyle w:val="NoSpacing"/>
              <w:rPr>
                <w:rFonts w:ascii="Times New Roman" w:hAnsi="Times New Roman" w:cs="Times New Roman"/>
                <w:sz w:val="20"/>
                <w:szCs w:val="20"/>
              </w:rPr>
            </w:pPr>
          </w:p>
        </w:tc>
        <w:tc>
          <w:tcPr>
            <w:tcW w:w="1053" w:type="dxa"/>
            <w:tcBorders>
              <w:left w:val="single" w:sz="4" w:space="0" w:color="auto"/>
            </w:tcBorders>
          </w:tcPr>
          <w:p w14:paraId="27B24611" w14:textId="77777777" w:rsidR="008F29B6" w:rsidRPr="003E306B" w:rsidRDefault="008F29B6" w:rsidP="00141231">
            <w:pPr>
              <w:pStyle w:val="NoSpacing"/>
              <w:rPr>
                <w:rFonts w:ascii="Times New Roman" w:hAnsi="Times New Roman" w:cs="Times New Roman"/>
                <w:sz w:val="20"/>
                <w:szCs w:val="20"/>
              </w:rPr>
            </w:pPr>
          </w:p>
        </w:tc>
        <w:tc>
          <w:tcPr>
            <w:tcW w:w="903" w:type="dxa"/>
            <w:tcBorders>
              <w:right w:val="single" w:sz="4" w:space="0" w:color="auto"/>
            </w:tcBorders>
          </w:tcPr>
          <w:p w14:paraId="7D36C3C1" w14:textId="77777777" w:rsidR="008F29B6" w:rsidRPr="003E306B" w:rsidRDefault="008F29B6" w:rsidP="00141231">
            <w:pPr>
              <w:pStyle w:val="NoSpacing"/>
              <w:rPr>
                <w:rFonts w:ascii="Times New Roman" w:hAnsi="Times New Roman" w:cs="Times New Roman"/>
                <w:sz w:val="20"/>
                <w:szCs w:val="20"/>
              </w:rPr>
            </w:pPr>
          </w:p>
        </w:tc>
        <w:tc>
          <w:tcPr>
            <w:tcW w:w="3462" w:type="dxa"/>
            <w:vMerge/>
            <w:tcBorders>
              <w:left w:val="single" w:sz="4" w:space="0" w:color="auto"/>
            </w:tcBorders>
          </w:tcPr>
          <w:p w14:paraId="3900B8D4" w14:textId="77777777" w:rsidR="008F29B6" w:rsidRPr="003E306B" w:rsidRDefault="008F29B6" w:rsidP="00141231">
            <w:pPr>
              <w:pStyle w:val="NoSpacing"/>
              <w:rPr>
                <w:rFonts w:ascii="Times New Roman" w:hAnsi="Times New Roman" w:cs="Times New Roman"/>
                <w:sz w:val="20"/>
                <w:szCs w:val="20"/>
              </w:rPr>
            </w:pPr>
          </w:p>
        </w:tc>
      </w:tr>
    </w:tbl>
    <w:p w14:paraId="2790ABA7" w14:textId="77777777" w:rsidR="008F29B6" w:rsidRPr="003E306B" w:rsidRDefault="008F29B6" w:rsidP="00141231">
      <w:pPr>
        <w:autoSpaceDE w:val="0"/>
        <w:autoSpaceDN w:val="0"/>
        <w:adjustRightInd w:val="0"/>
        <w:spacing w:line="360" w:lineRule="auto"/>
        <w:rPr>
          <w:rFonts w:ascii="Times New Roman" w:hAnsi="Times New Roman" w:cs="Times New Roman"/>
          <w:sz w:val="18"/>
          <w:szCs w:val="18"/>
        </w:rPr>
      </w:pPr>
      <w:r w:rsidRPr="003E306B">
        <w:rPr>
          <w:rFonts w:ascii="Times New Roman" w:hAnsi="Times New Roman" w:cs="Times New Roman"/>
          <w:sz w:val="18"/>
          <w:szCs w:val="18"/>
        </w:rPr>
        <w:t>**p&lt;0.01</w:t>
      </w:r>
    </w:p>
    <w:p w14:paraId="06DF5E22" w14:textId="77777777" w:rsidR="00FF2D2E" w:rsidRPr="00EF66BB" w:rsidRDefault="00FF2D2E" w:rsidP="00141231">
      <w:pPr>
        <w:spacing w:line="360" w:lineRule="auto"/>
        <w:rPr>
          <w:rFonts w:ascii="Times New Roman" w:hAnsi="Times New Roman" w:cs="Times New Roman"/>
        </w:rPr>
      </w:pPr>
    </w:p>
    <w:p w14:paraId="364BC702" w14:textId="3E4A31B9" w:rsidR="00565426" w:rsidRPr="00CD79CD" w:rsidRDefault="00FE60AB" w:rsidP="00141231">
      <w:pPr>
        <w:spacing w:line="360" w:lineRule="auto"/>
        <w:rPr>
          <w:rFonts w:ascii="Times New Roman" w:hAnsi="Times New Roman" w:cs="Times New Roman"/>
        </w:rPr>
      </w:pPr>
      <w:r w:rsidRPr="00FE60AB">
        <w:rPr>
          <w:rFonts w:ascii="Times New Roman" w:hAnsi="Times New Roman" w:cs="Times New Roman"/>
        </w:rPr>
        <w:t>We also used graphical methods</w:t>
      </w:r>
      <w:r w:rsidR="007B4FF2">
        <w:rPr>
          <w:rFonts w:ascii="Times New Roman" w:hAnsi="Times New Roman" w:cs="Times New Roman"/>
        </w:rPr>
        <w:t xml:space="preserve"> </w:t>
      </w:r>
      <w:r w:rsidRPr="00FE60AB">
        <w:rPr>
          <w:rFonts w:ascii="Times New Roman" w:hAnsi="Times New Roman" w:cs="Times New Roman"/>
        </w:rPr>
        <w:t xml:space="preserve">to clarify the moderation effect as suggested by data in table </w:t>
      </w:r>
      <w:r w:rsidR="00A05DC7">
        <w:rPr>
          <w:rFonts w:ascii="Times New Roman" w:hAnsi="Times New Roman" w:cs="Times New Roman"/>
        </w:rPr>
        <w:t>3</w:t>
      </w:r>
      <w:r w:rsidRPr="00FE60AB">
        <w:rPr>
          <w:rFonts w:ascii="Times New Roman" w:hAnsi="Times New Roman" w:cs="Times New Roman"/>
        </w:rPr>
        <w:t xml:space="preserve">. The </w:t>
      </w:r>
      <w:r w:rsidR="001A3E4C" w:rsidRPr="00FE60AB">
        <w:rPr>
          <w:rFonts w:ascii="Times New Roman" w:hAnsi="Times New Roman" w:cs="Times New Roman"/>
        </w:rPr>
        <w:t xml:space="preserve">interaction shown in Figure 2, suggests that, for institutions where planning </w:t>
      </w:r>
      <w:r w:rsidR="00D44A2A" w:rsidRPr="00FE60AB">
        <w:rPr>
          <w:rFonts w:ascii="Times New Roman" w:hAnsi="Times New Roman" w:cs="Times New Roman"/>
        </w:rPr>
        <w:t>involves greater engagement with the entire university</w:t>
      </w:r>
      <w:r w:rsidR="001A3E4C" w:rsidRPr="00FE60AB">
        <w:rPr>
          <w:rFonts w:ascii="Times New Roman" w:hAnsi="Times New Roman" w:cs="Times New Roman"/>
        </w:rPr>
        <w:t xml:space="preserve">, TTO support more positively relates to </w:t>
      </w:r>
      <w:r w:rsidR="000C0557" w:rsidRPr="00FE60AB">
        <w:rPr>
          <w:rFonts w:ascii="Times New Roman" w:hAnsi="Times New Roman" w:cs="Times New Roman"/>
        </w:rPr>
        <w:t>TT</w:t>
      </w:r>
      <w:r w:rsidR="001A3E4C" w:rsidRPr="00FE60AB">
        <w:rPr>
          <w:rFonts w:ascii="Times New Roman" w:hAnsi="Times New Roman" w:cs="Times New Roman"/>
        </w:rPr>
        <w:t xml:space="preserve"> effectiveness than for institutions where planning </w:t>
      </w:r>
      <w:r w:rsidR="00D44A2A" w:rsidRPr="00FE60AB">
        <w:rPr>
          <w:rFonts w:ascii="Times New Roman" w:hAnsi="Times New Roman" w:cs="Times New Roman"/>
        </w:rPr>
        <w:t>efforts are limited</w:t>
      </w:r>
      <w:r w:rsidR="007B4FF2">
        <w:rPr>
          <w:rStyle w:val="FootnoteReference"/>
          <w:rFonts w:ascii="Times New Roman" w:hAnsi="Times New Roman" w:cs="Times New Roman"/>
        </w:rPr>
        <w:footnoteReference w:id="10"/>
      </w:r>
      <w:r w:rsidR="001A3E4C" w:rsidRPr="00FE60AB">
        <w:rPr>
          <w:rFonts w:ascii="Times New Roman" w:hAnsi="Times New Roman" w:cs="Times New Roman"/>
        </w:rPr>
        <w:t xml:space="preserve">. </w:t>
      </w:r>
      <w:r w:rsidRPr="00FE60AB">
        <w:rPr>
          <w:rFonts w:ascii="Times New Roman" w:hAnsi="Times New Roman" w:cs="Times New Roman"/>
        </w:rPr>
        <w:t xml:space="preserve">This along with the results from table </w:t>
      </w:r>
      <w:r w:rsidR="00A05DC7">
        <w:rPr>
          <w:rFonts w:ascii="Times New Roman" w:hAnsi="Times New Roman" w:cs="Times New Roman"/>
        </w:rPr>
        <w:t>3</w:t>
      </w:r>
      <w:r w:rsidRPr="00FE60AB">
        <w:rPr>
          <w:rFonts w:ascii="Times New Roman" w:hAnsi="Times New Roman" w:cs="Times New Roman"/>
        </w:rPr>
        <w:t xml:space="preserve">, offer full support for Hypothesis 3a. </w:t>
      </w:r>
      <w:r w:rsidRPr="008E63E5">
        <w:rPr>
          <w:rFonts w:ascii="Times New Roman" w:hAnsi="Times New Roman" w:cs="Times New Roman"/>
        </w:rPr>
        <w:t xml:space="preserve"> </w:t>
      </w:r>
      <w:r w:rsidR="001A3E4C" w:rsidRPr="00CD79CD">
        <w:rPr>
          <w:rFonts w:ascii="Times New Roman" w:hAnsi="Times New Roman" w:cs="Times New Roman"/>
        </w:rPr>
        <w:t xml:space="preserve">Such a moderation was not visible </w:t>
      </w:r>
      <w:r w:rsidR="001A3E4C" w:rsidRPr="00CD79CD">
        <w:rPr>
          <w:rFonts w:ascii="Times New Roman" w:hAnsi="Times New Roman" w:cs="Times New Roman"/>
        </w:rPr>
        <w:lastRenderedPageBreak/>
        <w:t xml:space="preserve">for the mediation effect of strategy on provision of incentives and </w:t>
      </w:r>
      <w:r w:rsidR="000C0557" w:rsidRPr="00CD79CD">
        <w:rPr>
          <w:rFonts w:ascii="Times New Roman" w:hAnsi="Times New Roman" w:cs="Times New Roman"/>
        </w:rPr>
        <w:t>TT</w:t>
      </w:r>
      <w:r w:rsidR="001A3E4C" w:rsidRPr="00CD79CD">
        <w:rPr>
          <w:rFonts w:ascii="Times New Roman" w:hAnsi="Times New Roman" w:cs="Times New Roman"/>
        </w:rPr>
        <w:t xml:space="preserve"> effectiveness</w:t>
      </w:r>
      <w:r w:rsidRPr="00CD79CD">
        <w:rPr>
          <w:rFonts w:ascii="Times New Roman" w:hAnsi="Times New Roman" w:cs="Times New Roman"/>
        </w:rPr>
        <w:t xml:space="preserve"> Thus, Hypothesis 3b is not supported.  </w:t>
      </w:r>
    </w:p>
    <w:p w14:paraId="0E226418" w14:textId="77777777" w:rsidR="0056327E" w:rsidRDefault="0056327E" w:rsidP="00141231">
      <w:pPr>
        <w:spacing w:line="360" w:lineRule="auto"/>
        <w:rPr>
          <w:rFonts w:ascii="Times New Roman" w:hAnsi="Times New Roman" w:cs="Times New Roman"/>
        </w:rPr>
      </w:pPr>
    </w:p>
    <w:p w14:paraId="3D90DD97" w14:textId="4E3260FC" w:rsidR="004D0066" w:rsidRPr="00EF66BB" w:rsidRDefault="00EC3549" w:rsidP="00141231">
      <w:pPr>
        <w:spacing w:line="360" w:lineRule="auto"/>
        <w:rPr>
          <w:rFonts w:ascii="Times New Roman" w:hAnsi="Times New Roman" w:cs="Times New Roman"/>
        </w:rPr>
      </w:pPr>
      <w:r w:rsidRPr="00EF66BB">
        <w:rPr>
          <w:rFonts w:ascii="Times New Roman" w:hAnsi="Times New Roman" w:cs="Times New Roman"/>
          <w:noProof/>
          <w:lang w:eastAsia="en-GB"/>
        </w:rPr>
        <w:drawing>
          <wp:anchor distT="0" distB="0" distL="114300" distR="114300" simplePos="0" relativeHeight="251742208" behindDoc="1" locked="0" layoutInCell="1" allowOverlap="1" wp14:anchorId="11659953" wp14:editId="0543536A">
            <wp:simplePos x="0" y="0"/>
            <wp:positionH relativeFrom="column">
              <wp:posOffset>13821</wp:posOffset>
            </wp:positionH>
            <wp:positionV relativeFrom="paragraph">
              <wp:posOffset>342616</wp:posOffset>
            </wp:positionV>
            <wp:extent cx="5447665" cy="2999740"/>
            <wp:effectExtent l="0" t="0" r="13335" b="10160"/>
            <wp:wrapTight wrapText="bothSides">
              <wp:wrapPolygon edited="0">
                <wp:start x="0" y="0"/>
                <wp:lineTo x="0" y="21582"/>
                <wp:lineTo x="21603" y="21582"/>
                <wp:lineTo x="21603" y="0"/>
                <wp:lineTo x="0" y="0"/>
              </wp:wrapPolygon>
            </wp:wrapTight>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950DDD" w:rsidRPr="00EF66BB">
        <w:rPr>
          <w:rFonts w:ascii="Times New Roman" w:hAnsi="Times New Roman" w:cs="Times New Roman"/>
        </w:rPr>
        <w:t xml:space="preserve">Figure 2: Moderated Mediation on Technology Transfer Effectiveness </w:t>
      </w:r>
    </w:p>
    <w:p w14:paraId="2B5BDA12" w14:textId="0B7CCF89" w:rsidR="004D0066" w:rsidRPr="00EF66BB" w:rsidRDefault="004D0066" w:rsidP="00141231">
      <w:pPr>
        <w:spacing w:line="360" w:lineRule="auto"/>
        <w:ind w:left="851"/>
        <w:rPr>
          <w:rFonts w:ascii="Times New Roman" w:hAnsi="Times New Roman" w:cs="Times New Roman"/>
        </w:rPr>
      </w:pPr>
    </w:p>
    <w:p w14:paraId="705089D3" w14:textId="06D66700" w:rsidR="006852D0" w:rsidRPr="00EF66BB" w:rsidRDefault="00950DDD" w:rsidP="00141231">
      <w:pPr>
        <w:pStyle w:val="Heading2"/>
        <w:spacing w:line="360" w:lineRule="auto"/>
        <w:rPr>
          <w:rFonts w:ascii="Times New Roman" w:hAnsi="Times New Roman" w:cs="Times New Roman"/>
          <w:sz w:val="24"/>
          <w:szCs w:val="24"/>
        </w:rPr>
      </w:pPr>
      <w:r w:rsidRPr="00EF66BB">
        <w:rPr>
          <w:rFonts w:ascii="Times New Roman" w:hAnsi="Times New Roman" w:cs="Times New Roman"/>
          <w:sz w:val="24"/>
          <w:szCs w:val="24"/>
        </w:rPr>
        <w:t>5</w:t>
      </w:r>
      <w:r w:rsidR="006852D0" w:rsidRPr="00EF66BB">
        <w:rPr>
          <w:rFonts w:ascii="Times New Roman" w:hAnsi="Times New Roman" w:cs="Times New Roman"/>
          <w:sz w:val="24"/>
          <w:szCs w:val="24"/>
        </w:rPr>
        <w:t xml:space="preserve">.0 Discussion </w:t>
      </w:r>
    </w:p>
    <w:p w14:paraId="75C753D6" w14:textId="1E725CEE" w:rsidR="006852D0" w:rsidRPr="00EF66BB" w:rsidRDefault="007E5C20" w:rsidP="00141231">
      <w:pPr>
        <w:spacing w:line="360" w:lineRule="auto"/>
        <w:rPr>
          <w:rFonts w:ascii="Times New Roman" w:hAnsi="Times New Roman" w:cs="Times New Roman"/>
        </w:rPr>
      </w:pPr>
      <w:r w:rsidRPr="00EF66BB">
        <w:rPr>
          <w:rFonts w:ascii="Times New Roman" w:hAnsi="Times New Roman" w:cs="Times New Roman"/>
        </w:rPr>
        <w:t xml:space="preserve">Although </w:t>
      </w:r>
      <w:r w:rsidR="00145115" w:rsidRPr="00EF66BB">
        <w:rPr>
          <w:rFonts w:ascii="Times New Roman" w:hAnsi="Times New Roman" w:cs="Times New Roman"/>
        </w:rPr>
        <w:t>there are “surprisingly few academic studies examining data pertaining to technology transfer success”</w:t>
      </w:r>
      <w:r w:rsidR="006852D0" w:rsidRPr="00EF66BB">
        <w:rPr>
          <w:rFonts w:ascii="Times New Roman" w:hAnsi="Times New Roman" w:cs="Times New Roman"/>
        </w:rPr>
        <w:t xml:space="preserve"> </w:t>
      </w:r>
      <w:r w:rsidR="008F2687">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Policy","id":"ITEM-1","issue":"1","issued":{"date-parts":[["2015"]]},"page":"34-49","publisher":"Elsevier B.V.","title":"The evolving state-of-the-art in technology transfer research: Revisiting the contingent effectiveness model","type":"article-journal","volume":"44"},"locator":"37","uris":["http://www.mendeley.com/documents/?uuid=245549ef-970b-4ea4-984e-4a869649a3c5"]}],"mendeley":{"formattedCitation":"(Bozeman et al., 2015, p. 37)","plainTextFormattedCitation":"(Bozeman et al., 2015, p. 37)","previouslyFormattedCitation":"(Bozeman et al., 2015, p. 37)"},"properties":{"noteIndex":0},"schema":"https://github.com/citation-style-language/schema/raw/master/csl-citation.json"}</w:instrText>
      </w:r>
      <w:r w:rsidR="008F2687">
        <w:rPr>
          <w:rFonts w:ascii="Times New Roman" w:hAnsi="Times New Roman" w:cs="Times New Roman"/>
        </w:rPr>
        <w:fldChar w:fldCharType="separate"/>
      </w:r>
      <w:r w:rsidR="008F2687" w:rsidRPr="008F2687">
        <w:rPr>
          <w:rFonts w:ascii="Times New Roman" w:hAnsi="Times New Roman" w:cs="Times New Roman"/>
          <w:noProof/>
        </w:rPr>
        <w:t>(Bozeman et al., 2015, p. 37)</w:t>
      </w:r>
      <w:r w:rsidR="008F2687">
        <w:rPr>
          <w:rFonts w:ascii="Times New Roman" w:hAnsi="Times New Roman" w:cs="Times New Roman"/>
        </w:rPr>
        <w:fldChar w:fldCharType="end"/>
      </w:r>
      <w:r w:rsidR="00145115" w:rsidRPr="00EF66BB">
        <w:rPr>
          <w:rFonts w:ascii="Times New Roman" w:hAnsi="Times New Roman" w:cs="Times New Roman"/>
        </w:rPr>
        <w:t>, existing research</w:t>
      </w:r>
      <w:r w:rsidR="006852D0" w:rsidRPr="00EF66BB">
        <w:rPr>
          <w:rFonts w:ascii="Times New Roman" w:hAnsi="Times New Roman" w:cs="Times New Roman"/>
        </w:rPr>
        <w:t xml:space="preserve"> has successful</w:t>
      </w:r>
      <w:r w:rsidRPr="00EF66BB">
        <w:rPr>
          <w:rFonts w:ascii="Times New Roman" w:hAnsi="Times New Roman" w:cs="Times New Roman"/>
        </w:rPr>
        <w:t>ly</w:t>
      </w:r>
      <w:r w:rsidR="006852D0" w:rsidRPr="00EF66BB">
        <w:rPr>
          <w:rFonts w:ascii="Times New Roman" w:hAnsi="Times New Roman" w:cs="Times New Roman"/>
        </w:rPr>
        <w:t xml:space="preserve"> illuminat</w:t>
      </w:r>
      <w:r w:rsidRPr="00EF66BB">
        <w:rPr>
          <w:rFonts w:ascii="Times New Roman" w:hAnsi="Times New Roman" w:cs="Times New Roman"/>
        </w:rPr>
        <w:t xml:space="preserve">ed </w:t>
      </w:r>
      <w:r w:rsidR="006852D0" w:rsidRPr="00EF66BB">
        <w:rPr>
          <w:rFonts w:ascii="Times New Roman" w:hAnsi="Times New Roman" w:cs="Times New Roman"/>
        </w:rPr>
        <w:t>several factors  impact</w:t>
      </w:r>
      <w:r w:rsidRPr="00EF66BB">
        <w:rPr>
          <w:rFonts w:ascii="Times New Roman" w:hAnsi="Times New Roman" w:cs="Times New Roman"/>
        </w:rPr>
        <w:t>ing</w:t>
      </w:r>
      <w:r w:rsidR="006852D0" w:rsidRPr="00EF66BB">
        <w:rPr>
          <w:rFonts w:ascii="Times New Roman" w:hAnsi="Times New Roman" w:cs="Times New Roman"/>
        </w:rPr>
        <w:t xml:space="preserve"> the effectiveness of academic institutions in transferring technology. </w:t>
      </w:r>
      <w:r w:rsidRPr="00EF66BB">
        <w:rPr>
          <w:rFonts w:ascii="Times New Roman" w:hAnsi="Times New Roman" w:cs="Times New Roman"/>
        </w:rPr>
        <w:t xml:space="preserve"> </w:t>
      </w:r>
      <w:r w:rsidR="00145115" w:rsidRPr="00EF66BB">
        <w:rPr>
          <w:rFonts w:ascii="Times New Roman" w:hAnsi="Times New Roman" w:cs="Times New Roman"/>
        </w:rPr>
        <w:t>T</w:t>
      </w:r>
      <w:r w:rsidR="006852D0" w:rsidRPr="00EF66BB">
        <w:rPr>
          <w:rFonts w:ascii="Times New Roman" w:hAnsi="Times New Roman" w:cs="Times New Roman"/>
        </w:rPr>
        <w:t xml:space="preserve">he </w:t>
      </w:r>
      <w:r w:rsidR="00FF48A3" w:rsidRPr="00EF66BB">
        <w:rPr>
          <w:rFonts w:ascii="Times New Roman" w:hAnsi="Times New Roman" w:cs="Times New Roman"/>
        </w:rPr>
        <w:t>Contingency Effectiveness Model</w:t>
      </w:r>
      <w:r w:rsidR="006852D0" w:rsidRPr="00EF66BB">
        <w:rPr>
          <w:rFonts w:ascii="Times New Roman" w:hAnsi="Times New Roman" w:cs="Times New Roman"/>
        </w:rPr>
        <w:t xml:space="preserve"> draws attention to organisational characteristics and structures that contribute to variations in university technology transfer effectiveness</w:t>
      </w:r>
      <w:r w:rsidR="00A05DC7">
        <w:rPr>
          <w:rFonts w:ascii="Times New Roman" w:hAnsi="Times New Roman" w:cs="Times New Roman"/>
        </w:rPr>
        <w:t>, under the label of ‘agent characteristics’</w:t>
      </w:r>
      <w:r w:rsidR="006852D0" w:rsidRPr="00EF66BB">
        <w:rPr>
          <w:rFonts w:ascii="Times New Roman" w:hAnsi="Times New Roman" w:cs="Times New Roman"/>
        </w:rPr>
        <w:t>. The most commonly identified</w:t>
      </w:r>
      <w:r w:rsidR="00BF247C">
        <w:rPr>
          <w:rFonts w:ascii="Times New Roman" w:hAnsi="Times New Roman" w:cs="Times New Roman"/>
        </w:rPr>
        <w:t xml:space="preserve"> agent characteristics for universities </w:t>
      </w:r>
      <w:r w:rsidR="006852D0" w:rsidRPr="00EF66BB">
        <w:rPr>
          <w:rFonts w:ascii="Times New Roman" w:hAnsi="Times New Roman" w:cs="Times New Roman"/>
        </w:rPr>
        <w:t xml:space="preserve"> are TTO support and</w:t>
      </w:r>
      <w:r w:rsidR="0074357A" w:rsidRPr="00EF66BB">
        <w:rPr>
          <w:rFonts w:ascii="Times New Roman" w:hAnsi="Times New Roman" w:cs="Times New Roman"/>
        </w:rPr>
        <w:t xml:space="preserve"> the provision of</w:t>
      </w:r>
      <w:r w:rsidR="006852D0" w:rsidRPr="00EF66BB">
        <w:rPr>
          <w:rFonts w:ascii="Times New Roman" w:hAnsi="Times New Roman" w:cs="Times New Roman"/>
        </w:rPr>
        <w:t xml:space="preserve"> incentives </w:t>
      </w:r>
      <w:r w:rsidR="008F2687">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Policy","id":"ITEM-1","issue":"4","issued":{"date-parts":[["2011"]]},"page":"553-564","publisher":"Elsevier B.V.","title":"Entrepreneurial effectiveness of European universities: An empirical assessment of antecedents and trade-offs","type":"article-journal","volume":"40"},"uris":["http://www.mendeley.com/documents/?uuid=efca2164-cee4-4742-ab17-7b8416ace40b"]},{"id":"ITEM-2","itemData":{"DOI":"10.1016/j.respol.2010.05.016","ISBN":"00487333","ISSN":"00487333","PMID":"53969080","abstract":"This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Policy","id":"ITEM-2","issue":"9","issued":{"date-parts":[["2010"]]},"page":"1160-1173","publisher":"Elsevier B.V.","title":"Performance of Spanish universities in technology transfer: An empirical analysis","type":"article-journal","volume":"39"},"uris":["http://www.mendeley.com/documents/?uuid=d43816cf-2ca3-4387-aef7-64719dd222a6"]},{"id":"ITEM-3","itemData":{"DOI":"10.1093/icc/dtm023","ISBN":"0960-6491","ISSN":"09606491","abstract":"The literature on university entrepreneurship is rapidly expanding, in both the United States and Europe. Since the literature is also fairly fragmented, however, we submit that it is time to take stock of the current knowledge to provide directions for future research and guideposts for policy makers. To accomplish this, we present an unusually comprehensive and detailed literature analysis of the stream of research on university entrepreneurship, now encompassing 173 articles published in a variety of academic journals. Four major research streams emerge in this area of study: (i) entrepreneurial research university, (ii) productivity of technology transfer offices, (iii) new firm creation, and (iv) environmental context including networks of innovation. We inductively derive a framework describing the dynamic process of university entrepreneurship based on a synthesis of the literature. We submit that this framework is useful in guiding future research on this important, yet complex and under-researched topic.","author":[{"dropping-particle":"","family":"Rothaermel","given":"Frank T.","non-dropping-particle":"","parse-names":false,"suffix":""},{"dropping-particle":"","family":"Agung","given":"Shanti D.","non-dropping-particle":"","parse-names":false,"suffix":""},{"dropping-particle":"","family":"Jiang","given":"Lin","non-dropping-particle":"","parse-names":false,"suffix":""}],"container-title":"Industrial and Corporate Change","id":"ITEM-3","issue":"4","issued":{"date-parts":[["2007"]]},"page":"691-791","title":"University entrepreneurship: A taxonomy of the literature","type":"article-journal","volume":"16"},"uris":["http://www.mendeley.com/documents/?uuid=5357c8bd-4f94-4314-8ab0-1173b7db7f62"]},{"id":"ITEM-4","itemData":{"DOI":"10.1007/s10961-009-9129-z","ISBN":"1096100991","author":[{"dropping-particle":"","family":"Heisey","given":"Paul W","non-dropping-particle":"","parse-names":false,"suffix":""},{"dropping-particle":"","family":"Adelman","given":"Æ Sarah W","non-dropping-particle":"","parse-names":false,"suffix":""}],"id":"ITEM-4","issued":{"date-parts":[["2011"]]},"page":"38-60","title":"and university licensing revenue","type":"article-journal"},"uris":["http://www.mendeley.com/documents/?uuid=c4ddc740-e8bb-478b-be69-e1d8a02e8d39"]},{"id":"ITEM-5","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Policy","id":"ITEM-5","issue":"1","issued":{"date-parts":[["2003","1"]]},"page":"27-48","title":"Assessing the impact of organizational practices on the relative productivity of university technology transfer offices: an exploratory study","type":"article-journal","volume":"32"},"uris":["http://www.mendeley.com/documents/?uuid=e46987f6-89c5-3b6f-b14b-8fc764f55f9f"]},{"id":"ITEM-6","itemData":{"DOI":"10.1016/j.respol.2016.06.006","ISBN":"00487333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Policy","id":"ITEM-6","issue":"9","issued":{"date-parts":[["2016"]]},"page":"1858-1872","publisher":"Elsevier B.V.","title":"Royalty sharing, effort and invention in universities: Evidence from Portugal and Spain","type":"article-journal","volume":"45"},"uris":["http://www.mendeley.com/documents/?uuid=9dc55724-30e7-4819-98fd-32f02e1caf8d"]},{"id":"ITEM-7","itemData":{"DOI":"10.1111/j.0741-6261.2008.00020.x","ISBN":"0741-6261","ISSN":"07416261","PMID":"2877","abstract":"We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Economics","id":"ITEM-7","issue":"2","issued":{"date-parts":[["2008"]]},"page":"403-433","title":"Incentives and invention in universities","type":"article-journal","volume":"39"},"uris":["http://www.mendeley.com/documents/?uuid=5cc5deac-babe-4731-9ce4-35098d057334"]},{"id":"ITEM-8","itemData":{"DOI":"10.1016/j.respol.2004.12.003","ISBN":"0048-7333","ISSN":"00487333","abstract":"The transfer of scientific and technological know-how into valuable economic activity has become a high priority on many policy agendas. Industry Science Links (ISLs) are an important dimension of this policy orientation. Over the last decades, multiple insights have been gained (both theoretical and empirical) as to how \"effective\" ISLs can be fostered through the design and the development of university-based technology transfer organizations (TTOs). In this paper, we document and analyze the evolution of \"effective\" university-based technology transfer mechanisms. We describe how decentralized organizational approaches and incentives that stimulate the active involvement of the research groups in the exploitation of their research findings might be combined with specialized central services offering intellectual property management and spin-off support. More particularly, we analyze how the creation of:an appropriate balance between centralization and decentralization within academia;the design of appropriate incentive structures for academic research groups;the implementation of appropriate decision and monitoring processes within the TTOhas brought about critical elements in fostering an \"effective\" commercialization of the academic science base. © 2005 Elsevier B.V. All rights reserved.","author":[{"dropping-particle":"","family":"Debackere","given":"Koenraad","non-dropping-particle":"","parse-names":false,"suffix":""},{"dropping-particle":"","family":"Veugelers","given":"Reinhilde","non-dropping-particle":"","parse-names":false,"suffix":""}],"container-title":"Research Policy","id":"ITEM-8","issue":"3","issued":{"date-parts":[["2005"]]},"page":"321-342","title":"The role of academic technology transfer organizations in improving industry science links","type":"article-journal","volume":"34"},"uris":["http://www.mendeley.com/documents/?uuid=b5a14a0c-13b9-4989-9bde-f10ce2613421"]},{"id":"ITEM-9","itemData":{"DOI":"10.1023/B:JOTT.0000034127.01889.86","ISBN":"0892-9912","ISSN":"0892-9912","PMID":"2873","abstract":"There has been a paucity of research to date that has explored whether incentive systems—in the form of monetary payments to inventors, their department or institution, or to university technology transfer office (UTTO) personnel—affect entrepreneurial activities at U.S. universities. To shed light on whether financial incentives to scientists, their departments, and UTTO personnel effect entrepreneurial activity, we used both qualitative data (structured interviews with 128 UTTO directors) and quantitative data from surveys and databases available on the web. Our results show surprisingly and opposite to our theoretical predictions that incentives to scientists and to their departments are negatively related to entrepreneurial activity. In addition and consistent with theory-based predictions, pay to UTTO personnel is positively related to entrepreneurial activity. We conclude with a discussion that offers some implications to research, practice, and theory in the field of technology transfer.","author":[{"dropping-particle":"","family":"Markman","given":"Gideon D.","non-dropping-particle":"","parse-names":false,"suffix":""},{"dropping-particle":"","family":"Gianiodis","given":"Peter T.","non-dropping-particle":"","parse-names":false,"suffix":""},{"dropping-particle":"","family":"Phan","given":"Phillip H.","non-dropping-particle":"","parse-names":false,"suffix":""},{"dropping-particle":"","family":"Balkin","given":"David B.","non-dropping-particle":"","parse-names":false,"suffix":""}],"container-title":"The Journal of Technology Transfer","id":"ITEM-9","issue":"3/4","issued":{"date-parts":[["2004"]]},"page":"353-364","title":"Entrepreneurship from the Ivory Tower: Do Incentive Systems Matter?","type":"article-journal","volume":"29"},"uris":["http://www.mendeley.com/documents/?uuid=c689f362-be7c-4b60-98da-458f4226733a"]}],"mendeley":{"formattedCitation":"(Arqué-Castells et al., 2016; Caldera and Debande, 2010a; Debackere and Veugelers, 2005; Heisey and Adelman, 2011; Lach and Schankerman, 2008; Markman et al., 2004; Rothaermel et al., 2007; Siegel et al., 2003; Van Looy et al., 2011)","plainTextFormattedCitation":"(Arqué-Castells et al., 2016; Caldera and Debande, 2010a; Debackere and Veugelers, 2005; Heisey and Adelman, 2011; Lach and Schankerman, 2008; Markman et al., 2004; Rothaermel et al., 2007; Siegel et al., 2003; Van Looy et al., 2011)","previouslyFormattedCitation":"(Arqué-Castells et al., 2016; Caldera and Debande, 2010a; Debackere and Veugelers, 2005; Heisey and Adelman, 2011; Lach and Schankerman, 2008; Markman et al., 2004; Rothaermel et al., 2007; Siegel et al., 2003; Van Looy et al., 2011)"},"properties":{"noteIndex":0},"schema":"https://github.com/citation-style-language/schema/raw/master/csl-citation.json"}</w:instrText>
      </w:r>
      <w:r w:rsidR="008F2687">
        <w:rPr>
          <w:rFonts w:ascii="Times New Roman" w:hAnsi="Times New Roman" w:cs="Times New Roman"/>
        </w:rPr>
        <w:fldChar w:fldCharType="separate"/>
      </w:r>
      <w:r w:rsidR="008F2687" w:rsidRPr="008F2687">
        <w:rPr>
          <w:rFonts w:ascii="Times New Roman" w:hAnsi="Times New Roman" w:cs="Times New Roman"/>
          <w:noProof/>
        </w:rPr>
        <w:t>(Arqué-Castells et al., 2016; Caldera and Debande, 2010a; Debackere and Veugelers, 2005; Heisey and Adelman, 2011; Lach and Schankerman, 2008; Markman et al., 2004; Rothaermel et al., 2007; Siegel et al., 2003; Van Looy et al., 2011)</w:t>
      </w:r>
      <w:r w:rsidR="008F2687">
        <w:rPr>
          <w:rFonts w:ascii="Times New Roman" w:hAnsi="Times New Roman" w:cs="Times New Roman"/>
        </w:rPr>
        <w:fldChar w:fldCharType="end"/>
      </w:r>
      <w:r w:rsidR="008F2687">
        <w:rPr>
          <w:rFonts w:ascii="Times New Roman" w:hAnsi="Times New Roman" w:cs="Times New Roman"/>
        </w:rPr>
        <w:t xml:space="preserve">. </w:t>
      </w:r>
      <w:r w:rsidR="006852D0" w:rsidRPr="00EF66BB">
        <w:rPr>
          <w:rFonts w:ascii="Times New Roman" w:hAnsi="Times New Roman" w:cs="Times New Roman"/>
        </w:rPr>
        <w:t xml:space="preserve">Although previous research has drawn attention to the significance of these </w:t>
      </w:r>
      <w:r w:rsidR="0092045A" w:rsidRPr="00EF66BB">
        <w:rPr>
          <w:rFonts w:ascii="Times New Roman" w:hAnsi="Times New Roman" w:cs="Times New Roman"/>
        </w:rPr>
        <w:t xml:space="preserve">two </w:t>
      </w:r>
      <w:r w:rsidR="006852D0" w:rsidRPr="00EF66BB">
        <w:rPr>
          <w:rFonts w:ascii="Times New Roman" w:hAnsi="Times New Roman" w:cs="Times New Roman"/>
        </w:rPr>
        <w:t xml:space="preserve">organisational </w:t>
      </w:r>
      <w:r w:rsidR="0092045A" w:rsidRPr="00EF66BB">
        <w:rPr>
          <w:rFonts w:ascii="Times New Roman" w:hAnsi="Times New Roman" w:cs="Times New Roman"/>
        </w:rPr>
        <w:t xml:space="preserve">factors, </w:t>
      </w:r>
      <w:r w:rsidR="006852D0" w:rsidRPr="00EF66BB">
        <w:rPr>
          <w:rFonts w:ascii="Times New Roman" w:hAnsi="Times New Roman" w:cs="Times New Roman"/>
        </w:rPr>
        <w:t xml:space="preserve">results concerning their impact on technology transfer effectiveness are ambiguous. Concurrently, recent research and policy reviews have identified the potential significance of university-level strategic choices in the effectiveness of technology transfer activity </w:t>
      </w:r>
      <w:r w:rsidR="008F2687">
        <w:rPr>
          <w:rFonts w:ascii="Times New Roman" w:hAnsi="Times New Roman" w:cs="Times New Roman"/>
        </w:rPr>
        <w:fldChar w:fldCharType="begin" w:fldLock="1"/>
      </w:r>
      <w:r w:rsidR="00CD0532">
        <w:rPr>
          <w:rFonts w:ascii="Times New Roman" w:hAnsi="Times New Roman" w:cs="Times New Roman"/>
        </w:rPr>
        <w:instrText>ADDIN CSL_CITATION {"citationItems":[{"id":"ITEM-1","itemData":{"DOI":"10.1016/j.respol.2014.06.001","ISBN":"00487333","ISSN":"00487333","abstract":"The present paper elaborates a critical reflection on the 'one-size-fits-all' model which conceptualizes universities as centres of excellence in education, research and third mission. It is argued that the shortcomings of this perspective are twofold: first, HEIs are treated as homogeneous institutions with equal capacity to perform and contribute to social engagement; and second, missions are undistinguishable from each other. Both features lead to mischaracterizations concerning the role of universities and their contribution to society. In the view proposed here missions are university strategies linked by complex relationship of compatibility, and the paper puts in perspective the persisting gap concerning the nature of and the relations across them.","author":[{"dropping-particle":"","family":"Sánchez-Barrioluengo","given":"Mabel","non-dropping-particle":"","parse-names":false,"suffix":""}],"container-title":"Research Policy","id":"ITEM-1","issue":"10","issued":{"date-parts":[["2014"]]},"page":"1760-1773","publisher":"Elsevier B.V.","title":"Articulating the 'three-missions' in Spanish universities","type":"article-journal","volume":"43"},"uris":["http://www.mendeley.com/documents/?uuid=5fc5b121-26c5-4366-86b8-d942c7ffea40"]},{"id":"ITEM-2","itemData":{"DOI":"10.1016/j.respol.2011.10.010","ISSN":"00487333","abstract":"As the innovation process has become more open and networked, Government policy in the UK has sought to promote both research excellence in the university sector and the translation of this into economic benefit through university–business engagement. However, this policy approach has tended to be applied uniformly with little account for organisational differences within the sector. In this paper we consider if differences between universities in their research performance is reflected in their knowledge transfer activity. Specifically, as universities develop a commercialization agenda are the strategic priorities for knowledge transfer, the organisational supports in place to facilitate knowledge transfer and the scale and scope of knowledge transfer activity different for high research intensive (HRI) and low research intensive (LRI) universities? The findings demonstrate that universities’ approach to knowledge transfer is shaped by institutional and organisational resources, in particular their ethos and research quality, rather than the capability to undertake knowledge transfer through a Technology Transfer Office (TTO). Strategic priorities for knowledge transfer are reflected in activity, in terms of the dominance of specific knowledge transfer channels, the partners with which universities engage and the geography of business engagement.","author":[{"dropping-particle":"","family":"Hewitt-Dundas","given":"Nola","non-dropping-particle":"","parse-names":false,"suffix":""}],"container-title":"Research Policy","id":"ITEM-2","issue":"2","issued":{"date-parts":[["2012","3"]]},"page":"262-275","title":"Research intensity and knowledge transfer activity in UK universities","type":"article-journal","volume":"41"},"uris":["http://www.mendeley.com/documents/?uuid=dfda44a2-56de-4343-aba6-7ecd31ff1890"]},{"id":"ITEM-3","itemData":{"DOI":"10.1016/j.respol.2017.03.008","ISSN":"00487333","abstract":"This paper examines the dynamic interlinkages between the two pillars of ambidexterity in universities, research and knowledge transfer. We propose a theoretical model linking these two pillars at the organisational level. The model is tested using the longitudinal HE-BCI survey data juxtaposed against two consecutive rounds of research evaluation in the UK higher education sector. Results indicate that a university's past performance along the research pillar strengthens the knowledge transfer pillar over time, through both commercialisation and academic engagement channels. This positive impact is negatively moderated by the university's size and reputation, in the sense that in larger or more reputed universities, the marginal impact of research on knowledge transfer declines significantly. Additionally, we find that knowledge transfer reinforces the research pillar through positive mediation between past and future research, but only through academic engagement channels. The results also indicate that contract research routes provide the maximum benefit for most universities in enhancing their ambidexterity framework, both in the short and the long run. For the relatively more reputed universities, it is the collaboration route which provides the maximum benefit. Interestingly, no such reinforcement could be detected in the case of the research commercialisation channels.","author":[{"dropping-particle":"","family":"Sengupta","given":"Abhijit","non-dropping-particle":"","parse-names":false,"suffix":""},{"dropping-particle":"","family":"Ray","given":"Amit S.","non-dropping-particle":"","parse-names":false,"suffix":""}],"container-title":"Research Policy","id":"ITEM-3","issue":"5","issued":{"date-parts":[["2017"]]},"page":"881-897","publisher":"Elsevier B.V.","title":"University research and knowledge transfer: A dynamic view of ambidexterity in british universities","type":"article-journal","volume":"46"},"uris":["http://www.mendeley.com/documents/?uuid=1bae52b2-2b76-4a4b-9383-c1e21964cb01"]},{"id":"ITEM-4","itemData":{"author":[{"dropping-particle":"","family":"HEFCE","given":"","non-dropping-particle":"","parse-names":false,"suffix":""}],"id":"ITEM-4","issue":"September","issued":{"date-parts":[["2016"]]},"title":"University Knowledge Exchange ( KE ) Framework : good practice in technology transfer Report to the UK higher education sector and HEFCE by the McMillan group","type":"article-journal"},"uris":["http://www.mendeley.com/documents/?uuid=e01e49b0-972c-4051-9586-9f43880fda49"]},{"id":"ITEM-5","itemData":{"author":[{"dropping-particle":"","family":"Association of American Universities","given":"","non-dropping-particle":"","parse-names":false,"suffix":""}],"id":"ITEM-5","issue":"March","issued":{"date-parts":[["2015"]]},"title":"Statement to the AAU Membership on University Technology Transfer and Managing Intellectual Property in the Public Interest","type":"article-journal"},"uris":["http://www.mendeley.com/documents/?uuid=4ba59336-d6b0-452e-afea-6c1670354ab7"]}],"mendeley":{"formattedCitation":"(Association of American Universities, 2015; HEFCE, 2016; Hewitt-Dundas, 2012; Sánchez-Barrioluengo, 2014; Sengupta and Ray, 2017a)","plainTextFormattedCitation":"(Association of American Universities, 2015; HEFCE, 2016; Hewitt-Dundas, 2012; Sánchez-Barrioluengo, 2014; Sengupta and Ray, 2017a)","previouslyFormattedCitation":"(HEFCE, 2016; Hewitt-Dundas, 2012; Sánchez-Barrioluengo, 2014; Sengupta and Ray, 2017a)"},"properties":{"noteIndex":0},"schema":"https://github.com/citation-style-language/schema/raw/master/csl-citation.json"}</w:instrText>
      </w:r>
      <w:r w:rsidR="008F2687">
        <w:rPr>
          <w:rFonts w:ascii="Times New Roman" w:hAnsi="Times New Roman" w:cs="Times New Roman"/>
        </w:rPr>
        <w:fldChar w:fldCharType="separate"/>
      </w:r>
      <w:r w:rsidR="00CD0532" w:rsidRPr="00CD0532">
        <w:rPr>
          <w:rFonts w:ascii="Times New Roman" w:hAnsi="Times New Roman" w:cs="Times New Roman"/>
          <w:noProof/>
        </w:rPr>
        <w:t>(Association of American Universities, 2015; HEFCE, 2016; Hewitt-Dundas, 2012; Sánchez-Barrioluengo, 2014; Sengupta and Ray, 2017a)</w:t>
      </w:r>
      <w:r w:rsidR="008F2687">
        <w:rPr>
          <w:rFonts w:ascii="Times New Roman" w:hAnsi="Times New Roman" w:cs="Times New Roman"/>
        </w:rPr>
        <w:fldChar w:fldCharType="end"/>
      </w:r>
      <w:r w:rsidR="006852D0" w:rsidRPr="00EF66BB">
        <w:rPr>
          <w:rFonts w:ascii="Times New Roman" w:hAnsi="Times New Roman" w:cs="Times New Roman"/>
        </w:rPr>
        <w:t>, drawing attention to the fact that universities can</w:t>
      </w:r>
      <w:r w:rsidR="00FF2D2E" w:rsidRPr="00EF66BB">
        <w:rPr>
          <w:rFonts w:ascii="Times New Roman" w:hAnsi="Times New Roman" w:cs="Times New Roman"/>
        </w:rPr>
        <w:t>,</w:t>
      </w:r>
      <w:r w:rsidR="006852D0" w:rsidRPr="00EF66BB">
        <w:rPr>
          <w:rFonts w:ascii="Times New Roman" w:hAnsi="Times New Roman" w:cs="Times New Roman"/>
        </w:rPr>
        <w:t xml:space="preserve"> and </w:t>
      </w:r>
      <w:r w:rsidR="006852D0" w:rsidRPr="00EF66BB">
        <w:rPr>
          <w:rFonts w:ascii="Times New Roman" w:hAnsi="Times New Roman" w:cs="Times New Roman"/>
        </w:rPr>
        <w:lastRenderedPageBreak/>
        <w:t>should</w:t>
      </w:r>
      <w:r w:rsidR="00FF2D2E" w:rsidRPr="00EF66BB">
        <w:rPr>
          <w:rFonts w:ascii="Times New Roman" w:hAnsi="Times New Roman" w:cs="Times New Roman"/>
        </w:rPr>
        <w:t>,</w:t>
      </w:r>
      <w:r w:rsidR="006852D0" w:rsidRPr="00EF66BB">
        <w:rPr>
          <w:rFonts w:ascii="Times New Roman" w:hAnsi="Times New Roman" w:cs="Times New Roman"/>
        </w:rPr>
        <w:t xml:space="preserve"> adopt different strategic priorities. Here, we build on these emerging insights to offer a novel contribution to the CEMTT perspective. Specifically, we integrate insight</w:t>
      </w:r>
      <w:r w:rsidR="007C21F4" w:rsidRPr="00EF66BB">
        <w:rPr>
          <w:rFonts w:ascii="Times New Roman" w:hAnsi="Times New Roman" w:cs="Times New Roman"/>
        </w:rPr>
        <w:t>s</w:t>
      </w:r>
      <w:r w:rsidR="006852D0" w:rsidRPr="00EF66BB">
        <w:rPr>
          <w:rFonts w:ascii="Times New Roman" w:hAnsi="Times New Roman" w:cs="Times New Roman"/>
        </w:rPr>
        <w:t xml:space="preserve"> from studies of technology transfer effectiveness with strategic choice theory to suggest that it the </w:t>
      </w:r>
      <w:r w:rsidR="006852D0" w:rsidRPr="00EF66BB">
        <w:rPr>
          <w:rFonts w:ascii="Times New Roman" w:hAnsi="Times New Roman" w:cs="Times New Roman"/>
          <w:i/>
        </w:rPr>
        <w:t>alignment</w:t>
      </w:r>
      <w:r w:rsidR="006852D0" w:rsidRPr="00EF66BB">
        <w:rPr>
          <w:rFonts w:ascii="Times New Roman" w:hAnsi="Times New Roman" w:cs="Times New Roman"/>
        </w:rPr>
        <w:t xml:space="preserve"> between university-level strategic choices and enabling organisational </w:t>
      </w:r>
      <w:r w:rsidR="00BF247C">
        <w:rPr>
          <w:rFonts w:ascii="Times New Roman" w:hAnsi="Times New Roman" w:cs="Times New Roman"/>
        </w:rPr>
        <w:t>characteristics</w:t>
      </w:r>
      <w:r w:rsidR="006852D0" w:rsidRPr="00EF66BB">
        <w:rPr>
          <w:rFonts w:ascii="Times New Roman" w:hAnsi="Times New Roman" w:cs="Times New Roman"/>
        </w:rPr>
        <w:t xml:space="preserve"> that determine technology transfer effectiveness. Thus, we highlight strategic choice as </w:t>
      </w:r>
      <w:r w:rsidR="003355CA">
        <w:rPr>
          <w:rFonts w:ascii="Times New Roman" w:hAnsi="Times New Roman" w:cs="Times New Roman"/>
        </w:rPr>
        <w:t>the</w:t>
      </w:r>
      <w:r w:rsidR="006852D0" w:rsidRPr="00EF66BB">
        <w:rPr>
          <w:rFonts w:ascii="Times New Roman" w:hAnsi="Times New Roman" w:cs="Times New Roman"/>
        </w:rPr>
        <w:t xml:space="preserve"> key underlying variable that accounts for performance variation amongst universities in terms of technology transfer activity, accounting for the mixed results regarding the role of TTO support and staff incentives.  </w:t>
      </w:r>
    </w:p>
    <w:p w14:paraId="7AE83139" w14:textId="77777777" w:rsidR="006852D0" w:rsidRPr="00EF66BB" w:rsidRDefault="006852D0" w:rsidP="00141231">
      <w:pPr>
        <w:spacing w:line="360" w:lineRule="auto"/>
        <w:rPr>
          <w:rFonts w:ascii="Times New Roman" w:hAnsi="Times New Roman" w:cs="Times New Roman"/>
        </w:rPr>
      </w:pPr>
    </w:p>
    <w:p w14:paraId="38B55AE8" w14:textId="51DA7919" w:rsidR="006852D0" w:rsidRPr="00EF66BB" w:rsidRDefault="006852D0" w:rsidP="00141231">
      <w:pPr>
        <w:spacing w:line="360" w:lineRule="auto"/>
        <w:rPr>
          <w:rFonts w:ascii="Times New Roman" w:hAnsi="Times New Roman" w:cs="Times New Roman"/>
        </w:rPr>
      </w:pPr>
      <w:r w:rsidRPr="00EF66BB">
        <w:rPr>
          <w:rFonts w:ascii="Times New Roman" w:hAnsi="Times New Roman" w:cs="Times New Roman"/>
        </w:rPr>
        <w:t xml:space="preserve">The scale of TTO </w:t>
      </w:r>
      <w:r w:rsidR="0080772B">
        <w:rPr>
          <w:rFonts w:ascii="Times New Roman" w:hAnsi="Times New Roman" w:cs="Times New Roman"/>
        </w:rPr>
        <w:t>operations</w:t>
      </w:r>
      <w:r w:rsidRPr="00EF66BB">
        <w:rPr>
          <w:rFonts w:ascii="Times New Roman" w:hAnsi="Times New Roman" w:cs="Times New Roman"/>
        </w:rPr>
        <w:t xml:space="preserve"> has been identified as a key determinant of technology transfer effectiveness </w:t>
      </w:r>
      <w:r w:rsidR="008F2687">
        <w:rPr>
          <w:rFonts w:ascii="Times New Roman" w:hAnsi="Times New Roman" w:cs="Times New Roman"/>
        </w:rPr>
        <w:fldChar w:fldCharType="begin" w:fldLock="1"/>
      </w:r>
      <w:r w:rsidR="005C76D1">
        <w:rPr>
          <w:rFonts w:ascii="Times New Roman" w:hAnsi="Times New Roman" w:cs="Times New Roman"/>
        </w:rPr>
        <w:instrText>ADDIN CSL_CITATION {"citationItems":[{"id":"ITEM-1","itemData":{"DOI":"10.1016/j.respol.2011.02.001","ISBN":"0048-7333","ISSN":"00487333","PMID":"2891","abstract":"The phenomenon of entrepreneurial universities has received considerable attention over the last decades. An entrepreneurial orientation by academia might put regions and nations in an advantageous position in emerging knowledge-intensive fields of economic activity. At the same time, such entrepreneurial orientation requires reconciliation with the scientific missions of academia. Large-scale empirical research on antecedents of the entrepreneurial effectiveness of universities is scarce. This contribution examines the extent to which scientific productivity affect entrepreneurial effectiveness, taking into account the size of universities and the presence of disciplines, as well as the R&amp;D intensity of the regional business environment (BERD). In addition, we assess the occurrence of trade-offs between different transfer mechanisms (contract research, patenting and spin off activity). The data used pertain to 105 European universities. Our findings reveal that scientific productivity is positively associated with entrepreneurial effectiveness. Trade-offs between transfer mechanisms do not reveal themselves; on the contrary, contract research and spin off activities tend to facilitate each other. Limitations and implications for future research are discussed. © 2011 Elsevier B.V. All rights reserved.","author":[{"dropping-particle":"","family":"Looy","given":"Bart","non-dropping-particle":"Van","parse-names":false,"suffix":""},{"dropping-particle":"","family":"Landoni","given":"Paolo","non-dropping-particle":"","parse-names":false,"suffix":""},{"dropping-particle":"","family":"Callaert","given":"Julie","non-dropping-particle":"","parse-names":false,"suffix":""},{"dropping-particle":"","family":"Pottelsberghe","given":"Bruno","non-dropping-particle":"Van","parse-names":false,"suffix":""},{"dropping-particle":"","family":"Sapsalis","given":"Eleftherios","non-dropping-particle":"","parse-names":false,"suffix":""},{"dropping-particle":"","family":"Debackere","given":"Koenraad","non-dropping-particle":"","parse-names":false,"suffix":""}],"container-title":"Research Policy","id":"ITEM-1","issue":"4","issued":{"date-parts":[["2011"]]},"page":"553-564","publisher":"Elsevier B.V.","title":"Entrepreneurial effectiveness of European universities: An empirical assessment of antecedents and trade-offs","type":"article-journal","volume":"40"},"uris":["http://www.mendeley.com/documents/?uuid=efca2164-cee4-4742-ab17-7b8416ace40b"]},{"id":"ITEM-2","itemData":{"DOI":"10.1016/j.respol.2010.05.016","ISBN":"00487333","ISSN":"00487333","PMID":"53969080","abstract":"This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Policy","id":"ITEM-2","issue":"9","issued":{"date-parts":[["2010"]]},"page":"1160-1173","publisher":"Elsevier B.V.","title":"Performance of Spanish universities in technology transfer: An empirical analysis","type":"article-journal","volume":"39"},"uris":["http://www.mendeley.com/documents/?uuid=d43816cf-2ca3-4387-aef7-64719dd222a6"]},{"id":"ITEM-3","itemData":{"DOI":"10.1093/icc/dtm023","ISBN":"0960-6491","ISSN":"09606491","abstract":"The literature on university entrepreneurship is rapidly expanding, in both the United States and Europe. Since the literature is also fairly fragmented, however, we submit that it is time to take stock of the current knowledge to provide directions for future research and guideposts for policy makers. To accomplish this, we present an unusually comprehensive and detailed literature analysis of the stream of research on university entrepreneurship, now encompassing 173 articles published in a variety of academic journals. Four major research streams emerge in this area of study: (i) entrepreneurial research university, (ii) productivity of technology transfer offices, (iii) new firm creation, and (iv) environmental context including networks of innovation. We inductively derive a framework describing the dynamic process of university entrepreneurship based on a synthesis of the literature. We submit that this framework is useful in guiding future research on this important, yet complex and under-researched topic.","author":[{"dropping-particle":"","family":"Rothaermel","given":"Frank T.","non-dropping-particle":"","parse-names":false,"suffix":""},{"dropping-particle":"","family":"Agung","given":"Shanti D.","non-dropping-particle":"","parse-names":false,"suffix":""},{"dropping-particle":"","family":"Jiang","given":"Lin","non-dropping-particle":"","parse-names":false,"suffix":""}],"container-title":"Industrial and Corporate Change","id":"ITEM-3","issue":"4","issued":{"date-parts":[["2007"]]},"page":"691-791","title":"University entrepreneurship: A taxonomy of the literature","type":"article-journal","volume":"16"},"uris":["http://www.mendeley.com/documents/?uuid=5357c8bd-4f94-4314-8ab0-1173b7db7f62"]},{"id":"ITEM-4","itemData":{"author":[{"dropping-particle":"","family":"Siegel","given":"Donald","non-dropping-particle":"","parse-names":false,"suffix":""},{"dropping-particle":"","family":"Wright","given":"Mike","non-dropping-particle":"","parse-names":false,"suffix":""}],"container-title":"The Chicago Handbook of University Technology Transfer and Academic Entrepreneurship","id":"ITEM-4","issued":{"date-parts":[["2015"]]},"page":"1-40","title":"University Technology Transfer Offices, Licensing and Start-Ups","type":"article-journal"},"uris":["http://www.mendeley.com/documents/?uuid=fe76100e-4794-40f5-abd9-8ecf8418b924"]}],"mendeley":{"formattedCitation":"(Caldera and Debande, 2010a; Rothaermel et al., 2007; Siegel and Wright, 2015b; Van Looy et al., 2011)","plainTextFormattedCitation":"(Caldera and Debande, 2010a; Rothaermel et al., 2007; Siegel and Wright, 2015b; Van Looy et al., 2011)","previouslyFormattedCitation":"(Caldera and Debande, 2010a; Rothaermel et al., 2007; Siegel and Wright, 2015b; Van Looy et al., 2011)"},"properties":{"noteIndex":0},"schema":"https://github.com/citation-style-language/schema/raw/master/csl-citation.json"}</w:instrText>
      </w:r>
      <w:r w:rsidR="008F2687">
        <w:rPr>
          <w:rFonts w:ascii="Times New Roman" w:hAnsi="Times New Roman" w:cs="Times New Roman"/>
        </w:rPr>
        <w:fldChar w:fldCharType="separate"/>
      </w:r>
      <w:r w:rsidR="005C76D1" w:rsidRPr="005C76D1">
        <w:rPr>
          <w:rFonts w:ascii="Times New Roman" w:hAnsi="Times New Roman" w:cs="Times New Roman"/>
          <w:noProof/>
        </w:rPr>
        <w:t>(Caldera and Debande, 2010a; Rothaermel et al., 2007; Siegel and Wright, 2015b; Van Looy et al., 2011)</w:t>
      </w:r>
      <w:r w:rsidR="008F2687">
        <w:rPr>
          <w:rFonts w:ascii="Times New Roman" w:hAnsi="Times New Roman" w:cs="Times New Roman"/>
        </w:rPr>
        <w:fldChar w:fldCharType="end"/>
      </w:r>
      <w:r w:rsidR="008F2687">
        <w:rPr>
          <w:rFonts w:ascii="Times New Roman" w:hAnsi="Times New Roman" w:cs="Times New Roman"/>
        </w:rPr>
        <w:t>.</w:t>
      </w:r>
      <w:r w:rsidRPr="00EF66BB">
        <w:rPr>
          <w:rFonts w:ascii="Times New Roman" w:hAnsi="Times New Roman" w:cs="Times New Roman"/>
        </w:rPr>
        <w:t xml:space="preserve"> </w:t>
      </w:r>
      <w:r w:rsidR="002701F0">
        <w:rPr>
          <w:rFonts w:ascii="Times New Roman" w:hAnsi="Times New Roman" w:cs="Times New Roman"/>
        </w:rPr>
        <w:t xml:space="preserve">Following the logic of strategic choice theory, </w:t>
      </w:r>
      <w:r w:rsidRPr="00EF66BB">
        <w:rPr>
          <w:rFonts w:ascii="Times New Roman" w:hAnsi="Times New Roman" w:cs="Times New Roman"/>
        </w:rPr>
        <w:t xml:space="preserve">we hypothesise that TTO support is necessary but not sufficient for </w:t>
      </w:r>
      <w:r w:rsidR="0080772B">
        <w:rPr>
          <w:rFonts w:ascii="Times New Roman" w:hAnsi="Times New Roman" w:cs="Times New Roman"/>
        </w:rPr>
        <w:t>effective</w:t>
      </w:r>
      <w:r w:rsidRPr="00EF66BB">
        <w:rPr>
          <w:rFonts w:ascii="Times New Roman" w:hAnsi="Times New Roman" w:cs="Times New Roman"/>
        </w:rPr>
        <w:t xml:space="preserve"> technology transfer. Instead</w:t>
      </w:r>
      <w:r w:rsidR="007C21F4" w:rsidRPr="00EF66BB">
        <w:rPr>
          <w:rFonts w:ascii="Times New Roman" w:hAnsi="Times New Roman" w:cs="Times New Roman"/>
        </w:rPr>
        <w:t>,</w:t>
      </w:r>
      <w:r w:rsidRPr="00EF66BB">
        <w:rPr>
          <w:rFonts w:ascii="Times New Roman" w:hAnsi="Times New Roman" w:cs="Times New Roman"/>
        </w:rPr>
        <w:t xml:space="preserve"> </w:t>
      </w:r>
      <w:r w:rsidR="0080772B">
        <w:rPr>
          <w:rFonts w:ascii="Times New Roman" w:hAnsi="Times New Roman" w:cs="Times New Roman"/>
        </w:rPr>
        <w:t>we</w:t>
      </w:r>
      <w:r w:rsidR="00FF48A3" w:rsidRPr="00EF66BB">
        <w:rPr>
          <w:rFonts w:ascii="Times New Roman" w:hAnsi="Times New Roman" w:cs="Times New Roman"/>
        </w:rPr>
        <w:t xml:space="preserve"> suggested</w:t>
      </w:r>
      <w:r w:rsidRPr="00EF66BB">
        <w:rPr>
          <w:rFonts w:ascii="Times New Roman" w:hAnsi="Times New Roman" w:cs="Times New Roman"/>
        </w:rPr>
        <w:t xml:space="preserve"> that the relationship between TTO support and technology transfer effectiveness is mediated by the strategic choice</w:t>
      </w:r>
      <w:r w:rsidR="0092045A" w:rsidRPr="00EF66BB">
        <w:rPr>
          <w:rFonts w:ascii="Times New Roman" w:hAnsi="Times New Roman" w:cs="Times New Roman"/>
        </w:rPr>
        <w:t>s</w:t>
      </w:r>
      <w:r w:rsidRPr="00EF66BB">
        <w:rPr>
          <w:rFonts w:ascii="Times New Roman" w:hAnsi="Times New Roman" w:cs="Times New Roman"/>
        </w:rPr>
        <w:t xml:space="preserve"> made by</w:t>
      </w:r>
      <w:r w:rsidR="0080772B">
        <w:rPr>
          <w:rFonts w:ascii="Times New Roman" w:hAnsi="Times New Roman" w:cs="Times New Roman"/>
        </w:rPr>
        <w:t xml:space="preserve"> senior</w:t>
      </w:r>
      <w:r w:rsidRPr="00EF66BB">
        <w:rPr>
          <w:rFonts w:ascii="Times New Roman" w:hAnsi="Times New Roman" w:cs="Times New Roman"/>
        </w:rPr>
        <w:t xml:space="preserve"> universit</w:t>
      </w:r>
      <w:r w:rsidR="00FF48A3" w:rsidRPr="00EF66BB">
        <w:rPr>
          <w:rFonts w:ascii="Times New Roman" w:hAnsi="Times New Roman" w:cs="Times New Roman"/>
        </w:rPr>
        <w:t>y managers</w:t>
      </w:r>
      <w:r w:rsidRPr="00EF66BB">
        <w:rPr>
          <w:rFonts w:ascii="Times New Roman" w:hAnsi="Times New Roman" w:cs="Times New Roman"/>
        </w:rPr>
        <w:t xml:space="preserve"> to prioritise technology transfer. The results of our structural modelling provide</w:t>
      </w:r>
      <w:r w:rsidR="0080772B">
        <w:rPr>
          <w:rFonts w:ascii="Times New Roman" w:hAnsi="Times New Roman" w:cs="Times New Roman"/>
        </w:rPr>
        <w:t>s</w:t>
      </w:r>
      <w:r w:rsidRPr="00EF66BB">
        <w:rPr>
          <w:rFonts w:ascii="Times New Roman" w:hAnsi="Times New Roman" w:cs="Times New Roman"/>
        </w:rPr>
        <w:t xml:space="preserve"> strong support for this postulat</w:t>
      </w:r>
      <w:r w:rsidR="00B72A19" w:rsidRPr="00EF66BB">
        <w:rPr>
          <w:rFonts w:ascii="Times New Roman" w:hAnsi="Times New Roman" w:cs="Times New Roman"/>
        </w:rPr>
        <w:t>ion</w:t>
      </w:r>
      <w:r w:rsidR="0080772B">
        <w:rPr>
          <w:rFonts w:ascii="Times New Roman" w:hAnsi="Times New Roman" w:cs="Times New Roman"/>
        </w:rPr>
        <w:t>,</w:t>
      </w:r>
      <w:r w:rsidR="00B72A19" w:rsidRPr="00EF66BB">
        <w:rPr>
          <w:rFonts w:ascii="Times New Roman" w:hAnsi="Times New Roman" w:cs="Times New Roman"/>
        </w:rPr>
        <w:t xml:space="preserve"> which is significant </w:t>
      </w:r>
      <w:r w:rsidR="005F2294" w:rsidRPr="00EF66BB">
        <w:rPr>
          <w:rFonts w:ascii="Times New Roman" w:hAnsi="Times New Roman" w:cs="Times New Roman"/>
        </w:rPr>
        <w:t>because</w:t>
      </w:r>
      <w:r w:rsidRPr="00EF66BB">
        <w:rPr>
          <w:rFonts w:ascii="Times New Roman" w:hAnsi="Times New Roman" w:cs="Times New Roman"/>
        </w:rPr>
        <w:t xml:space="preserve"> existing research examining the relationship between the scale of TTO support and the effectiveness of technology transfer broadly indicates a positive relationship between scale and effectiveness </w:t>
      </w:r>
      <w:r w:rsidR="008F2687">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10.1016/S0048-7333(01)00196-2","ISSN":"00487333","author":[{"dropping-particle":"","family":"Siegel","given":"Donald","non-dropping-particle":"","parse-names":false,"suffix":""},{"dropping-particle":"","family":"Waldman","given":"David","non-dropping-particle":"","parse-names":false,"suffix":""},{"dropping-particle":"","family":"Link","given":"Albert","non-dropping-particle":"","parse-names":false,"suffix":""}],"container-title":"Research Policy","id":"ITEM-1","issue":"1","issued":{"date-parts":[["2003","1"]]},"page":"27-48","title":"Assessing the impact of organizational practices on the relative productivity of university technology transfer offices: an exploratory study","type":"article-journal","volume":"32"},"uris":["http://www.mendeley.com/documents/?uuid=e46987f6-89c5-3b6f-b14b-8fc764f55f9f"]},{"id":"ITEM-2","itemData":{"DOI":"10.1111/j.0741-6261.2008.00020.x","ISBN":"0741-6261","ISSN":"07416261","PMID":"2877","abstract":"We show that universities in the United States that provide stronger royalty incentives to faculty scientists generate greater license income, controlling for university characteristics. We use pre-sample data on university patenting to control for the potential endogeneity of royalty shares. Faculty responds to royalties both in the form of cash and research lab support, indicating both pecuniary and intrinsic research motivations. The impact of incentives is larger in private than in public universities, and we provide new survey evidence on the organization and objectives of university licensing offices to explain this difference. Royalty incentives work both by raising faculty effort and sorting scientists across universities. The primary impact of incentives is to increase the quality rather than the quantity of inventions.","author":[{"dropping-particle":"","family":"Lach","given":"Saul","non-dropping-particle":"","parse-names":false,"suffix":""},{"dropping-particle":"","family":"Schankerman","given":"Mark","non-dropping-particle":"","parse-names":false,"suffix":""}],"container-title":"RAND Journal of Economics","id":"ITEM-2","issue":"2","issued":{"date-parts":[["2008"]]},"page":"403-433","title":"Incentives and invention in universities","type":"article-journal","volume":"39"},"uris":["http://www.mendeley.com/documents/?uuid=5cc5deac-babe-4731-9ce4-35098d057334"]},{"id":"ITEM-3","itemData":{"DOI":"10.1007/s10961-009-9129-z","ISBN":"1096100991","author":[{"dropping-particle":"","family":"Heisey","given":"Paul W","non-dropping-particle":"","parse-names":false,"suffix":""},{"dropping-particle":"","family":"Adelman","given":"Æ Sarah W","non-dropping-particle":"","parse-names":false,"suffix":""}],"id":"ITEM-3","issued":{"date-parts":[["2011"]]},"page":"38-60","title":"and university licensing revenue","type":"article-journal"},"uris":["http://www.mendeley.com/documents/?uuid=c4ddc740-e8bb-478b-be69-e1d8a02e8d39"]}],"mendeley":{"formattedCitation":"(Heisey and Adelman, 2011; Lach and Schankerman, 2008; Siegel et al., 2003)","plainTextFormattedCitation":"(Heisey and Adelman, 2011; Lach and Schankerman, 2008; Siegel et al., 2003)","previouslyFormattedCitation":"(Heisey and Adelman, 2011; Lach and Schankerman, 2008; Siegel et al., 2003)"},"properties":{"noteIndex":0},"schema":"https://github.com/citation-style-language/schema/raw/master/csl-citation.json"}</w:instrText>
      </w:r>
      <w:r w:rsidR="008F2687">
        <w:rPr>
          <w:rFonts w:ascii="Times New Roman" w:hAnsi="Times New Roman" w:cs="Times New Roman"/>
        </w:rPr>
        <w:fldChar w:fldCharType="separate"/>
      </w:r>
      <w:r w:rsidR="008F2687" w:rsidRPr="008F2687">
        <w:rPr>
          <w:rFonts w:ascii="Times New Roman" w:hAnsi="Times New Roman" w:cs="Times New Roman"/>
          <w:noProof/>
        </w:rPr>
        <w:t>(Heisey and Adelman, 2011; Lach and Schankerman, 2008; Siegel et al., 2003)</w:t>
      </w:r>
      <w:r w:rsidR="008F2687">
        <w:rPr>
          <w:rFonts w:ascii="Times New Roman" w:hAnsi="Times New Roman" w:cs="Times New Roman"/>
        </w:rPr>
        <w:fldChar w:fldCharType="end"/>
      </w:r>
      <w:r w:rsidR="008F2687">
        <w:rPr>
          <w:rFonts w:ascii="Times New Roman" w:hAnsi="Times New Roman" w:cs="Times New Roman"/>
        </w:rPr>
        <w:t>.</w:t>
      </w:r>
      <w:r w:rsidRPr="00EF66BB">
        <w:rPr>
          <w:rFonts w:ascii="Times New Roman" w:hAnsi="Times New Roman" w:cs="Times New Roman"/>
        </w:rPr>
        <w:t xml:space="preserve"> </w:t>
      </w:r>
    </w:p>
    <w:p w14:paraId="206D5238" w14:textId="77777777" w:rsidR="006852D0" w:rsidRPr="00EF66BB" w:rsidRDefault="006852D0" w:rsidP="00141231">
      <w:pPr>
        <w:spacing w:line="360" w:lineRule="auto"/>
        <w:rPr>
          <w:rFonts w:ascii="Times New Roman" w:hAnsi="Times New Roman" w:cs="Times New Roman"/>
        </w:rPr>
      </w:pPr>
    </w:p>
    <w:p w14:paraId="6E665474" w14:textId="29FA0CEA" w:rsidR="00CA76BE" w:rsidRDefault="006852D0" w:rsidP="00141231">
      <w:pPr>
        <w:spacing w:line="360" w:lineRule="auto"/>
        <w:rPr>
          <w:rFonts w:ascii="Times New Roman" w:hAnsi="Times New Roman" w:cs="Times New Roman"/>
        </w:rPr>
      </w:pPr>
      <w:r w:rsidRPr="00EF66BB">
        <w:rPr>
          <w:rFonts w:ascii="Times New Roman" w:hAnsi="Times New Roman" w:cs="Times New Roman"/>
        </w:rPr>
        <w:t>However</w:t>
      </w:r>
      <w:r w:rsidR="004A3A5B" w:rsidRPr="00EF66BB">
        <w:rPr>
          <w:rFonts w:ascii="Times New Roman" w:hAnsi="Times New Roman" w:cs="Times New Roman"/>
        </w:rPr>
        <w:t>,</w:t>
      </w:r>
      <w:r w:rsidRPr="00EF66BB">
        <w:rPr>
          <w:rFonts w:ascii="Times New Roman" w:hAnsi="Times New Roman" w:cs="Times New Roman"/>
        </w:rPr>
        <w:t xml:space="preserve"> some studies, notably </w:t>
      </w:r>
      <w:r w:rsidR="008F2687">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Policy","id":"ITEM-1","issue":"3","issued":{"date-parts":[["2005"]]},"page":"369-384","title":"Assessing the relative performance of U.K. university technology transfer offices: Parametric and non-parametric evidence","type":"article-journal","volume":"34"},"uris":["http://www.mendeley.com/documents/?uuid=79f66bd1-a68a-42e0-a3e7-f5910e5a9097"]}],"mendeley":{"formattedCitation":"(Chapple et al., 2005)","manualFormatting":"Chapple et al (2005)","plainTextFormattedCitation":"(Chapple et al., 2005)","previouslyFormattedCitation":"(Chapple et al., 2005)"},"properties":{"noteIndex":0},"schema":"https://github.com/citation-style-language/schema/raw/master/csl-citation.json"}</w:instrText>
      </w:r>
      <w:r w:rsidR="008F2687">
        <w:rPr>
          <w:rFonts w:ascii="Times New Roman" w:hAnsi="Times New Roman" w:cs="Times New Roman"/>
        </w:rPr>
        <w:fldChar w:fldCharType="separate"/>
      </w:r>
      <w:r w:rsidR="008F2687">
        <w:rPr>
          <w:rFonts w:ascii="Times New Roman" w:hAnsi="Times New Roman" w:cs="Times New Roman"/>
          <w:noProof/>
        </w:rPr>
        <w:t>Chapple et al (</w:t>
      </w:r>
      <w:r w:rsidR="008F2687" w:rsidRPr="008F2687">
        <w:rPr>
          <w:rFonts w:ascii="Times New Roman" w:hAnsi="Times New Roman" w:cs="Times New Roman"/>
          <w:noProof/>
        </w:rPr>
        <w:t>2005)</w:t>
      </w:r>
      <w:r w:rsidR="008F2687">
        <w:rPr>
          <w:rFonts w:ascii="Times New Roman" w:hAnsi="Times New Roman" w:cs="Times New Roman"/>
        </w:rPr>
        <w:fldChar w:fldCharType="end"/>
      </w:r>
      <w:r w:rsidRPr="00EF66BB">
        <w:rPr>
          <w:rFonts w:ascii="Times New Roman" w:hAnsi="Times New Roman" w:cs="Times New Roman"/>
        </w:rPr>
        <w:t xml:space="preserve"> and </w:t>
      </w:r>
      <w:r w:rsidR="008F2687">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{"citationItems":[{"id":"ITEM-1","itemData":{"DOI":"10.1016/j.jbusres.2015.01.023","ISBN":"0148-2963","ISSN":"01482963","abstract":"Technology Transfer Offices (TTOs) are the main institutions responsible for the establishment of university-industry partnerships. R&amp;D contracts exemplify the indirect mechanisms through which enterprises and universities collaborate on a win-win basis. This study addresses organizational and institutional aspects that act as drivers for the establishment of successful university-industry partnerships. First, a series of regression models explain the determinants of R&amp;D contracts. These models include two main dimensions: the university and the technology transfer office. Second, further analysis empirically explores whether universities in regions with a favorable environment enjoy greater active involvement in this particular knowledge transfer mechanism. The empirical study analyzes 2010 data for Spanish public universities. Results indicate that successful R&amp;D contracts depend on university and TTO characteristics, and the university's location. The paper also presents a set of managerial implications for improving the establishment of university-industry partnerships.","author":[{"dropping-particle":"","family":"Berbegal-Mirabent","given":"Jasmina","non-dropping-particle":"","parse-names":false,"suffix":""},{"dropping-particle":"","family":"Sánchez García","given":"José Luís","non-dropping-particle":"","parse-names":false,"suffix":""},{"dropping-particle":"","family":"Ribeiro-Soriano","given":"D. Enrique","non-dropping-particle":"","parse-names":false,"suffix":""}],"container-title":"Journal of Business Research","id":"ITEM-1","issue":"7","issued":{"date-parts":[["2015"]]},"page":"1407-1413","publisher":"Elsevier Inc.","title":"University-industry partnerships for the provision of R&amp;D services","type":"article-journal","volume":"68"},"uris":["http://www.mendeley.com/documents/?uuid=247f400b-c1b7-4b23-a7f3-aeb68a8f8dc3"]}],"mendeley":{"formattedCitation":"(Berbegal-Mirabent et al., 2015)","manualFormatting":"Berbegal-Mirabent et al (2015)","plainTextFormattedCitation":"(Berbegal-Mirabent et al., 2015)","previouslyFormattedCitation":"(Berbegal-Mirabent et al., 2015)"},"properties":{"noteIndex":0},"schema":"https://github.com/citation-style-language/schema/raw/master/csl-citation.json"}</w:instrText>
      </w:r>
      <w:r w:rsidR="008F2687">
        <w:rPr>
          <w:rFonts w:ascii="Times New Roman" w:hAnsi="Times New Roman" w:cs="Times New Roman"/>
        </w:rPr>
        <w:fldChar w:fldCharType="separate"/>
      </w:r>
      <w:r w:rsidR="008F2687">
        <w:rPr>
          <w:rFonts w:ascii="Times New Roman" w:hAnsi="Times New Roman" w:cs="Times New Roman"/>
          <w:noProof/>
        </w:rPr>
        <w:t>Berbegal-Mirabent et al (</w:t>
      </w:r>
      <w:r w:rsidR="008F2687" w:rsidRPr="008F2687">
        <w:rPr>
          <w:rFonts w:ascii="Times New Roman" w:hAnsi="Times New Roman" w:cs="Times New Roman"/>
          <w:noProof/>
        </w:rPr>
        <w:t>2015)</w:t>
      </w:r>
      <w:r w:rsidR="008F2687">
        <w:rPr>
          <w:rFonts w:ascii="Times New Roman" w:hAnsi="Times New Roman" w:cs="Times New Roman"/>
        </w:rPr>
        <w:fldChar w:fldCharType="end"/>
      </w:r>
      <w:r w:rsidRPr="00EF66BB">
        <w:rPr>
          <w:rFonts w:ascii="Times New Roman" w:hAnsi="Times New Roman" w:cs="Times New Roman"/>
        </w:rPr>
        <w:t xml:space="preserve"> have  </w:t>
      </w:r>
      <w:r w:rsidR="00D95C01">
        <w:rPr>
          <w:rFonts w:ascii="Times New Roman" w:hAnsi="Times New Roman" w:cs="Times New Roman"/>
        </w:rPr>
        <w:t xml:space="preserve">identified </w:t>
      </w:r>
      <w:r w:rsidR="00C51B52">
        <w:rPr>
          <w:rFonts w:ascii="Times New Roman" w:hAnsi="Times New Roman" w:cs="Times New Roman"/>
        </w:rPr>
        <w:t>a negative</w:t>
      </w:r>
      <w:r w:rsidRPr="00EF66BB">
        <w:rPr>
          <w:rFonts w:ascii="Times New Roman" w:hAnsi="Times New Roman" w:cs="Times New Roman"/>
        </w:rPr>
        <w:t xml:space="preserve"> relationship between</w:t>
      </w:r>
      <w:r w:rsidR="0092045A" w:rsidRPr="00EF66BB">
        <w:rPr>
          <w:rFonts w:ascii="Times New Roman" w:hAnsi="Times New Roman" w:cs="Times New Roman"/>
        </w:rPr>
        <w:t xml:space="preserve"> the</w:t>
      </w:r>
      <w:r w:rsidRPr="00EF66BB">
        <w:rPr>
          <w:rFonts w:ascii="Times New Roman" w:hAnsi="Times New Roman" w:cs="Times New Roman"/>
        </w:rPr>
        <w:t xml:space="preserve"> scale of TTO support and technology transfer effectiveness. Based on our findings</w:t>
      </w:r>
      <w:r w:rsidR="007C21F4" w:rsidRPr="00EF66BB">
        <w:rPr>
          <w:rFonts w:ascii="Times New Roman" w:hAnsi="Times New Roman" w:cs="Times New Roman"/>
        </w:rPr>
        <w:t>,</w:t>
      </w:r>
      <w:r w:rsidRPr="00EF66BB">
        <w:rPr>
          <w:rFonts w:ascii="Times New Roman" w:hAnsi="Times New Roman" w:cs="Times New Roman"/>
        </w:rPr>
        <w:t xml:space="preserve"> </w:t>
      </w:r>
      <w:r w:rsidR="007C21F4" w:rsidRPr="00EF66BB">
        <w:rPr>
          <w:rFonts w:ascii="Times New Roman" w:hAnsi="Times New Roman" w:cs="Times New Roman"/>
        </w:rPr>
        <w:t xml:space="preserve">we </w:t>
      </w:r>
      <w:r w:rsidR="00D95C01">
        <w:rPr>
          <w:rFonts w:ascii="Times New Roman" w:hAnsi="Times New Roman" w:cs="Times New Roman"/>
        </w:rPr>
        <w:t>demonstrate</w:t>
      </w:r>
      <w:r w:rsidR="007C21F4" w:rsidRPr="00EF66BB">
        <w:rPr>
          <w:rFonts w:ascii="Times New Roman" w:hAnsi="Times New Roman" w:cs="Times New Roman"/>
        </w:rPr>
        <w:t xml:space="preserve"> </w:t>
      </w:r>
      <w:r w:rsidRPr="00EF66BB">
        <w:rPr>
          <w:rFonts w:ascii="Times New Roman" w:hAnsi="Times New Roman" w:cs="Times New Roman"/>
        </w:rPr>
        <w:t>that these inverse relationships can be explained by</w:t>
      </w:r>
      <w:r w:rsidR="00B72A19" w:rsidRPr="00EF66BB">
        <w:rPr>
          <w:rFonts w:ascii="Times New Roman" w:hAnsi="Times New Roman" w:cs="Times New Roman"/>
        </w:rPr>
        <w:t xml:space="preserve"> mis</w:t>
      </w:r>
      <w:r w:rsidRPr="00EF66BB">
        <w:rPr>
          <w:rFonts w:ascii="Times New Roman" w:hAnsi="Times New Roman" w:cs="Times New Roman"/>
        </w:rPr>
        <w:t xml:space="preserve">alignment between TTO support and university strategic priorities. This may be particularly useful in </w:t>
      </w:r>
      <w:r w:rsidR="00D95C01">
        <w:rPr>
          <w:rFonts w:ascii="Times New Roman" w:hAnsi="Times New Roman" w:cs="Times New Roman"/>
        </w:rPr>
        <w:t>clarifying</w:t>
      </w:r>
      <w:r w:rsidRPr="00EF66BB">
        <w:rPr>
          <w:rFonts w:ascii="Times New Roman" w:hAnsi="Times New Roman" w:cs="Times New Roman"/>
        </w:rPr>
        <w:t xml:space="preserve"> the negative relationship found by </w:t>
      </w:r>
      <w:r w:rsidR="008F2687">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{"citationItems":[{"id":"ITEM-1","itemData":{"DOI":"10.1016/j.respol.2005.01.007","ISBN":"0048-7333","ISSN":"00487333","PMID":"2878","abstract":"We present evidence on the relative performance of U.K. university technology transfer offices (TTOs) using data envelopment analysis (DEA) and stochastic frontier estimation (SFE). U.K. TTOs are found to exhibit low-levels of absolute efficiency. There also appear to be decreasing returns to scale, implying that TTOs may need to be reconfigured into smaller units. The development of regionally-based sector focused TTOs is also advised. Consistent with qualitative evidence from U.S. TTOs, we find that there is a need to upgrade the business skills and capabilities of U.K. TTO managers and licensing officers. © 2005 Elsevier B.V. All rights reserved.","author":[{"dropping-particle":"","family":"Chapple","given":"Wendy","non-dropping-particle":"","parse-names":false,"suffix":""},{"dropping-particle":"","family":"Lockett","given":"Andy","non-dropping-particle":"","parse-names":false,"suffix":""},{"dropping-particle":"","family":"Siegel","given":"Donald","non-dropping-particle":"","parse-names":false,"suffix":""},{"dropping-particle":"","family":"Wright","given":"Mike","non-dropping-particle":"","parse-names":false,"suffix":""}],"container-title":"Research Policy","id":"ITEM-1","issue":"3","issued":{"date-parts":[["2005"]]},"page":"369-384","title":"Assessing the relative performance of U.K. university technology transfer offices: Parametric and non-parametric evidence","type":"article-journal","volume":"34"},"uris":["http://www.mendeley.com/documents/?uuid=79f66bd1-a68a-42e0-a3e7-f5910e5a9097"]}],"mendeley":{"formattedCitation":"(Chapple et al., 2005)","manualFormatting":"Chapple et al (2005)","plainTextFormattedCitation":"(Chapple et al., 2005)","previouslyFormattedCitation":"(Chapple et al., 2005)"},"properties":{"noteIndex":0},"schema":"https://github.com/citation-style-language/schema/raw/master/csl-citation.json"}</w:instrText>
      </w:r>
      <w:r w:rsidR="008F2687">
        <w:rPr>
          <w:rFonts w:ascii="Times New Roman" w:hAnsi="Times New Roman" w:cs="Times New Roman"/>
        </w:rPr>
        <w:fldChar w:fldCharType="separate"/>
      </w:r>
      <w:r w:rsidR="008F2687">
        <w:rPr>
          <w:rFonts w:ascii="Times New Roman" w:hAnsi="Times New Roman" w:cs="Times New Roman"/>
          <w:noProof/>
        </w:rPr>
        <w:t>Chapple et al (</w:t>
      </w:r>
      <w:r w:rsidR="008F2687" w:rsidRPr="008F2687">
        <w:rPr>
          <w:rFonts w:ascii="Times New Roman" w:hAnsi="Times New Roman" w:cs="Times New Roman"/>
          <w:noProof/>
        </w:rPr>
        <w:t>2005)</w:t>
      </w:r>
      <w:r w:rsidR="008F2687">
        <w:rPr>
          <w:rFonts w:ascii="Times New Roman" w:hAnsi="Times New Roman" w:cs="Times New Roman"/>
        </w:rPr>
        <w:fldChar w:fldCharType="end"/>
      </w:r>
      <w:r w:rsidR="00E307C7">
        <w:rPr>
          <w:rFonts w:ascii="Times New Roman" w:hAnsi="Times New Roman" w:cs="Times New Roman"/>
        </w:rPr>
        <w:t xml:space="preserve"> in their</w:t>
      </w:r>
      <w:r w:rsidR="0092045A" w:rsidRPr="00EF66BB">
        <w:rPr>
          <w:rFonts w:ascii="Times New Roman" w:hAnsi="Times New Roman" w:cs="Times New Roman"/>
        </w:rPr>
        <w:t xml:space="preserve"> </w:t>
      </w:r>
      <w:r w:rsidRPr="00EF66BB">
        <w:rPr>
          <w:rFonts w:ascii="Times New Roman" w:hAnsi="Times New Roman" w:cs="Times New Roman"/>
        </w:rPr>
        <w:t xml:space="preserve">analysis of UK </w:t>
      </w:r>
      <w:r w:rsidR="00D213AA" w:rsidRPr="00EF66BB">
        <w:rPr>
          <w:rFonts w:ascii="Times New Roman" w:hAnsi="Times New Roman" w:cs="Times New Roman"/>
        </w:rPr>
        <w:t>universities</w:t>
      </w:r>
      <w:r w:rsidRPr="00EF66BB">
        <w:rPr>
          <w:rFonts w:ascii="Times New Roman" w:hAnsi="Times New Roman" w:cs="Times New Roman"/>
        </w:rPr>
        <w:t xml:space="preserve">. </w:t>
      </w:r>
      <w:r w:rsidR="00B72A19" w:rsidRPr="00EF66BB">
        <w:rPr>
          <w:rFonts w:ascii="Times New Roman" w:hAnsi="Times New Roman" w:cs="Times New Roman"/>
        </w:rPr>
        <w:t>Lockett et al (2015) show that</w:t>
      </w:r>
      <w:r w:rsidRPr="00EF66BB">
        <w:rPr>
          <w:rFonts w:ascii="Times New Roman" w:hAnsi="Times New Roman" w:cs="Times New Roman"/>
        </w:rPr>
        <w:t xml:space="preserve"> during the late 1990s and early 2000s technology transfer </w:t>
      </w:r>
      <w:r w:rsidR="007C21F4" w:rsidRPr="00EF66BB">
        <w:rPr>
          <w:rFonts w:ascii="Times New Roman" w:hAnsi="Times New Roman" w:cs="Times New Roman"/>
        </w:rPr>
        <w:t xml:space="preserve">became more </w:t>
      </w:r>
      <w:r w:rsidRPr="00EF66BB">
        <w:rPr>
          <w:rFonts w:ascii="Times New Roman" w:hAnsi="Times New Roman" w:cs="Times New Roman"/>
        </w:rPr>
        <w:t xml:space="preserve">institutionalised within UK universities, with isomorphic and regulatory pressures driving the formation and resourcing of </w:t>
      </w:r>
      <w:r w:rsidR="007C21F4" w:rsidRPr="00EF66BB">
        <w:rPr>
          <w:rFonts w:ascii="Times New Roman" w:hAnsi="Times New Roman" w:cs="Times New Roman"/>
        </w:rPr>
        <w:t>TTOs</w:t>
      </w:r>
      <w:r w:rsidRPr="00EF66BB">
        <w:rPr>
          <w:rFonts w:ascii="Times New Roman" w:hAnsi="Times New Roman" w:cs="Times New Roman"/>
        </w:rPr>
        <w:t xml:space="preserve">. </w:t>
      </w:r>
      <w:r w:rsidR="007C21F4" w:rsidRPr="00EF66BB">
        <w:rPr>
          <w:rFonts w:ascii="Times New Roman" w:hAnsi="Times New Roman" w:cs="Times New Roman"/>
        </w:rPr>
        <w:t xml:space="preserve">Following </w:t>
      </w:r>
      <w:r w:rsidRPr="00EF66BB">
        <w:rPr>
          <w:rFonts w:ascii="Times New Roman" w:hAnsi="Times New Roman" w:cs="Times New Roman"/>
        </w:rPr>
        <w:t xml:space="preserve">Chapple et al (2005) </w:t>
      </w:r>
      <w:r w:rsidR="007C21F4" w:rsidRPr="00EF66BB">
        <w:rPr>
          <w:rFonts w:ascii="Times New Roman" w:hAnsi="Times New Roman" w:cs="Times New Roman"/>
        </w:rPr>
        <w:t xml:space="preserve">and </w:t>
      </w:r>
      <w:r w:rsidRPr="00EF66BB">
        <w:rPr>
          <w:rFonts w:ascii="Times New Roman" w:hAnsi="Times New Roman" w:cs="Times New Roman"/>
        </w:rPr>
        <w:t>in light of our results, it may be concluded that UK TTO’s exhibit decreasing returns to scale due to misalignment between the strategic priorities of UK universities and the</w:t>
      </w:r>
      <w:r w:rsidR="00D95C01">
        <w:rPr>
          <w:rFonts w:ascii="Times New Roman" w:hAnsi="Times New Roman" w:cs="Times New Roman"/>
        </w:rPr>
        <w:t xml:space="preserve"> level of</w:t>
      </w:r>
      <w:r w:rsidRPr="00EF66BB">
        <w:rPr>
          <w:rFonts w:ascii="Times New Roman" w:hAnsi="Times New Roman" w:cs="Times New Roman"/>
        </w:rPr>
        <w:t xml:space="preserve"> technology transfer support </w:t>
      </w:r>
      <w:r w:rsidR="00D95C01">
        <w:rPr>
          <w:rFonts w:ascii="Times New Roman" w:hAnsi="Times New Roman" w:cs="Times New Roman"/>
        </w:rPr>
        <w:t>resulting from</w:t>
      </w:r>
      <w:r w:rsidRPr="00EF66BB">
        <w:rPr>
          <w:rFonts w:ascii="Times New Roman" w:hAnsi="Times New Roman" w:cs="Times New Roman"/>
        </w:rPr>
        <w:t xml:space="preserve"> these institutional pressures.</w:t>
      </w:r>
    </w:p>
    <w:p w14:paraId="7882B6B7" w14:textId="77777777" w:rsidR="00957CF9" w:rsidRDefault="00957CF9" w:rsidP="00141231">
      <w:pPr>
        <w:spacing w:line="360" w:lineRule="auto"/>
        <w:rPr>
          <w:rFonts w:ascii="Times New Roman" w:hAnsi="Times New Roman" w:cs="Times New Roman"/>
        </w:rPr>
      </w:pPr>
    </w:p>
    <w:p w14:paraId="1CF80351" w14:textId="742ECCCE" w:rsidR="006852D0" w:rsidRPr="00EF66BB" w:rsidRDefault="00D95C01" w:rsidP="00141231">
      <w:pPr>
        <w:spacing w:line="360" w:lineRule="auto"/>
        <w:rPr>
          <w:rFonts w:ascii="Times New Roman" w:hAnsi="Times New Roman" w:cs="Times New Roman"/>
        </w:rPr>
      </w:pPr>
      <w:r>
        <w:rPr>
          <w:rFonts w:ascii="Times New Roman" w:hAnsi="Times New Roman" w:cs="Times New Roman"/>
        </w:rPr>
        <w:lastRenderedPageBreak/>
        <w:t xml:space="preserve">Consequently, it is the </w:t>
      </w:r>
      <w:r w:rsidR="006852D0" w:rsidRPr="00EF66BB">
        <w:rPr>
          <w:rFonts w:ascii="Times New Roman" w:hAnsi="Times New Roman" w:cs="Times New Roman"/>
        </w:rPr>
        <w:t>strategic commitment to technology transfer which is the key underlying determinant of technology transfer effectiveness rather than</w:t>
      </w:r>
      <w:r w:rsidR="00A33DC8">
        <w:rPr>
          <w:rFonts w:ascii="Times New Roman" w:hAnsi="Times New Roman" w:cs="Times New Roman"/>
        </w:rPr>
        <w:t xml:space="preserve"> the scale of TTO.</w:t>
      </w:r>
      <w:r w:rsidR="006852D0" w:rsidRPr="00EF66BB">
        <w:rPr>
          <w:rFonts w:ascii="Times New Roman" w:hAnsi="Times New Roman" w:cs="Times New Roman"/>
        </w:rPr>
        <w:t xml:space="preserve"> </w:t>
      </w:r>
      <w:r w:rsidR="00D213AA" w:rsidRPr="00EF66BB">
        <w:rPr>
          <w:rFonts w:ascii="Times New Roman" w:hAnsi="Times New Roman" w:cs="Times New Roman"/>
        </w:rPr>
        <w:t>In a practical sense</w:t>
      </w:r>
      <w:r w:rsidR="006852D0" w:rsidRPr="00EF66BB">
        <w:rPr>
          <w:rFonts w:ascii="Times New Roman" w:hAnsi="Times New Roman" w:cs="Times New Roman"/>
        </w:rPr>
        <w:t>, support for H1 suggests that universities should not increase the scale of their TTO infrastructure</w:t>
      </w:r>
      <w:r w:rsidR="007C21F4" w:rsidRPr="00EF66BB">
        <w:rPr>
          <w:rFonts w:ascii="Times New Roman" w:hAnsi="Times New Roman" w:cs="Times New Roman"/>
        </w:rPr>
        <w:t>,</w:t>
      </w:r>
      <w:r w:rsidR="006852D0" w:rsidRPr="00EF66BB">
        <w:rPr>
          <w:rFonts w:ascii="Times New Roman" w:hAnsi="Times New Roman" w:cs="Times New Roman"/>
        </w:rPr>
        <w:t xml:space="preserve"> if technology transfer is not a primary strategic objective of the institution</w:t>
      </w:r>
      <w:r w:rsidR="00CE0F15">
        <w:rPr>
          <w:rFonts w:ascii="Times New Roman" w:hAnsi="Times New Roman" w:cs="Times New Roman"/>
        </w:rPr>
        <w:t>.</w:t>
      </w:r>
      <w:r w:rsidR="00677415">
        <w:rPr>
          <w:rFonts w:ascii="Times New Roman" w:hAnsi="Times New Roman" w:cs="Times New Roman"/>
        </w:rPr>
        <w:t xml:space="preserve"> This follows the recent analysis of</w:t>
      </w:r>
      <w:r w:rsidR="006E45CA">
        <w:rPr>
          <w:rFonts w:ascii="Times New Roman" w:hAnsi="Times New Roman" w:cs="Times New Roman"/>
        </w:rPr>
        <w:t xml:space="preserve"> university</w:t>
      </w:r>
      <w:r w:rsidR="00677415">
        <w:rPr>
          <w:rFonts w:ascii="Times New Roman" w:hAnsi="Times New Roman" w:cs="Times New Roman"/>
        </w:rPr>
        <w:t xml:space="preserve"> knowledge transfer organi</w:t>
      </w:r>
      <w:r w:rsidR="00CE1EC1">
        <w:rPr>
          <w:rFonts w:ascii="Times New Roman" w:hAnsi="Times New Roman" w:cs="Times New Roman"/>
        </w:rPr>
        <w:t>s</w:t>
      </w:r>
      <w:r w:rsidR="00677415">
        <w:rPr>
          <w:rFonts w:ascii="Times New Roman" w:hAnsi="Times New Roman" w:cs="Times New Roman"/>
        </w:rPr>
        <w:t xml:space="preserve">ations by Sengupta </w:t>
      </w:r>
      <w:r w:rsidR="00A33DC8">
        <w:rPr>
          <w:rFonts w:ascii="Times New Roman" w:hAnsi="Times New Roman" w:cs="Times New Roman"/>
        </w:rPr>
        <w:t>and</w:t>
      </w:r>
      <w:r w:rsidR="00677415">
        <w:rPr>
          <w:rFonts w:ascii="Times New Roman" w:hAnsi="Times New Roman" w:cs="Times New Roman"/>
        </w:rPr>
        <w:t xml:space="preserve"> Ray (2017b), </w:t>
      </w:r>
      <w:r w:rsidR="00CE0F15">
        <w:rPr>
          <w:rFonts w:ascii="Times New Roman" w:hAnsi="Times New Roman" w:cs="Times New Roman"/>
        </w:rPr>
        <w:t xml:space="preserve">who suggest </w:t>
      </w:r>
      <w:r w:rsidR="00677415">
        <w:rPr>
          <w:rFonts w:ascii="Times New Roman" w:hAnsi="Times New Roman" w:cs="Times New Roman"/>
        </w:rPr>
        <w:t xml:space="preserve">that </w:t>
      </w:r>
      <w:r w:rsidR="00A33DC8">
        <w:rPr>
          <w:rFonts w:ascii="Times New Roman" w:hAnsi="Times New Roman" w:cs="Times New Roman"/>
        </w:rPr>
        <w:t xml:space="preserve">TTO </w:t>
      </w:r>
      <w:r w:rsidR="00677415">
        <w:rPr>
          <w:rFonts w:ascii="Times New Roman" w:hAnsi="Times New Roman" w:cs="Times New Roman"/>
        </w:rPr>
        <w:t>structure should be concordant with university strategic</w:t>
      </w:r>
      <w:r w:rsidR="001E1E6D">
        <w:rPr>
          <w:rFonts w:ascii="Times New Roman" w:hAnsi="Times New Roman" w:cs="Times New Roman"/>
        </w:rPr>
        <w:t xml:space="preserve"> priorities. </w:t>
      </w:r>
      <w:r w:rsidR="00CE0F15">
        <w:rPr>
          <w:rFonts w:ascii="Times New Roman" w:hAnsi="Times New Roman" w:cs="Times New Roman"/>
        </w:rPr>
        <w:t xml:space="preserve">Specifically, </w:t>
      </w:r>
      <w:r w:rsidR="001E1E6D">
        <w:rPr>
          <w:rFonts w:ascii="Times New Roman" w:hAnsi="Times New Roman" w:cs="Times New Roman"/>
        </w:rPr>
        <w:t xml:space="preserve">Sengupta </w:t>
      </w:r>
      <w:r w:rsidR="00A33DC8">
        <w:rPr>
          <w:rFonts w:ascii="Times New Roman" w:hAnsi="Times New Roman" w:cs="Times New Roman"/>
        </w:rPr>
        <w:t>and</w:t>
      </w:r>
      <w:r w:rsidR="001E1E6D">
        <w:rPr>
          <w:rFonts w:ascii="Times New Roman" w:hAnsi="Times New Roman" w:cs="Times New Roman"/>
        </w:rPr>
        <w:t xml:space="preserve"> Ray (2017b) highlight </w:t>
      </w:r>
      <w:r w:rsidR="00CE0F15">
        <w:rPr>
          <w:rFonts w:ascii="Times New Roman" w:hAnsi="Times New Roman" w:cs="Times New Roman"/>
        </w:rPr>
        <w:t>that most UK universities perform poorly in terms of research commerciali</w:t>
      </w:r>
      <w:r w:rsidR="00CE1EC1">
        <w:rPr>
          <w:rFonts w:ascii="Times New Roman" w:hAnsi="Times New Roman" w:cs="Times New Roman"/>
        </w:rPr>
        <w:t>s</w:t>
      </w:r>
      <w:r w:rsidR="00CE0F15">
        <w:rPr>
          <w:rFonts w:ascii="Times New Roman" w:hAnsi="Times New Roman" w:cs="Times New Roman"/>
        </w:rPr>
        <w:t>ation and have therefore moved to outsource commerciali</w:t>
      </w:r>
      <w:r w:rsidR="00CE1EC1">
        <w:rPr>
          <w:rFonts w:ascii="Times New Roman" w:hAnsi="Times New Roman" w:cs="Times New Roman"/>
        </w:rPr>
        <w:t>s</w:t>
      </w:r>
      <w:r w:rsidR="00CE0F15">
        <w:rPr>
          <w:rFonts w:ascii="Times New Roman" w:hAnsi="Times New Roman" w:cs="Times New Roman"/>
        </w:rPr>
        <w:t>ation functions of their TTOs. Importantly, they draw attention to the significance of strategic responses by UK universities as a key influence on the structure of TTOs. Our analysis, combined with the insights of Sengupta &amp; Ray (2017b) suggests that only those universities that prioritise technology transfer should retain commerciali</w:t>
      </w:r>
      <w:r w:rsidR="00CE1EC1">
        <w:rPr>
          <w:rFonts w:ascii="Times New Roman" w:hAnsi="Times New Roman" w:cs="Times New Roman"/>
        </w:rPr>
        <w:t>s</w:t>
      </w:r>
      <w:r w:rsidR="00CE0F15">
        <w:rPr>
          <w:rFonts w:ascii="Times New Roman" w:hAnsi="Times New Roman" w:cs="Times New Roman"/>
        </w:rPr>
        <w:t xml:space="preserve">ation functions in-house. Conversely, those institutions that do not place strategic emphasis on technology transfer would be advised to move towards outsourcing models in order to improve the overall efficiency of their knowledge transfer operations. </w:t>
      </w:r>
    </w:p>
    <w:p w14:paraId="71A3ED26" w14:textId="77777777" w:rsidR="006852D0" w:rsidRPr="00EF66BB" w:rsidRDefault="006852D0" w:rsidP="00141231">
      <w:pPr>
        <w:spacing w:line="360" w:lineRule="auto"/>
        <w:rPr>
          <w:rFonts w:ascii="Times New Roman" w:hAnsi="Times New Roman" w:cs="Times New Roman"/>
        </w:rPr>
      </w:pPr>
    </w:p>
    <w:p w14:paraId="38CDC9E2" w14:textId="21ED4D20" w:rsidR="006852D0" w:rsidRPr="00EF66BB" w:rsidRDefault="006852D0" w:rsidP="00141231">
      <w:pPr>
        <w:spacing w:line="360" w:lineRule="auto"/>
        <w:rPr>
          <w:rFonts w:ascii="Times New Roman" w:hAnsi="Times New Roman" w:cs="Times New Roman"/>
        </w:rPr>
      </w:pPr>
      <w:r w:rsidRPr="00EF66BB">
        <w:rPr>
          <w:rFonts w:ascii="Times New Roman" w:hAnsi="Times New Roman" w:cs="Times New Roman"/>
        </w:rPr>
        <w:t>In H2, we suggest</w:t>
      </w:r>
      <w:r w:rsidR="00A33DC8">
        <w:rPr>
          <w:rFonts w:ascii="Times New Roman" w:hAnsi="Times New Roman" w:cs="Times New Roman"/>
        </w:rPr>
        <w:t>ed</w:t>
      </w:r>
      <w:r w:rsidRPr="00EF66BB">
        <w:rPr>
          <w:rFonts w:ascii="Times New Roman" w:hAnsi="Times New Roman" w:cs="Times New Roman"/>
        </w:rPr>
        <w:t xml:space="preserve"> that the provision </w:t>
      </w:r>
      <w:r w:rsidR="00E307C7">
        <w:rPr>
          <w:rFonts w:ascii="Times New Roman" w:hAnsi="Times New Roman" w:cs="Times New Roman"/>
        </w:rPr>
        <w:t>of</w:t>
      </w:r>
      <w:r w:rsidRPr="00EF66BB">
        <w:rPr>
          <w:rFonts w:ascii="Times New Roman" w:hAnsi="Times New Roman" w:cs="Times New Roman"/>
        </w:rPr>
        <w:t xml:space="preserve"> incentives </w:t>
      </w:r>
      <w:r w:rsidR="00E307C7">
        <w:rPr>
          <w:rFonts w:ascii="Times New Roman" w:hAnsi="Times New Roman" w:cs="Times New Roman"/>
        </w:rPr>
        <w:t>for</w:t>
      </w:r>
      <w:r w:rsidRPr="00EF66BB">
        <w:rPr>
          <w:rFonts w:ascii="Times New Roman" w:hAnsi="Times New Roman" w:cs="Times New Roman"/>
        </w:rPr>
        <w:t xml:space="preserve"> staff to engage in technology transfer activity is necessary but not sufficient to explain variation in technology transfer effectiveness</w:t>
      </w:r>
      <w:r w:rsidR="008F2687">
        <w:rPr>
          <w:rFonts w:ascii="Times New Roman" w:hAnsi="Times New Roman" w:cs="Times New Roman"/>
        </w:rPr>
        <w:t>.</w:t>
      </w:r>
      <w:r w:rsidRPr="00EF66BB">
        <w:rPr>
          <w:rFonts w:ascii="Times New Roman" w:hAnsi="Times New Roman" w:cs="Times New Roman"/>
        </w:rPr>
        <w:t xml:space="preserve"> </w:t>
      </w:r>
      <w:r w:rsidR="00CD0532">
        <w:rPr>
          <w:rFonts w:ascii="Times New Roman" w:hAnsi="Times New Roman" w:cs="Times New Roman"/>
        </w:rPr>
        <w:t>M</w:t>
      </w:r>
      <w:r w:rsidRPr="00EF66BB">
        <w:rPr>
          <w:rFonts w:ascii="Times New Roman" w:hAnsi="Times New Roman" w:cs="Times New Roman"/>
        </w:rPr>
        <w:t xml:space="preserve">ost studies demonstrate a positive relationship between incentives (usually in the form of royalty shares) and technology transfer revenue </w:t>
      </w:r>
      <w:r w:rsidR="008F2687">
        <w:rPr>
          <w:rFonts w:ascii="Times New Roman" w:hAnsi="Times New Roman" w:cs="Times New Roman"/>
        </w:rPr>
        <w:fldChar w:fldCharType="begin" w:fldLock="1"/>
      </w:r>
      <w:r w:rsidR="005F1251">
        <w:rPr>
          <w:rFonts w:ascii="Times New Roman" w:hAnsi="Times New Roman" w:cs="Times New Roman"/>
        </w:rPr>
        <w:instrText>ADDIN CSL_CITATION {"citationItems":[{"id":"ITEM-1","itemData":{"DOI":"10.1016/j.respol.2010.05.016","ISBN":"00487333","ISSN":"00487333","PMID":"53969080","abstract":"This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Policy","id":"ITEM-1","issue":"9","issued":{"date-parts":[["2010"]]},"page":"1160-1173","publisher":"Elsevier B.V.","title":"Performance of Spanish universities in technology transfer: An empirical analysis","type":"article-journal","volume":"39"},"uris":["http://www.mendeley.com/documents/?uuid=b6187140-2655-46fb-9e1d-b798bf9c6104"]},{"id":"ITEM-2","itemData":{"DOI":"10.1016/j.respol.2005.01.005","ISBN":"0048-7333","ISSN":"00487333","PMID":"599","abstract":"This article discusses salient trends in university-based technology initiatives in the United States and Europe, and it summarizes the papers contained in this special issue.","author":[{"dropping-particle":"","family":"Link","given":"Albert N.","non-dropping-particle":"","parse-names":false,"suffix":""},{"dropping-particle":"","family":"Siegel","given":"Donald","non-dropping-particle":"","parse-names":false,"suffix":""}],"container-title":"Research Policy","id":"ITEM-2","issue":"3","issued":{"date-parts":[["2005"]]},"page":"253-257","title":"University-based technology initiatives: Quantitative and qualitative evidence","type":"article-journal","volume":"34"},"uris":["http://www.mendeley.com/documents/?uuid=898545c9-834c-423a-aa3f-4da3b3627a38"]},{"id":"ITEM-3","itemData":{"DOI":"10.1023/A:1021674618658","ISBN":"0892-9912","ISSN":"0892-9912","abstract":"University technology transfer activities are increasingly important as a source of regional economic development and revenue for the university. We use regression analysis, a two-stage model and the most recent data to examine the determinants of technology transfer. Our analysis strongly support four factors, not previously examined in the literature, enhancing university technology transfer: greater rewards for faculty involvement in technology transfer, location of the university in a region with a concentration of high technology firms, a clear university mission in support of technology transfer and the experience of the university's technology transfer office.","author":[{"dropping-particle":"","family":"Friedman","given":"Joseph","non-dropping-particle":"","parse-names":false,"suffix":""},{"dropping-particle":"","family":"Silberman","given":"Jonathan","non-dropping-particle":"","parse-names":false,"suffix":""}],"container-title":"The Journal of Technology Transfer","id":"ITEM-3","issue":"1","issued":{"date-parts":[["2003"]]},"page":"17-30","title":"University Technology Transfer: Do Incentives, Management, and Location Matter?","type":"article-journal","volume":"28"},"uris":["http://www.mendeley.com/documents/?uuid=374e8e75-56c8-4c4e-a6bd-e5796bfc2ca5"]},{"id":"ITEM-4","itemData":{"DOI":"10.1086/595763","ISBN":"0022-2186","ISSN":"0022-2186","PMID":"2889","abstract":"We study the impact of private ownership, incentive pay, and local development objectives on university licensing performance. We develop and test a simple contracting model of technology-licensing offices using new survey information together with panel data on U.S. universities for 1995–99. We find that private universities are much more likely to adopt incentive pay than public ones but that ownership does not affect licensing performance conditional on the use of incentive pay. Adopting incentive pay is associated with about 30–40 percent more income per license. Universities with strong local development objectives generate about 30 percent less income per license but are more likely to license to local (in-state) start-up companies. In addition, we show that government constraints on university licensing activity are costly in terms of forgone license income and the creation of start-up companies. These results are robust to controls for observed and unobserved heterogeneity. 1.","author":[{"dropping-particle":"","family":"Belenzon","given":"Sharon","non-dropping-particle":"","parse-names":false,"suffix":""},{"dropping-particle":"","family":"Schankerman","given":"Mark","non-dropping-particle":"","parse-names":false,"suffix":""}],"container-title":"Journal of Law and Economics","id":"ITEM-4","issue":"52","issued":{"date-parts":[["2009"]]},"page":"111-144","title":"University Knowledge Transfer: Private Ownership, Incentives, and Local Development Objectives","type":"article-journal","volume":"52"},"uris":["http://www.mendeley.com/documents/?uuid=7345fea5-4d57-47e5-8f88-6fa68b47799f"]}],"mendeley":{"formattedCitation":"(Belenzon and Schankerman, 2009; Caldera and Debande, 2010b; Friedman and Silberman, 2003; Link and Siegel, 2005)","plainTextFormattedCitation":"(Belenzon and Schankerman, 2009; Caldera and Debande, 2010b; Friedman and Silberman, 2003; Link and Siegel, 2005)","previouslyFormattedCitation":"(Belenzon and Schankerman, 2009; Caldera and Debande, 2010b; Friedman and Silberman, 2003; Link and Siegel, 2005)"},"properties":{"noteIndex":0},"schema":"https://github.com/citation-style-language/schema/raw/master/csl-citation.json"}</w:instrText>
      </w:r>
      <w:r w:rsidR="008F2687">
        <w:rPr>
          <w:rFonts w:ascii="Times New Roman" w:hAnsi="Times New Roman" w:cs="Times New Roman"/>
        </w:rPr>
        <w:fldChar w:fldCharType="separate"/>
      </w:r>
      <w:r w:rsidR="008F2687" w:rsidRPr="008F2687">
        <w:rPr>
          <w:rFonts w:ascii="Times New Roman" w:hAnsi="Times New Roman" w:cs="Times New Roman"/>
          <w:noProof/>
        </w:rPr>
        <w:t>(Belenzon and Schankerman, 2009; Caldera and Debande, 2010b; Friedman and Silberman, 2003; Link and Siegel, 2005)</w:t>
      </w:r>
      <w:r w:rsidR="008F2687">
        <w:rPr>
          <w:rFonts w:ascii="Times New Roman" w:hAnsi="Times New Roman" w:cs="Times New Roman"/>
        </w:rPr>
        <w:fldChar w:fldCharType="end"/>
      </w:r>
      <w:r w:rsidR="008F2687">
        <w:rPr>
          <w:rFonts w:ascii="Times New Roman" w:hAnsi="Times New Roman" w:cs="Times New Roman"/>
        </w:rPr>
        <w:t>.</w:t>
      </w:r>
      <w:r w:rsidRPr="00EF66BB">
        <w:rPr>
          <w:rFonts w:ascii="Times New Roman" w:hAnsi="Times New Roman" w:cs="Times New Roman"/>
        </w:rPr>
        <w:t xml:space="preserve"> However, some suggest</w:t>
      </w:r>
      <w:r w:rsidR="00EC71AC" w:rsidRPr="00EF66BB">
        <w:rPr>
          <w:rFonts w:ascii="Times New Roman" w:hAnsi="Times New Roman" w:cs="Times New Roman"/>
        </w:rPr>
        <w:t xml:space="preserve"> </w:t>
      </w:r>
      <w:r w:rsidRPr="00EF66BB">
        <w:rPr>
          <w:rFonts w:ascii="Times New Roman" w:hAnsi="Times New Roman" w:cs="Times New Roman"/>
        </w:rPr>
        <w:t xml:space="preserve">that the provision of incentives to staff has no effect on the level of technology transfer </w:t>
      </w:r>
      <w:r w:rsidR="008F2687">
        <w:rPr>
          <w:rFonts w:ascii="Times New Roman" w:hAnsi="Times New Roman" w:cs="Times New Roman"/>
        </w:rPr>
        <w:fldChar w:fldCharType="begin" w:fldLock="1"/>
      </w:r>
      <w:r w:rsidR="008F2687">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Spain","type":"article-journal","volume":"45"},"uris":["http://www.mendeley.com/documents/?uuid=9dc55724-30e7-4819-98fd-32f02e1caf8d"]}],"mendeley":{"formattedCitation":"(Arqué-Castells et al., 2016)","plainTextFormattedCitation":"(Arqué-Castells et al., 2016)","previouslyFormattedCitation":"(Arqué-Castells et al., 2016)"},"properties":{"noteIndex":0},"schema":"https://github.com/citation-style-language/schema/raw/master/csl-citation.json"}</w:instrText>
      </w:r>
      <w:r w:rsidR="008F2687">
        <w:rPr>
          <w:rFonts w:ascii="Times New Roman" w:hAnsi="Times New Roman" w:cs="Times New Roman"/>
        </w:rPr>
        <w:fldChar w:fldCharType="separate"/>
      </w:r>
      <w:r w:rsidR="008F2687" w:rsidRPr="008F2687">
        <w:rPr>
          <w:rFonts w:ascii="Times New Roman" w:hAnsi="Times New Roman" w:cs="Times New Roman"/>
          <w:noProof/>
        </w:rPr>
        <w:t>(Arqué-Castells et al., 2016)</w:t>
      </w:r>
      <w:r w:rsidR="008F2687">
        <w:rPr>
          <w:rFonts w:ascii="Times New Roman" w:hAnsi="Times New Roman" w:cs="Times New Roman"/>
        </w:rPr>
        <w:fldChar w:fldCharType="end"/>
      </w:r>
      <w:r w:rsidRPr="00EF66BB">
        <w:rPr>
          <w:rFonts w:ascii="Times New Roman" w:hAnsi="Times New Roman" w:cs="Times New Roman"/>
        </w:rPr>
        <w:t xml:space="preserve"> or even  a negative effect (Markman et al, 2004). The result</w:t>
      </w:r>
      <w:r w:rsidR="00EC71AC" w:rsidRPr="00EF66BB">
        <w:rPr>
          <w:rFonts w:ascii="Times New Roman" w:hAnsi="Times New Roman" w:cs="Times New Roman"/>
        </w:rPr>
        <w:t>s</w:t>
      </w:r>
      <w:r w:rsidRPr="00EF66BB">
        <w:rPr>
          <w:rFonts w:ascii="Times New Roman" w:hAnsi="Times New Roman" w:cs="Times New Roman"/>
        </w:rPr>
        <w:t xml:space="preserve"> of our structural modelling show that the provision of</w:t>
      </w:r>
      <w:r w:rsidR="00A33DC8">
        <w:rPr>
          <w:rFonts w:ascii="Times New Roman" w:hAnsi="Times New Roman" w:cs="Times New Roman"/>
        </w:rPr>
        <w:t xml:space="preserve"> staff</w:t>
      </w:r>
      <w:r w:rsidRPr="00EF66BB">
        <w:rPr>
          <w:rFonts w:ascii="Times New Roman" w:hAnsi="Times New Roman" w:cs="Times New Roman"/>
        </w:rPr>
        <w:t xml:space="preserve"> incentives results in greater technology transfer activity when there is alignment with university strategic priorities. This finding echoes </w:t>
      </w:r>
      <w:r w:rsidR="00E307C7">
        <w:rPr>
          <w:rFonts w:ascii="Times New Roman" w:hAnsi="Times New Roman" w:cs="Times New Roman"/>
        </w:rPr>
        <w:t>research by</w:t>
      </w:r>
      <w:r w:rsidRPr="00EF66BB">
        <w:rPr>
          <w:rFonts w:ascii="Times New Roman" w:hAnsi="Times New Roman" w:cs="Times New Roman"/>
        </w:rPr>
        <w:t xml:space="preserve"> </w:t>
      </w:r>
      <w:r w:rsidR="008F2687">
        <w:rPr>
          <w:rFonts w:ascii="Times New Roman" w:hAnsi="Times New Roman" w:cs="Times New Roman"/>
        </w:rPr>
        <w:fldChar w:fldCharType="begin" w:fldLock="1"/>
      </w:r>
      <w:r w:rsidR="004339CF">
        <w:rPr>
          <w:rFonts w:ascii="Times New Roman" w:hAnsi="Times New Roman" w:cs="Times New Roman"/>
        </w:rPr>
        <w:instrText>ADDIN CSL_CITATION {"citationItems":[{"id":"ITEM-1","itemData":{"DOI":"10.1016/j.respol.2016.06.006","ISBN":"00487333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Policy","id":"ITEM-1","issue":"9","issued":{"date-parts":[["2016"]]},"page":"1858-1872","publisher":"Elsevier B.V.","title":"Royalty sharing, effort and invention in universities: Evidence from Portugal and Spain","type":"article-journal","volume":"45"},"uris":["http://www.mendeley.com/documents/?uuid=9dc55724-30e7-4819-98fd-32f02e1caf8d"]}],"mendeley":{"formattedCitation":"(Arqué-Castells et al., 2016)","manualFormatting":"Arqué-Castells et al (2016)","plainTextFormattedCitation":"(Arqué-Castells et al., 2016)","previouslyFormattedCitation":"(Arqué-Castells et al., 2016)"},"properties":{"noteIndex":0},"schema":"https://github.com/citation-style-language/schema/raw/master/csl-citation.json"}</w:instrText>
      </w:r>
      <w:r w:rsidR="008F2687">
        <w:rPr>
          <w:rFonts w:ascii="Times New Roman" w:hAnsi="Times New Roman" w:cs="Times New Roman"/>
        </w:rPr>
        <w:fldChar w:fldCharType="separate"/>
      </w:r>
      <w:r w:rsidR="008F2687">
        <w:rPr>
          <w:rFonts w:ascii="Times New Roman" w:hAnsi="Times New Roman" w:cs="Times New Roman"/>
          <w:noProof/>
        </w:rPr>
        <w:t>Arqué-Castells et al</w:t>
      </w:r>
      <w:r w:rsidR="008F2687" w:rsidRPr="008F2687">
        <w:rPr>
          <w:rFonts w:ascii="Times New Roman" w:hAnsi="Times New Roman" w:cs="Times New Roman"/>
          <w:noProof/>
        </w:rPr>
        <w:t xml:space="preserve"> </w:t>
      </w:r>
      <w:r w:rsidR="008F2687">
        <w:rPr>
          <w:rFonts w:ascii="Times New Roman" w:hAnsi="Times New Roman" w:cs="Times New Roman"/>
          <w:noProof/>
        </w:rPr>
        <w:t>(</w:t>
      </w:r>
      <w:r w:rsidR="008F2687" w:rsidRPr="008F2687">
        <w:rPr>
          <w:rFonts w:ascii="Times New Roman" w:hAnsi="Times New Roman" w:cs="Times New Roman"/>
          <w:noProof/>
        </w:rPr>
        <w:t>2016)</w:t>
      </w:r>
      <w:r w:rsidR="008F2687">
        <w:rPr>
          <w:rFonts w:ascii="Times New Roman" w:hAnsi="Times New Roman" w:cs="Times New Roman"/>
        </w:rPr>
        <w:fldChar w:fldCharType="end"/>
      </w:r>
      <w:r w:rsidR="002D0426" w:rsidRPr="00EF66BB">
        <w:rPr>
          <w:rFonts w:ascii="Times New Roman" w:hAnsi="Times New Roman" w:cs="Times New Roman"/>
        </w:rPr>
        <w:t>, who</w:t>
      </w:r>
      <w:r w:rsidR="00EC71AC" w:rsidRPr="00EF66BB">
        <w:rPr>
          <w:rFonts w:ascii="Times New Roman" w:hAnsi="Times New Roman" w:cs="Times New Roman"/>
        </w:rPr>
        <w:t xml:space="preserve"> found</w:t>
      </w:r>
      <w:r w:rsidRPr="00EF66BB">
        <w:rPr>
          <w:rFonts w:ascii="Times New Roman" w:hAnsi="Times New Roman" w:cs="Times New Roman"/>
        </w:rPr>
        <w:t xml:space="preserve"> that the influence of incentives (or lack thereof) on technology transfer effectiveness in Spanish a</w:t>
      </w:r>
      <w:r w:rsidR="002D0426" w:rsidRPr="00EF66BB">
        <w:rPr>
          <w:rFonts w:ascii="Times New Roman" w:hAnsi="Times New Roman" w:cs="Times New Roman"/>
        </w:rPr>
        <w:t>nd Portuguese universities was potentially a</w:t>
      </w:r>
      <w:r w:rsidRPr="00EF66BB">
        <w:rPr>
          <w:rFonts w:ascii="Times New Roman" w:hAnsi="Times New Roman" w:cs="Times New Roman"/>
        </w:rPr>
        <w:t xml:space="preserve"> consequence of incongruence between incentive structures and </w:t>
      </w:r>
      <w:r w:rsidR="00A33DC8">
        <w:rPr>
          <w:rFonts w:ascii="Times New Roman" w:hAnsi="Times New Roman" w:cs="Times New Roman"/>
        </w:rPr>
        <w:t>TTO</w:t>
      </w:r>
      <w:r w:rsidRPr="00EF66BB">
        <w:rPr>
          <w:rFonts w:ascii="Times New Roman" w:hAnsi="Times New Roman" w:cs="Times New Roman"/>
        </w:rPr>
        <w:t xml:space="preserve"> objectives. </w:t>
      </w:r>
    </w:p>
    <w:p w14:paraId="49C6BF57" w14:textId="77777777" w:rsidR="006852D0" w:rsidRPr="00EF66BB" w:rsidRDefault="006852D0" w:rsidP="00141231">
      <w:pPr>
        <w:spacing w:line="360" w:lineRule="auto"/>
        <w:rPr>
          <w:rFonts w:ascii="Times New Roman" w:hAnsi="Times New Roman" w:cs="Times New Roman"/>
        </w:rPr>
      </w:pPr>
    </w:p>
    <w:p w14:paraId="68A73715" w14:textId="7D2455CE" w:rsidR="006852D0" w:rsidRPr="00EF66BB" w:rsidRDefault="006852D0" w:rsidP="00141231">
      <w:pPr>
        <w:spacing w:line="360" w:lineRule="auto"/>
        <w:rPr>
          <w:rFonts w:ascii="Times New Roman" w:hAnsi="Times New Roman" w:cs="Times New Roman"/>
        </w:rPr>
      </w:pPr>
      <w:r w:rsidRPr="00EF66BB">
        <w:rPr>
          <w:rFonts w:ascii="Times New Roman" w:hAnsi="Times New Roman" w:cs="Times New Roman"/>
        </w:rPr>
        <w:t xml:space="preserve">The fact that </w:t>
      </w:r>
      <w:r w:rsidR="00E307C7">
        <w:rPr>
          <w:rFonts w:ascii="Times New Roman" w:hAnsi="Times New Roman" w:cs="Times New Roman"/>
        </w:rPr>
        <w:t xml:space="preserve">our model shows only partial </w:t>
      </w:r>
      <w:r w:rsidRPr="00EF66BB">
        <w:rPr>
          <w:rFonts w:ascii="Times New Roman" w:hAnsi="Times New Roman" w:cs="Times New Roman"/>
        </w:rPr>
        <w:t xml:space="preserve">mediation </w:t>
      </w:r>
      <w:r w:rsidR="00F05305">
        <w:rPr>
          <w:rFonts w:ascii="Times New Roman" w:hAnsi="Times New Roman" w:cs="Times New Roman"/>
        </w:rPr>
        <w:t>indicates</w:t>
      </w:r>
      <w:r w:rsidRPr="00EF66BB">
        <w:rPr>
          <w:rFonts w:ascii="Times New Roman" w:hAnsi="Times New Roman" w:cs="Times New Roman"/>
        </w:rPr>
        <w:t xml:space="preserve"> that the degree to which incentives are aligned with university strategic priorities does not fully account for variations in technology transfer effectiveness. One reason could be that engagement in technology transfer activity is also an individualised phenomenon </w:t>
      </w:r>
      <w:r w:rsidR="004339CF">
        <w:rPr>
          <w:rFonts w:ascii="Times New Roman" w:hAnsi="Times New Roman" w:cs="Times New Roman"/>
        </w:rPr>
        <w:fldChar w:fldCharType="begin" w:fldLock="1"/>
      </w:r>
      <w:r w:rsidR="004339CF">
        <w:rPr>
          <w:rFonts w:ascii="Times New Roman" w:hAnsi="Times New Roman" w:cs="Times New Roman"/>
        </w:rPr>
        <w:instrText>ADDIN CSL_CITATION {"citationItems":[{"id":"ITEM-1","itemData":{"DOI":"10.1016/j.respol.2011.09.002","ISBN":"00487333","ISSN":"00487333","PMID":"26053391","abstract":"This paper employs the three concepts of 'gold' (financial rewards), 'ribbon' (reputational/career rewards) and 'puzzle' (intrinsic satisfaction) to examine the extrinsic and intrinsic aspects of scientists' motivation for pursuing commercial activities. The study is based on 36 individual interviews and an on-line questionnaire survey of 735 scientists from five major UK research universities. It finds that there is a diversity of motivations for commercial engagement, and that many do so for reputational and intrinsic reasons and that financial rewards play a relatively small part. The paper draws on self-determination theory in social psychology to analyse the relationship between scientists' value orientations with regard to commercial engagement and their personal motivations. It finds that those with traditional beliefs about the separation of science from commerce are more likely to be extrinsically motivated, using commercialization as a means to obtain resources to support their quest for the 'ribbon'. In contrast, those identify closely with entrepreneurial norms are intrinsically motivated by the autonomy and 'puzzle-solving' involved in applied commercial research while also motivated by the 'gold'. The study highlights the primacy of scientists' self-motivation, and suggests that a fuller explanation of their commercial behaviour will need to consider a broader mix of motives to include the social and affective aspects of intrinsic motivation. In conclusion, the paper argues that policy to encourage commercial engagement should build on reputational and intrinsic rather than purely financial motivations. © 2011 Elsevier B.V. All rights reserved.","author":[{"dropping-particle":"","family":"Lam","given":"Alice","non-dropping-particle":"","parse-names":false,"suffix":""}],"container-title":"Research Policy","id":"ITEM-1","issue":"10","issued":{"date-parts":[["2011"]]},"page":"1354-1368","title":"What motivates academic scientists to engage in research commercialization: 'Gold', 'ribbon' or 'puzzle'?","type":"article-journal","volume":"40"},"uris":["http://www.mendeley.com/documents/?uuid=7ffd5fa0-3822-435f-8e79-8bf2dc7f9b34"]},{"id":"ITEM-2","itemData":{"DOI":"10.1007/s10961-010-9153-z","ISBN":"0892-9912","ISSN":"08929912","abstract":"The debate on the entrepreneurial university has raised questions about what motivates academic scientists to engage with industry. This paper provides evidence based on survey data for a large sample of UK investigators in the physical and engineering sciences. The results suggest that most academics engage with industry to further their research rather than to commercialize their knowledge. However, there are differences in terms of the channels of engagement. Patenting and spin-off company formation are motivated exclusively by commercialization whilst joint research, contract research and consulting are strongly informed by research-related motives. We conclude that policy should refrain from overly focusing on monetary incentives for industry engagement and consider a broader range of incentives for promoting interaction between academia and industry.","author":[{"dropping-particle":"","family":"D'Este","given":"Pablo","non-dropping-particle":"","parse-names":false,"suffix":""},{"dropping-particle":"","family":"Perkmann","given":"Markus","non-dropping-particle":"","parse-names":false,"suffix":""}],"container-title":"Journal of Technology Transfer","id":"ITEM-2","issue":"3","issued":{"date-parts":[["2011"]]},"page":"316-339","title":"Why do academics engage with industry? The entrepreneurial university and individual motivations","type":"article-journal","volume":"36"},"uris":["http://www.mendeley.com/documents/?uuid=47fcbd90-c6f5-4186-bfa4-f494688fac06"]},{"id":"ITEM-3","itemData":{"DOI":"10.1016/j.respol.2012.09.007","ISBN":"0048-7333","ISSN":"00487333","abstract":"A considerable body of work highlights the relevance of collaborative research, contract research, consulting and informal relationships for university-industry knowledge transfer. We present a systematic review of research on academic scientists' involvement in these activities to which we refer as 'academic engagement'. Apart from extracting findings that are generalisable across studies, we ask how academic engagement differs from commercialisation, defined as intellectual property creation and academic entrepreneurship. We identify the individual, organisational and institutional antecedents and consequences of academic engagement, and then compare these findings with the antecedents and consequences of commercialisation. Apart from being more widely practiced, academic engagement is distinct from commercialisation in that it is closely aligned with traditional academic research activities, and pursued by academics to access resources supporting their research agendas. We conclude by identifying future research needs, opportunities for methodological improvement and policy interventions. © 2012 Elsevier B.V.","author":[{"dropping-particle":"","family":"Perkmann","given":"Markus","non-dropping-particle":"","parse-names":false,"suffix":""},{"dropping-particle":"","family":"Tartari","given":"Valentina","non-dropping-particle":"","parse-names":false,"suffix":""},{"dropping-particle":"","family":"McKelvey","given":"Maureen","non-dropping-particle":"","parse-names":false,"suffix":""},{"dropping-particle":"","family":"Autio","given":"Erkko","non-dropping-particle":"","parse-names":false,"suffix":""},{"dropping-particle":"","family":"Broström","given":"Anders","non-dropping-particle":"","parse-names":false,"suffix":""},{"dropping-particle":"","family":"D'Este","given":"Pablo","non-dropping-particle":"","parse-names":false,"suffix":""},{"dropping-particle":"","family":"Fini","given":"Riccardo","non-dropping-particle":"","parse-names":false,"suffix":""},{"dropping-particle":"","family":"Geuna","given":"Aldo","non-dropping-particle":"","parse-names":false,"suffix":""},{"dropping-particle":"","family":"Grimaldi","given":"Rosa","non-dropping-particle":"","parse-names":false,"suffix":""},{"dropping-particle":"","family":"Hughes","given":"Alan","non-dropping-particle":"","parse-names":false,"suffix":""},{"dropping-particle":"","family":"Krabel","given":"Stefan","non-dropping-particle":"","parse-names":false,"suffix":""},{"dropping-particle":"","family":"Kitson","given":"Michael","non-dropping-particle":"","parse-names":false,"suffix":""},{"dropping-particle":"","family":"Llerena","given":"Patrick","non-dropping-particle":"","parse-names":false,"suffix":""},{"dropping-particle":"","family":"Lissoni","given":"Franceso","non-dropping-particle":"","parse-names":false,"suffix":""},{"dropping-particle":"","family":"Salter","given":"Ammon","non-dropping-particle":"","parse-names":false,"suffix":""},{"dropping-particle":"","family":"Sobrero","given":"Maurizio","non-dropping-particle":"","parse-names":false,"suffix":""}],"container-title":"Research Policy","id":"ITEM-3","issue":"2","issued":{"date-parts":[["2013"]]},"page":"423-442","publisher":"Elsevier B.V.","title":"Academic engagement and commercialisation: A review of the literature on university-industry relations","type":"article-journal","volume":"42"},"uris":["http://www.mendeley.com/documents/?uuid=f40c6ec3-7d7a-4995-902e-d99cab391c98"]}],"mendeley":{"formattedCitation":"(D’Este and Perkmann, 2011; Lam, 2011; Perkmann et al., 2013)","plainTextFormattedCitation":"(D’Este and Perkmann, 2011; Lam, 2011; Perkmann et al., 2013)","previouslyFormattedCitation":"(D’Este and Perkmann, 2011; Lam, 2011; Perkmann et al., 2013)"},"properties":{"noteIndex":0},"schema":"https://github.com/citation-style-language/schema/raw/master/csl-citation.json"}</w:instrText>
      </w:r>
      <w:r w:rsidR="004339CF">
        <w:rPr>
          <w:rFonts w:ascii="Times New Roman" w:hAnsi="Times New Roman" w:cs="Times New Roman"/>
        </w:rPr>
        <w:fldChar w:fldCharType="separate"/>
      </w:r>
      <w:r w:rsidR="004339CF" w:rsidRPr="004339CF">
        <w:rPr>
          <w:rFonts w:ascii="Times New Roman" w:hAnsi="Times New Roman" w:cs="Times New Roman"/>
          <w:noProof/>
        </w:rPr>
        <w:t xml:space="preserve">(D’Este and Perkmann, 2011; Lam, </w:t>
      </w:r>
      <w:r w:rsidR="004339CF" w:rsidRPr="004339CF">
        <w:rPr>
          <w:rFonts w:ascii="Times New Roman" w:hAnsi="Times New Roman" w:cs="Times New Roman"/>
          <w:noProof/>
        </w:rPr>
        <w:lastRenderedPageBreak/>
        <w:t>2011; Perkmann et al., 2013)</w:t>
      </w:r>
      <w:r w:rsidR="004339CF">
        <w:rPr>
          <w:rFonts w:ascii="Times New Roman" w:hAnsi="Times New Roman" w:cs="Times New Roman"/>
        </w:rPr>
        <w:fldChar w:fldCharType="end"/>
      </w:r>
      <w:r w:rsidRPr="00EF66BB">
        <w:rPr>
          <w:rFonts w:ascii="Times New Roman" w:hAnsi="Times New Roman" w:cs="Times New Roman"/>
        </w:rPr>
        <w:t xml:space="preserve">. Therefore, while </w:t>
      </w:r>
      <w:r w:rsidR="00E307C7">
        <w:rPr>
          <w:rFonts w:ascii="Times New Roman" w:hAnsi="Times New Roman" w:cs="Times New Roman"/>
        </w:rPr>
        <w:t>a</w:t>
      </w:r>
      <w:r w:rsidRPr="00EF66BB">
        <w:rPr>
          <w:rFonts w:ascii="Times New Roman" w:hAnsi="Times New Roman" w:cs="Times New Roman"/>
        </w:rPr>
        <w:t>lignment between organisational strategic priorities and incentive systems i</w:t>
      </w:r>
      <w:r w:rsidR="00F05305">
        <w:rPr>
          <w:rFonts w:ascii="Times New Roman" w:hAnsi="Times New Roman" w:cs="Times New Roman"/>
        </w:rPr>
        <w:t>nfluence</w:t>
      </w:r>
      <w:r w:rsidRPr="00EF66BB">
        <w:rPr>
          <w:rFonts w:ascii="Times New Roman" w:hAnsi="Times New Roman" w:cs="Times New Roman"/>
        </w:rPr>
        <w:t xml:space="preserve"> the level of</w:t>
      </w:r>
      <w:r w:rsidR="00F05305">
        <w:rPr>
          <w:rFonts w:ascii="Times New Roman" w:hAnsi="Times New Roman" w:cs="Times New Roman"/>
        </w:rPr>
        <w:t xml:space="preserve"> </w:t>
      </w:r>
      <w:r w:rsidR="005F47D8">
        <w:rPr>
          <w:rFonts w:ascii="Times New Roman" w:hAnsi="Times New Roman" w:cs="Times New Roman"/>
        </w:rPr>
        <w:t xml:space="preserve">technology transfer </w:t>
      </w:r>
      <w:r w:rsidRPr="00EF66BB">
        <w:rPr>
          <w:rFonts w:ascii="Times New Roman" w:hAnsi="Times New Roman" w:cs="Times New Roman"/>
        </w:rPr>
        <w:t xml:space="preserve">activity, the overall impact </w:t>
      </w:r>
      <w:r w:rsidR="00F05305">
        <w:rPr>
          <w:rFonts w:ascii="Times New Roman" w:hAnsi="Times New Roman" w:cs="Times New Roman"/>
        </w:rPr>
        <w:t>depends on the</w:t>
      </w:r>
      <w:r w:rsidR="004832EA">
        <w:rPr>
          <w:rFonts w:ascii="Times New Roman" w:hAnsi="Times New Roman" w:cs="Times New Roman"/>
        </w:rPr>
        <w:t xml:space="preserve"> nature</w:t>
      </w:r>
      <w:r w:rsidR="00F05305">
        <w:rPr>
          <w:rFonts w:ascii="Times New Roman" w:hAnsi="Times New Roman" w:cs="Times New Roman"/>
        </w:rPr>
        <w:t xml:space="preserve"> of </w:t>
      </w:r>
      <w:r w:rsidRPr="00EF66BB">
        <w:rPr>
          <w:rFonts w:ascii="Times New Roman" w:hAnsi="Times New Roman" w:cs="Times New Roman"/>
        </w:rPr>
        <w:t xml:space="preserve">organisational support </w:t>
      </w:r>
      <w:r w:rsidR="00F05305">
        <w:rPr>
          <w:rFonts w:ascii="Times New Roman" w:hAnsi="Times New Roman" w:cs="Times New Roman"/>
        </w:rPr>
        <w:t xml:space="preserve">designed </w:t>
      </w:r>
      <w:r w:rsidRPr="00EF66BB">
        <w:rPr>
          <w:rFonts w:ascii="Times New Roman" w:hAnsi="Times New Roman" w:cs="Times New Roman"/>
        </w:rPr>
        <w:t>to</w:t>
      </w:r>
      <w:r w:rsidR="00F05305">
        <w:rPr>
          <w:rFonts w:ascii="Times New Roman" w:hAnsi="Times New Roman" w:cs="Times New Roman"/>
        </w:rPr>
        <w:t xml:space="preserve"> influence</w:t>
      </w:r>
      <w:r w:rsidRPr="00EF66BB">
        <w:rPr>
          <w:rFonts w:ascii="Times New Roman" w:hAnsi="Times New Roman" w:cs="Times New Roman"/>
        </w:rPr>
        <w:t xml:space="preserve"> individual-level motivational factors. Broadly, our result</w:t>
      </w:r>
      <w:r w:rsidR="009E7EDB" w:rsidRPr="00EF66BB">
        <w:rPr>
          <w:rFonts w:ascii="Times New Roman" w:hAnsi="Times New Roman" w:cs="Times New Roman"/>
        </w:rPr>
        <w:t>s</w:t>
      </w:r>
      <w:r w:rsidRPr="00EF66BB">
        <w:rPr>
          <w:rFonts w:ascii="Times New Roman" w:hAnsi="Times New Roman" w:cs="Times New Roman"/>
        </w:rPr>
        <w:t xml:space="preserve"> indicate that incentives have a greater impact on the effectiveness of technology transfer when they are aligned to the </w:t>
      </w:r>
      <w:r w:rsidR="004832EA">
        <w:rPr>
          <w:rFonts w:ascii="Times New Roman" w:hAnsi="Times New Roman" w:cs="Times New Roman"/>
        </w:rPr>
        <w:t>organi</w:t>
      </w:r>
      <w:r w:rsidR="00CE1EC1">
        <w:rPr>
          <w:rFonts w:ascii="Times New Roman" w:hAnsi="Times New Roman" w:cs="Times New Roman"/>
        </w:rPr>
        <w:t>s</w:t>
      </w:r>
      <w:r w:rsidR="004832EA">
        <w:rPr>
          <w:rFonts w:ascii="Times New Roman" w:hAnsi="Times New Roman" w:cs="Times New Roman"/>
        </w:rPr>
        <w:t xml:space="preserve">ation’s </w:t>
      </w:r>
      <w:r w:rsidRPr="00EF66BB">
        <w:rPr>
          <w:rFonts w:ascii="Times New Roman" w:hAnsi="Times New Roman" w:cs="Times New Roman"/>
        </w:rPr>
        <w:t>strategic priorities</w:t>
      </w:r>
      <w:r w:rsidR="009E7EDB" w:rsidRPr="00EF66BB">
        <w:rPr>
          <w:rFonts w:ascii="Times New Roman" w:hAnsi="Times New Roman" w:cs="Times New Roman"/>
        </w:rPr>
        <w:t xml:space="preserve">. This is line with </w:t>
      </w:r>
      <w:r w:rsidRPr="00EF66BB">
        <w:rPr>
          <w:rFonts w:ascii="Times New Roman" w:hAnsi="Times New Roman" w:cs="Times New Roman"/>
        </w:rPr>
        <w:t>previous work that indicate</w:t>
      </w:r>
      <w:r w:rsidR="004832EA">
        <w:rPr>
          <w:rFonts w:ascii="Times New Roman" w:hAnsi="Times New Roman" w:cs="Times New Roman"/>
        </w:rPr>
        <w:t>s</w:t>
      </w:r>
      <w:r w:rsidRPr="00EF66BB">
        <w:rPr>
          <w:rFonts w:ascii="Times New Roman" w:hAnsi="Times New Roman" w:cs="Times New Roman"/>
        </w:rPr>
        <w:t xml:space="preserve"> a one-to-one relationship between incentives and technology transfer effectiveness </w:t>
      </w:r>
      <w:r w:rsidR="004339CF">
        <w:rPr>
          <w:rFonts w:ascii="Times New Roman" w:hAnsi="Times New Roman" w:cs="Times New Roman"/>
        </w:rPr>
        <w:fldChar w:fldCharType="begin" w:fldLock="1"/>
      </w:r>
      <w:r w:rsidR="00055EE7">
        <w:rPr>
          <w:rFonts w:ascii="Times New Roman" w:hAnsi="Times New Roman" w:cs="Times New Roman"/>
        </w:rPr>
        <w:instrText>ADDIN CSL_CITATION {"citationItems":[{"id":"ITEM-1","itemData":{"DOI":"10.1016/j.respol.2010.05.016","ISBN":"00487333","ISSN":"00487333","PMID":"53969080","abstract":"This paper investigates the performance of universities in the transfer of technology using a unique university-level dataset for Spain. The results suggest that universities with established policies and procedures for the management of technology transfer perform better. Universities with large and experienced technology transfer offices (TTOs) generate higher volumes of contract research, but the TTO characteristics appear to matter less for university performance in terms of licensing and creation of spin-offs. Furthermore, universities with a science park perform better than those without, which suggests that the agglomeration of knowledge close to universities has a positive effect on universities' technology transfer performance. ?? 2010 Elsevier B.V. All rights reserved.","author":[{"dropping-particle":"","family":"Caldera","given":"Aida","non-dropping-particle":"","parse-names":false,"suffix":""},{"dropping-particle":"","family":"Debande","given":"Olivier","non-dropping-particle":"","parse-names":false,"suffix":""}],"container-title":"Research Policy","id":"ITEM-1","issue":"9","issued":{"date-parts":[["2010"]]},"page":"1160-1173","publisher":"Elsevier B.V.","title":"Performance of Spanish universities in technology transfer: An empirical analysis","type":"article-journal","volume":"39"},"uris":["http://www.mendeley.com/documents/?uuid=d43816cf-2ca3-4387-aef7-64719dd222a6"]},{"id":"ITEM-2","itemData":{"DOI":"10.1086/595763","ISBN":"0022-2186","ISSN":"0022-2186","PMID":"2889","abstract":"We study the impact of private ownership, incentive pay, and local development objectives on university licensing performance. We develop and test a simple contracting model of technology-licensing offices using new survey information together with panel data on U.S. universities for 1995–99. We find that private universities are much more likely to adopt incentive pay than public ones but that ownership does not affect licensing performance conditional on the use of incentive pay. Adopting incentive pay is associated with about 30–40 percent more income per license. Universities with strong local development objectives generate about 30 percent less income per license but are more likely to license to local (in-state) start-up companies. In addition, we show that government constraints on university licensing activity are costly in terms of forgone license income and the creation of start-up companies. These results are robust to controls for observed and unobserved heterogeneity. 1.","author":[{"dropping-particle":"","family":"Belenzon","given":"Sharon","non-dropping-particle":"","parse-names":false,"suffix":""},{"dropping-particle":"","family":"Schankerman","given":"Mark","non-dropping-particle":"","parse-names":false,"suffix":""}],"container-title":"Journal of Law and Economics","id":"ITEM-2","issue":"52","issued":{"date-parts":[["2009"]]},"page":"111-144","title":"University Knowledge Transfer: Private Ownership, Incentives, and Local Development Objectives","type":"article-journal","volume":"52"},"uris":["http://www.mendeley.com/documents/?uuid=7345fea5-4d57-47e5-8f88-6fa68b47799f"]}],"mendeley":{"formattedCitation":"(Belenzon and Schankerman, 2009; Caldera and Debande, 2010a)","plainTextFormattedCitation":"(Belenzon and Schankerman, 2009; Caldera and Debande, 2010a)","previouslyFormattedCitation":"(Belenzon and Schankerman, 2009; Caldera and Debande, 2010a)"},"properties":{"noteIndex":0},"schema":"https://github.com/citation-style-language/schema/raw/master/csl-citation.json"}</w:instrText>
      </w:r>
      <w:r w:rsidR="004339CF">
        <w:rPr>
          <w:rFonts w:ascii="Times New Roman" w:hAnsi="Times New Roman" w:cs="Times New Roman"/>
        </w:rPr>
        <w:fldChar w:fldCharType="separate"/>
      </w:r>
      <w:r w:rsidR="00055EE7" w:rsidRPr="00055EE7">
        <w:rPr>
          <w:rFonts w:ascii="Times New Roman" w:hAnsi="Times New Roman" w:cs="Times New Roman"/>
          <w:noProof/>
        </w:rPr>
        <w:t>(Belenzon and Schankerman, 2009; Caldera and Debande, 2010a)</w:t>
      </w:r>
      <w:r w:rsidR="004339CF">
        <w:rPr>
          <w:rFonts w:ascii="Times New Roman" w:hAnsi="Times New Roman" w:cs="Times New Roman"/>
        </w:rPr>
        <w:fldChar w:fldCharType="end"/>
      </w:r>
      <w:r w:rsidR="000445A8" w:rsidRPr="00EF66BB">
        <w:rPr>
          <w:rFonts w:ascii="Times New Roman" w:hAnsi="Times New Roman" w:cs="Times New Roman"/>
        </w:rPr>
        <w:t xml:space="preserve">. </w:t>
      </w:r>
      <w:r w:rsidRPr="00EF66BB">
        <w:rPr>
          <w:rFonts w:ascii="Times New Roman" w:hAnsi="Times New Roman" w:cs="Times New Roman"/>
        </w:rPr>
        <w:t xml:space="preserve">On a practical level, </w:t>
      </w:r>
      <w:r w:rsidR="00F8702A">
        <w:rPr>
          <w:rFonts w:ascii="Times New Roman" w:hAnsi="Times New Roman" w:cs="Times New Roman"/>
        </w:rPr>
        <w:t>o</w:t>
      </w:r>
      <w:r w:rsidRPr="00EF66BB">
        <w:rPr>
          <w:rFonts w:ascii="Times New Roman" w:hAnsi="Times New Roman" w:cs="Times New Roman"/>
        </w:rPr>
        <w:t>ur result</w:t>
      </w:r>
      <w:r w:rsidR="00EC71AC" w:rsidRPr="00EF66BB">
        <w:rPr>
          <w:rFonts w:ascii="Times New Roman" w:hAnsi="Times New Roman" w:cs="Times New Roman"/>
        </w:rPr>
        <w:t>s</w:t>
      </w:r>
      <w:r w:rsidRPr="00EF66BB">
        <w:rPr>
          <w:rFonts w:ascii="Times New Roman" w:hAnsi="Times New Roman" w:cs="Times New Roman"/>
        </w:rPr>
        <w:t xml:space="preserve"> </w:t>
      </w:r>
      <w:r w:rsidR="004832EA">
        <w:rPr>
          <w:rFonts w:ascii="Times New Roman" w:hAnsi="Times New Roman" w:cs="Times New Roman"/>
        </w:rPr>
        <w:t>related to</w:t>
      </w:r>
      <w:r w:rsidRPr="00EF66BB">
        <w:rPr>
          <w:rFonts w:ascii="Times New Roman" w:hAnsi="Times New Roman" w:cs="Times New Roman"/>
        </w:rPr>
        <w:t xml:space="preserve"> H2 suggest that the provision of incentives for staff </w:t>
      </w:r>
      <w:r w:rsidR="00EC71AC" w:rsidRPr="00EF66BB">
        <w:rPr>
          <w:rFonts w:ascii="Times New Roman" w:hAnsi="Times New Roman" w:cs="Times New Roman"/>
        </w:rPr>
        <w:t xml:space="preserve">are not </w:t>
      </w:r>
      <w:r w:rsidRPr="00EF66BB">
        <w:rPr>
          <w:rFonts w:ascii="Times New Roman" w:hAnsi="Times New Roman" w:cs="Times New Roman"/>
        </w:rPr>
        <w:t>sufficient to develop greater levels of technology transfer effectiveness as pre</w:t>
      </w:r>
      <w:r w:rsidR="00881526" w:rsidRPr="00EF66BB">
        <w:rPr>
          <w:rFonts w:ascii="Times New Roman" w:hAnsi="Times New Roman" w:cs="Times New Roman"/>
        </w:rPr>
        <w:t>vious studies examin</w:t>
      </w:r>
      <w:r w:rsidR="004832EA">
        <w:rPr>
          <w:rFonts w:ascii="Times New Roman" w:hAnsi="Times New Roman" w:cs="Times New Roman"/>
        </w:rPr>
        <w:t>ing</w:t>
      </w:r>
      <w:r w:rsidRPr="00EF66BB">
        <w:rPr>
          <w:rFonts w:ascii="Times New Roman" w:hAnsi="Times New Roman" w:cs="Times New Roman"/>
        </w:rPr>
        <w:t xml:space="preserve"> this relationship have</w:t>
      </w:r>
      <w:r w:rsidR="00EC71AC" w:rsidRPr="00EF66BB">
        <w:rPr>
          <w:rFonts w:ascii="Times New Roman" w:hAnsi="Times New Roman" w:cs="Times New Roman"/>
        </w:rPr>
        <w:t xml:space="preserve"> indicated </w:t>
      </w:r>
      <w:r w:rsidR="00055EE7">
        <w:rPr>
          <w:rFonts w:ascii="Times New Roman" w:hAnsi="Times New Roman" w:cs="Times New Roman"/>
        </w:rPr>
        <w:fldChar w:fldCharType="begin" w:fldLock="1"/>
      </w:r>
      <w:r w:rsidR="00055EE7">
        <w:rPr>
          <w:rFonts w:ascii="Times New Roman" w:hAnsi="Times New Roman" w:cs="Times New Roman"/>
        </w:rPr>
        <w:instrText>ADDIN CSL_CITATION {"citationItems":[{"id":"ITEM-1","itemData":{"DOI":"10.1023/B:JOTT.0000034127.01889.86","ISBN":"0892-9912","ISSN":"0892-9912","PMID":"2873","abstract":"There has been a paucity of research to date that has explored whether incentive systems—in the form of monetary payments to inventors, their department or institution, or to university technology transfer office (UTTO) personnel—affect entrepreneurial activities at U.S. universities. To shed light on whether financial incentives to scientists, their departments, and UTTO personnel effect entrepreneurial activity, we used both qualitative data (structured interviews with 128 UTTO directors) and quantitative data from surveys and databases available on the web. Our results show surprisingly and opposite to our theoretical predictions that incentives to scientists and to their departments are negatively related to entrepreneurial activity. In addition and consistent with theory-based predictions, pay to UTTO personnel is positively related to entrepreneurial activity. We conclude with a discussion that offers some implications to research, practice, and theory in the field of technology transfer.","author":[{"dropping-particle":"","family":"Markman","given":"Gideon D.","non-dropping-particle":"","parse-names":false,"suffix":""},{"dropping-particle":"","family":"Gianiodis","given":"Peter T.","non-dropping-particle":"","parse-names":false,"suffix":""},{"dropping-particle":"","family":"Phan","given":"Phillip H.","non-dropping-particle":"","parse-names":false,"suffix":""},{"dropping-particle":"","family":"Balkin","given":"David B.","non-dropping-particle":"","parse-names":false,"suffix":""}],"container-title":"The Journal of Technology Transfer","id":"ITEM-1","issue":"3/4","issued":{"date-parts":[["2004"]]},"page":"353-364","title":"Entrepreneurship from the Ivory Tower: Do Incentive Systems Matter?","type":"article-journal","volume":"29"},"uris":["http://www.mendeley.com/documents/?uuid=c689f362-be7c-4b60-98da-458f4226733a"]},{"id":"ITEM-2","itemData":{"DOI":"10.1016/j.respol.2016.06.006","ISBN":"00487333 (ISSN)","ISSN":"00487333","abstract":"Portuguese and Spanish universities have adopted well-defined royalty sharing arrangements over the last fifteen years. We investigate whether such royalty sharing arrangements have been effective in stimulating inventors’ efforts and in ultimately improving university outcomes. We base our empirical analysis on university-level data and two new self-collected surveys for both inventors and Technology Transfer Offices (TTOs). Evidence from the inventors’ survey indicates that one third of respondents are incentivised by current royalty sharing arrangements, one third could be incentivised by higher royalty shares, and the remaining third is totally insensitive to royalty sharing. Plain regressions on university level datasets suggest that the incentive effects documented by the inventors’ survey fail to translate into increased patenting or licensing income. It would seem that inventor royalty shares are not as influential as they could be, due to the poor commercial prospects of university inventions. Among other possible reasons, these poor prospects appear to reflect the fact that inventors are unable to produce potentially licensable inventions, or that eventually TTOs may not be focussing enough on commercialising their inventions.","author":[{"dropping-particle":"","family":"Arqué-Castells","given":"Pere","non-dropping-particle":"","parse-names":false,"suffix":""},{"dropping-particle":"","family":"Cartaxo","given":"Rui M.","non-dropping-particle":"","parse-names":false,"suffix":""},{"dropping-particle":"","family":"García-Quevedo","given":"Jose","non-dropping-particle":"","parse-names":false,"suffix":""},{"dropping-particle":"","family":"Godinho","given":"Manuel Mira","non-dropping-particle":"","parse-names":false,"suffix":""}],"container-title":"Research Policy","id":"ITEM-2","issue":"9","issued":{"date-parts":[["2016"]]},"page":"1858-1872","publisher":"Elsevier B.V.","title":"Royalty sharing, effort and invention in universities: Evidence from Portugal and Spain","type":"article-journal","volume":"45"},"uris":["http://www.mendeley.com/documents/?uuid=9dc55724-30e7-4819-98fd-32f02e1caf8d"]}],"mendeley":{"formattedCitation":"(Arqué-Castells et al., 2016; Markman et al., 2004)","plainTextFormattedCitation":"(Arqué-Castells et al., 2016; Markman et al., 2004)","previouslyFormattedCitation":"(Arqué-Castells et al., 2016; Markman et al., 2004)"},"properties":{"noteIndex":0},"schema":"https://github.com/citation-style-language/schema/raw/master/csl-citation.json"}</w:instrText>
      </w:r>
      <w:r w:rsidR="00055EE7">
        <w:rPr>
          <w:rFonts w:ascii="Times New Roman" w:hAnsi="Times New Roman" w:cs="Times New Roman"/>
        </w:rPr>
        <w:fldChar w:fldCharType="separate"/>
      </w:r>
      <w:r w:rsidR="00055EE7" w:rsidRPr="00055EE7">
        <w:rPr>
          <w:rFonts w:ascii="Times New Roman" w:hAnsi="Times New Roman" w:cs="Times New Roman"/>
          <w:noProof/>
        </w:rPr>
        <w:t>(Arqué-Castells et al., 2016; Markman et al., 2004)</w:t>
      </w:r>
      <w:r w:rsidR="00055EE7">
        <w:rPr>
          <w:rFonts w:ascii="Times New Roman" w:hAnsi="Times New Roman" w:cs="Times New Roman"/>
        </w:rPr>
        <w:fldChar w:fldCharType="end"/>
      </w:r>
      <w:r w:rsidRPr="00EF66BB">
        <w:rPr>
          <w:rFonts w:ascii="Times New Roman" w:hAnsi="Times New Roman" w:cs="Times New Roman"/>
        </w:rPr>
        <w:t>. Rather, we argue that to enhance organisational effectiveness in technology transfer, it is critical that incentive structures are aligned with the</w:t>
      </w:r>
      <w:r w:rsidR="004832EA">
        <w:rPr>
          <w:rFonts w:ascii="Times New Roman" w:hAnsi="Times New Roman" w:cs="Times New Roman"/>
        </w:rPr>
        <w:t xml:space="preserve"> </w:t>
      </w:r>
      <w:r w:rsidR="00A66AB9">
        <w:rPr>
          <w:rFonts w:ascii="Times New Roman" w:hAnsi="Times New Roman" w:cs="Times New Roman"/>
        </w:rPr>
        <w:t>u</w:t>
      </w:r>
      <w:r w:rsidR="004832EA">
        <w:rPr>
          <w:rFonts w:ascii="Times New Roman" w:hAnsi="Times New Roman" w:cs="Times New Roman"/>
        </w:rPr>
        <w:t>niversity’s</w:t>
      </w:r>
      <w:r w:rsidRPr="00EF66BB">
        <w:rPr>
          <w:rFonts w:ascii="Times New Roman" w:hAnsi="Times New Roman" w:cs="Times New Roman"/>
        </w:rPr>
        <w:t xml:space="preserve"> strategic priorities to yield greater technology transfer effectiveness. </w:t>
      </w:r>
    </w:p>
    <w:p w14:paraId="71F90F98" w14:textId="77777777" w:rsidR="006852D0" w:rsidRPr="00EF66BB" w:rsidRDefault="006852D0" w:rsidP="00141231">
      <w:pPr>
        <w:spacing w:line="360" w:lineRule="auto"/>
        <w:rPr>
          <w:rFonts w:ascii="Times New Roman" w:hAnsi="Times New Roman" w:cs="Times New Roman"/>
        </w:rPr>
      </w:pPr>
    </w:p>
    <w:p w14:paraId="7AD83ACB" w14:textId="295272FF" w:rsidR="006852D0" w:rsidRPr="00EF66BB" w:rsidRDefault="006852D0" w:rsidP="00141231">
      <w:pPr>
        <w:spacing w:line="360" w:lineRule="auto"/>
        <w:rPr>
          <w:rFonts w:ascii="Times New Roman" w:hAnsi="Times New Roman" w:cs="Times New Roman"/>
        </w:rPr>
      </w:pPr>
      <w:r w:rsidRPr="00EF66BB">
        <w:rPr>
          <w:rFonts w:ascii="Times New Roman" w:hAnsi="Times New Roman" w:cs="Times New Roman"/>
        </w:rPr>
        <w:t>In p</w:t>
      </w:r>
      <w:r w:rsidR="00E307C7">
        <w:rPr>
          <w:rFonts w:ascii="Times New Roman" w:hAnsi="Times New Roman" w:cs="Times New Roman"/>
        </w:rPr>
        <w:t>r</w:t>
      </w:r>
      <w:r w:rsidRPr="00EF66BB">
        <w:rPr>
          <w:rFonts w:ascii="Times New Roman" w:hAnsi="Times New Roman" w:cs="Times New Roman"/>
        </w:rPr>
        <w:t>o</w:t>
      </w:r>
      <w:r w:rsidR="00E307C7">
        <w:rPr>
          <w:rFonts w:ascii="Times New Roman" w:hAnsi="Times New Roman" w:cs="Times New Roman"/>
        </w:rPr>
        <w:t>po</w:t>
      </w:r>
      <w:r w:rsidRPr="00EF66BB">
        <w:rPr>
          <w:rFonts w:ascii="Times New Roman" w:hAnsi="Times New Roman" w:cs="Times New Roman"/>
        </w:rPr>
        <w:t>sing H3a and H3b, we suggest</w:t>
      </w:r>
      <w:r w:rsidR="00E307C7">
        <w:rPr>
          <w:rFonts w:ascii="Times New Roman" w:hAnsi="Times New Roman" w:cs="Times New Roman"/>
        </w:rPr>
        <w:t>ed</w:t>
      </w:r>
      <w:r w:rsidRPr="00EF66BB">
        <w:rPr>
          <w:rFonts w:ascii="Times New Roman" w:hAnsi="Times New Roman" w:cs="Times New Roman"/>
        </w:rPr>
        <w:t xml:space="preserve"> that the strategic choices made by</w:t>
      </w:r>
      <w:r w:rsidR="004832EA">
        <w:rPr>
          <w:rFonts w:ascii="Times New Roman" w:hAnsi="Times New Roman" w:cs="Times New Roman"/>
        </w:rPr>
        <w:t xml:space="preserve"> senior</w:t>
      </w:r>
      <w:r w:rsidRPr="00EF66BB">
        <w:rPr>
          <w:rFonts w:ascii="Times New Roman" w:hAnsi="Times New Roman" w:cs="Times New Roman"/>
        </w:rPr>
        <w:t xml:space="preserve"> university manage</w:t>
      </w:r>
      <w:r w:rsidR="00E307C7">
        <w:rPr>
          <w:rFonts w:ascii="Times New Roman" w:hAnsi="Times New Roman" w:cs="Times New Roman"/>
        </w:rPr>
        <w:t>rs</w:t>
      </w:r>
      <w:r w:rsidRPr="00EF66BB">
        <w:rPr>
          <w:rFonts w:ascii="Times New Roman" w:hAnsi="Times New Roman" w:cs="Times New Roman"/>
        </w:rPr>
        <w:t xml:space="preserve"> impact the relationship between TTO support and technology transfer effectiveness</w:t>
      </w:r>
      <w:r w:rsidR="00E307C7">
        <w:rPr>
          <w:rFonts w:ascii="Times New Roman" w:hAnsi="Times New Roman" w:cs="Times New Roman"/>
        </w:rPr>
        <w:t>.</w:t>
      </w:r>
      <w:r w:rsidRPr="00EF66BB">
        <w:rPr>
          <w:rFonts w:ascii="Times New Roman" w:hAnsi="Times New Roman" w:cs="Times New Roman"/>
        </w:rPr>
        <w:t xml:space="preserve"> </w:t>
      </w:r>
      <w:r w:rsidR="00E307C7">
        <w:rPr>
          <w:rFonts w:ascii="Times New Roman" w:hAnsi="Times New Roman" w:cs="Times New Roman"/>
        </w:rPr>
        <w:t>Although</w:t>
      </w:r>
      <w:r w:rsidRPr="00EF66BB">
        <w:rPr>
          <w:rFonts w:ascii="Times New Roman" w:hAnsi="Times New Roman" w:cs="Times New Roman"/>
        </w:rPr>
        <w:t xml:space="preserve"> the impact of managerial strategic choices in determining technology transfer effectiveness is accentuated by the degree to which these strategic choices are operationalised. Simply, it is not enough for strategic choices to </w:t>
      </w:r>
      <w:r w:rsidR="004832EA">
        <w:rPr>
          <w:rFonts w:ascii="Times New Roman" w:hAnsi="Times New Roman" w:cs="Times New Roman"/>
        </w:rPr>
        <w:t>pr</w:t>
      </w:r>
      <w:r w:rsidRPr="00EF66BB">
        <w:rPr>
          <w:rFonts w:ascii="Times New Roman" w:hAnsi="Times New Roman" w:cs="Times New Roman"/>
        </w:rPr>
        <w:t xml:space="preserve">ioritise technology transfer, they must be implemented at department level. </w:t>
      </w:r>
      <w:bookmarkStart w:id="0" w:name="_Hlk530057493"/>
      <w:r w:rsidRPr="00EF66BB">
        <w:rPr>
          <w:rFonts w:ascii="Times New Roman" w:hAnsi="Times New Roman" w:cs="Times New Roman"/>
        </w:rPr>
        <w:t>This argument is supported by recent research that highlight</w:t>
      </w:r>
      <w:r w:rsidR="004832EA">
        <w:rPr>
          <w:rFonts w:ascii="Times New Roman" w:hAnsi="Times New Roman" w:cs="Times New Roman"/>
        </w:rPr>
        <w:t>s</w:t>
      </w:r>
      <w:r w:rsidRPr="00EF66BB">
        <w:rPr>
          <w:rFonts w:ascii="Times New Roman" w:hAnsi="Times New Roman" w:cs="Times New Roman"/>
        </w:rPr>
        <w:t xml:space="preserve"> the limitations of centralised decision making without wider departmental considerations in the context of university strategy </w:t>
      </w:r>
      <w:r w:rsidR="00055EE7">
        <w:rPr>
          <w:rFonts w:ascii="Times New Roman" w:hAnsi="Times New Roman" w:cs="Times New Roman"/>
        </w:rPr>
        <w:fldChar w:fldCharType="begin" w:fldLock="1"/>
      </w:r>
      <w:r w:rsidR="00055EE7">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century","type":"article-journal","volume":"39"},"uris":["http://www.mendeley.com/documents/?uuid=24152560-a926-4d23-9fe1-dc68becea4bb"]},{"id":"ITEM-2","itemData":{"DOI":"10.1080/03075070701685114","ISBN":"0307-5079","ISSN":"03075079","PMID":"27342569","abstract":"This article is a review of the literature concerned with leadership effectiveness in higher education at departmental level. The literature derives from publications from three countries: the UK, the USA and Australia. Surprisingly little systematic research has been conducted on the question of which forms of leadership are associated with departmental effectiveness. The analysis of the studies selected resulted in the identification of 13 forms of leader behaviour that are associated with departmental effectiveness. The findings are considered in relation to the notion of competency frameworks and, in the conclusion, their general implications are explored in relation to the notion of substitutes for leadership.","author":[{"dropping-particle":"","family":"Bryman","given":"Alan","non-dropping-particle":"","parse-names":false,"suffix":""}],"container-title":"Studies in Higher Education","id":"ITEM-2","issue":"6","issued":{"date-parts":[["2007"]]},"page":"693-710","title":"Effective leadership in higher education: A literature review","type":"article-journal","volume":"32"},"uris":["http://www.mendeley.com/documents/?uuid=67962623-f4f7-4dca-8060-74b92e8090f3"]},{"id":"ITEM-3","itemData":{"DOI":"10.1080/1360080X.2017.1354754","ISSN":"14699508","abstract":"This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Management","id":"ITEM-3","issue":"5","issued":{"date-parts":[["2017"]]},"page":"540-558","publisher":"Routledge","title":"Management and leadership in UK universities: exploring the possibilities of change","type":"article-journal","volume":"39"},"uris":["http://www.mendeley.com/documents/?uuid=53ffff0f-fb1a-477d-aae5-a1036f8cdc58"]}],"mendeley":{"formattedCitation":"(Bryman, 2007; Burnes et al., 2014; Waring, 2017)","plainTextFormattedCitation":"(Bryman, 2007; Burnes et al., 2014; Waring, 2017)","previouslyFormattedCitation":"(Bryman, 2007; Burnes et al., 2014; Waring, 2017)"},"properties":{"noteIndex":0},"schema":"https://github.com/citation-style-language/schema/raw/master/csl-citation.json"}</w:instrText>
      </w:r>
      <w:r w:rsidR="00055EE7">
        <w:rPr>
          <w:rFonts w:ascii="Times New Roman" w:hAnsi="Times New Roman" w:cs="Times New Roman"/>
        </w:rPr>
        <w:fldChar w:fldCharType="separate"/>
      </w:r>
      <w:r w:rsidR="00055EE7" w:rsidRPr="00055EE7">
        <w:rPr>
          <w:rFonts w:ascii="Times New Roman" w:hAnsi="Times New Roman" w:cs="Times New Roman"/>
          <w:noProof/>
        </w:rPr>
        <w:t>(Bryman, 2007; Burnes et al., 2014; Waring, 2017)</w:t>
      </w:r>
      <w:r w:rsidR="00055EE7">
        <w:rPr>
          <w:rFonts w:ascii="Times New Roman" w:hAnsi="Times New Roman" w:cs="Times New Roman"/>
        </w:rPr>
        <w:fldChar w:fldCharType="end"/>
      </w:r>
      <w:r w:rsidR="00055EE7">
        <w:rPr>
          <w:rFonts w:ascii="Times New Roman" w:hAnsi="Times New Roman" w:cs="Times New Roman"/>
        </w:rPr>
        <w:t xml:space="preserve">. </w:t>
      </w:r>
      <w:r w:rsidRPr="00EF66BB">
        <w:rPr>
          <w:rFonts w:ascii="Times New Roman" w:hAnsi="Times New Roman" w:cs="Times New Roman"/>
        </w:rPr>
        <w:t xml:space="preserve">In finding support for H3a, we show that the alignment between university strategic choices and </w:t>
      </w:r>
      <w:r w:rsidR="004832EA">
        <w:rPr>
          <w:rFonts w:ascii="Times New Roman" w:hAnsi="Times New Roman" w:cs="Times New Roman"/>
        </w:rPr>
        <w:t xml:space="preserve">the </w:t>
      </w:r>
      <w:r w:rsidRPr="00EF66BB">
        <w:rPr>
          <w:rFonts w:ascii="Times New Roman" w:hAnsi="Times New Roman" w:cs="Times New Roman"/>
        </w:rPr>
        <w:t xml:space="preserve">scale of TTO support </w:t>
      </w:r>
      <w:r w:rsidR="004832EA">
        <w:rPr>
          <w:rFonts w:ascii="Times New Roman" w:hAnsi="Times New Roman" w:cs="Times New Roman"/>
        </w:rPr>
        <w:t>influences</w:t>
      </w:r>
      <w:r w:rsidRPr="00EF66BB">
        <w:rPr>
          <w:rFonts w:ascii="Times New Roman" w:hAnsi="Times New Roman" w:cs="Times New Roman"/>
        </w:rPr>
        <w:t xml:space="preserve"> the effectiveness of technology transfer activity</w:t>
      </w:r>
      <w:r w:rsidR="004832EA">
        <w:rPr>
          <w:rFonts w:ascii="Times New Roman" w:hAnsi="Times New Roman" w:cs="Times New Roman"/>
        </w:rPr>
        <w:t xml:space="preserve">. However, </w:t>
      </w:r>
      <w:r w:rsidRPr="00EF66BB">
        <w:rPr>
          <w:rFonts w:ascii="Times New Roman" w:hAnsi="Times New Roman" w:cs="Times New Roman"/>
        </w:rPr>
        <w:t xml:space="preserve"> the impact of university strategic choices on technology tr</w:t>
      </w:r>
      <w:r w:rsidR="00881526" w:rsidRPr="00EF66BB">
        <w:rPr>
          <w:rFonts w:ascii="Times New Roman" w:hAnsi="Times New Roman" w:cs="Times New Roman"/>
        </w:rPr>
        <w:t>ansfer effectiveness is enhanced</w:t>
      </w:r>
      <w:r w:rsidRPr="00EF66BB">
        <w:rPr>
          <w:rFonts w:ascii="Times New Roman" w:hAnsi="Times New Roman" w:cs="Times New Roman"/>
        </w:rPr>
        <w:t xml:space="preserve"> when plans are comprehensively implemented at department level. </w:t>
      </w:r>
      <w:bookmarkEnd w:id="0"/>
      <w:r w:rsidRPr="00EF66BB">
        <w:rPr>
          <w:rFonts w:ascii="Times New Roman" w:hAnsi="Times New Roman" w:cs="Times New Roman"/>
        </w:rPr>
        <w:t>Conversely, our result</w:t>
      </w:r>
      <w:r w:rsidR="00E307C7">
        <w:rPr>
          <w:rFonts w:ascii="Times New Roman" w:hAnsi="Times New Roman" w:cs="Times New Roman"/>
        </w:rPr>
        <w:t>s</w:t>
      </w:r>
      <w:r w:rsidRPr="00EF66BB">
        <w:rPr>
          <w:rFonts w:ascii="Times New Roman" w:hAnsi="Times New Roman" w:cs="Times New Roman"/>
        </w:rPr>
        <w:t xml:space="preserve"> for H3a suggests that if universities make technology transfer a strategic priority and establish appropriate TTO support, the effectiveness of their technology transfer efforts may be limited if they fail to adequately operationalise strategic priorities at department level. This finding lends evidence to argument</w:t>
      </w:r>
      <w:r w:rsidR="00EC71AC" w:rsidRPr="00EF66BB">
        <w:rPr>
          <w:rFonts w:ascii="Times New Roman" w:hAnsi="Times New Roman" w:cs="Times New Roman"/>
        </w:rPr>
        <w:t>s</w:t>
      </w:r>
      <w:r w:rsidRPr="00EF66BB">
        <w:rPr>
          <w:rFonts w:ascii="Times New Roman" w:hAnsi="Times New Roman" w:cs="Times New Roman"/>
        </w:rPr>
        <w:t xml:space="preserve"> that advocate a move away from hierarchical decision making within </w:t>
      </w:r>
      <w:r w:rsidR="009E7EDB" w:rsidRPr="00EF66BB">
        <w:rPr>
          <w:rFonts w:ascii="Times New Roman" w:hAnsi="Times New Roman" w:cs="Times New Roman"/>
        </w:rPr>
        <w:t>universities towards</w:t>
      </w:r>
      <w:r w:rsidR="00EC71AC" w:rsidRPr="00EF66BB">
        <w:rPr>
          <w:rFonts w:ascii="Times New Roman" w:hAnsi="Times New Roman" w:cs="Times New Roman"/>
        </w:rPr>
        <w:t xml:space="preserve"> a</w:t>
      </w:r>
      <w:r w:rsidRPr="00EF66BB">
        <w:rPr>
          <w:rFonts w:ascii="Times New Roman" w:hAnsi="Times New Roman" w:cs="Times New Roman"/>
        </w:rPr>
        <w:t xml:space="preserve"> more ‘collegiate’ mode of governance whereby strategic priori</w:t>
      </w:r>
      <w:r w:rsidR="00881526" w:rsidRPr="00EF66BB">
        <w:rPr>
          <w:rFonts w:ascii="Times New Roman" w:hAnsi="Times New Roman" w:cs="Times New Roman"/>
        </w:rPr>
        <w:t>ties are established through engagement with departments</w:t>
      </w:r>
      <w:r w:rsidRPr="00EF66BB">
        <w:rPr>
          <w:rFonts w:ascii="Times New Roman" w:hAnsi="Times New Roman" w:cs="Times New Roman"/>
        </w:rPr>
        <w:t xml:space="preserve"> </w:t>
      </w:r>
      <w:r w:rsidR="00055EE7">
        <w:rPr>
          <w:rFonts w:ascii="Times New Roman" w:hAnsi="Times New Roman" w:cs="Times New Roman"/>
        </w:rPr>
        <w:fldChar w:fldCharType="begin" w:fldLock="1"/>
      </w:r>
      <w:r w:rsidR="00055EE7">
        <w:rPr>
          <w:rFonts w:ascii="Times New Roman" w:hAnsi="Times New Roman" w:cs="Times New Roman"/>
        </w:rPr>
        <w:instrText>ADDIN CSL_CITATION {"citationItems":[{"id":"ITEM-1","itemData":{"DOI":"10.1080/03075079.2012.754858","ISBN":"03075079 (ISSN)","ISSN":"1470174X","abstract":"In this paper we examine the creation and expansion of the English university system. We show how the enormous increase in student numbers, which began with the Robbins Report (1963), led to successive governments cutting universities’ funding and compelling them to act more like business enterprises than educational institutions. In turn, vice-chancellors have become more similar to powerful chief executives, collegial forms of control have been significantly reduced and academic staff increasingly work in an environment in which they are told what to teach, how to teach, what research to conduct and where to publish. However, we show that this can be dysfunctional not only for staff, but also for senior managers. In place of this dysfunctional centralism, we argue for a win-win form of collegiality, which is compatible with rapid decision-making at the university centre and effective execution of change at the local/ departmental level.","author":[{"dropping-particle":"","family":"Burnes","given":"Bernard","non-dropping-particle":"","parse-names":false,"suffix":""},{"dropping-particle":"","family":"Wend","given":"Petra","non-dropping-particle":"","parse-names":false,"suffix":""},{"dropping-particle":"","family":"By","given":"Rune Todnem","non-dropping-particle":"","parse-names":false,"suffix":""}],"container-title":"Studies in Higher Education","id":"ITEM-1","issue":"6","issued":{"date-parts":[["2014"]]},"page":"905-926","title":"The changing face of English universities: reinventing collegiality for the twenty-first century","type":"article-journal","volume":"39"},"uris":["http://www.mendeley.com/documents/?uuid=24152560-a926-4d23-9fe1-dc68becea4bb"]},{"id":"ITEM-2","itemData":{"DOI":"10.1080/03075070701685114","ISBN":"0307-5079","ISSN":"03075079","PMID":"27342569","abstract":"This article is a review of the literature concerned with leadership effectiveness in higher education at departmental level. The literature derives from publications from three countries: the UK, the USA and Australia. Surprisingly little systematic research has been conducted on the question of which forms of leadership are associated with departmental effectiveness. The analysis of the studies selected resulted in the identification of 13 forms of leader behaviour that are associated with departmental effectiveness. The findings are considered in relation to the notion of competency frameworks and, in the conclusion, their general implications are explored in relation to the notion of substitutes for leadership.","author":[{"dropping-particle":"","family":"Bryman","given":"Alan","non-dropping-particle":"","parse-names":false,"suffix":""}],"container-title":"Studies in Higher Education","id":"ITEM-2","issue":"6","issued":{"date-parts":[["2007"]]},"page":"693-710","title":"Effective leadership in higher education: A literature review","type":"article-journal","volume":"32"},"uris":["http://www.mendeley.com/documents/?uuid=67962623-f4f7-4dca-8060-74b92e8090f3"]},{"id":"ITEM-3","itemData":{"DOI":"10.1080/1360080X.2017.1354754","ISSN":"14699508","abstract":"This paper considers the case for reform of management structures in UK universities and offers proposals for change. The model of top-down, performance-led management that characterises many institutions is both outmoded and ill-suited to the challenges of an increasingly turbulent higher education sector. Drawing on the experiences of a university that introduced a new scheme of performance management, I explore alternative approaches to leadership and management, collaborative or partnership working designed to improve employee voice and the need to re-evaluate approaches to Human Resource Management. I conclude with a five-point model for change.","author":[{"dropping-particle":"","family":"Waring","given":"Matt","non-dropping-particle":"","parse-names":false,"suffix":""}],"container-title":"Journal of Higher Education Policy and Management","id":"ITEM-3","issue":"5","issued":{"date-parts":[["2017"]]},"page":"540-558","publisher":"Routledge","title":"Management and leadership in UK universities: exploring the possibilities of change","type":"article-journal","volume":"39"},"uris":["http://www.mendeley.com/documents/?uuid=53ffff0f-fb1a-477d-aae5-a1036f8cdc58"]}],"mendeley":{"formattedCitation":"(Bryman, 2007; Burnes et al., 2014; Waring, 2017)","plainTextFormattedCitation":"(Bryman, 2007; Burnes et al., 2014; Waring, 2017)","previouslyFormattedCitation":"(Bryman, 2007; Burnes et al., 2014; Waring, 2017)"},"properties":{"noteIndex":0},"schema":"https://github.com/citation-style-language/schema/raw/master/csl-citation.json"}</w:instrText>
      </w:r>
      <w:r w:rsidR="00055EE7">
        <w:rPr>
          <w:rFonts w:ascii="Times New Roman" w:hAnsi="Times New Roman" w:cs="Times New Roman"/>
        </w:rPr>
        <w:fldChar w:fldCharType="separate"/>
      </w:r>
      <w:r w:rsidR="00055EE7" w:rsidRPr="00055EE7">
        <w:rPr>
          <w:rFonts w:ascii="Times New Roman" w:hAnsi="Times New Roman" w:cs="Times New Roman"/>
          <w:noProof/>
        </w:rPr>
        <w:t>(Bryman, 2007; Burnes et al., 2014; Waring, 2017)</w:t>
      </w:r>
      <w:r w:rsidR="00055EE7">
        <w:rPr>
          <w:rFonts w:ascii="Times New Roman" w:hAnsi="Times New Roman" w:cs="Times New Roman"/>
        </w:rPr>
        <w:fldChar w:fldCharType="end"/>
      </w:r>
      <w:r w:rsidR="00055EE7">
        <w:rPr>
          <w:rFonts w:ascii="Times New Roman" w:hAnsi="Times New Roman" w:cs="Times New Roman"/>
        </w:rPr>
        <w:t>.</w:t>
      </w:r>
      <w:r w:rsidRPr="00EF66BB">
        <w:rPr>
          <w:rFonts w:ascii="Times New Roman" w:hAnsi="Times New Roman" w:cs="Times New Roman"/>
        </w:rPr>
        <w:t xml:space="preserve"> </w:t>
      </w:r>
    </w:p>
    <w:p w14:paraId="54547242" w14:textId="77777777" w:rsidR="006852D0" w:rsidRPr="00EF66BB" w:rsidRDefault="006852D0" w:rsidP="00141231">
      <w:pPr>
        <w:spacing w:line="360" w:lineRule="auto"/>
        <w:rPr>
          <w:rFonts w:ascii="Times New Roman" w:hAnsi="Times New Roman" w:cs="Times New Roman"/>
        </w:rPr>
      </w:pPr>
    </w:p>
    <w:p w14:paraId="46B03933" w14:textId="348CEA6A" w:rsidR="006852D0" w:rsidRPr="00EF66BB" w:rsidRDefault="009E7EDB" w:rsidP="00141231">
      <w:pPr>
        <w:spacing w:line="360" w:lineRule="auto"/>
        <w:rPr>
          <w:rFonts w:ascii="Times New Roman" w:hAnsi="Times New Roman" w:cs="Times New Roman"/>
        </w:rPr>
      </w:pPr>
      <w:r w:rsidRPr="00EF66BB">
        <w:rPr>
          <w:rFonts w:ascii="Times New Roman" w:hAnsi="Times New Roman" w:cs="Times New Roman"/>
        </w:rPr>
        <w:lastRenderedPageBreak/>
        <w:t>S</w:t>
      </w:r>
      <w:r w:rsidR="006852D0" w:rsidRPr="00EF66BB">
        <w:rPr>
          <w:rFonts w:ascii="Times New Roman" w:hAnsi="Times New Roman" w:cs="Times New Roman"/>
        </w:rPr>
        <w:t xml:space="preserve">urprisingly, we find no support for H3b, which suggests that the mediation effect of strategic choice on the relationship between incentives and technology transfer effectiveness will be accentuated by </w:t>
      </w:r>
      <w:r w:rsidRPr="00EF66BB">
        <w:rPr>
          <w:rFonts w:ascii="Times New Roman" w:hAnsi="Times New Roman" w:cs="Times New Roman"/>
        </w:rPr>
        <w:t xml:space="preserve">the </w:t>
      </w:r>
      <w:r w:rsidR="006852D0" w:rsidRPr="00EF66BB">
        <w:rPr>
          <w:rFonts w:ascii="Times New Roman" w:hAnsi="Times New Roman" w:cs="Times New Roman"/>
        </w:rPr>
        <w:t>operationalisation of strategic priorities at department level.  However, when we consider this result in light of our result</w:t>
      </w:r>
      <w:r w:rsidR="00E307C7">
        <w:rPr>
          <w:rFonts w:ascii="Times New Roman" w:hAnsi="Times New Roman" w:cs="Times New Roman"/>
        </w:rPr>
        <w:t>s</w:t>
      </w:r>
      <w:r w:rsidR="006852D0" w:rsidRPr="00EF66BB">
        <w:rPr>
          <w:rFonts w:ascii="Times New Roman" w:hAnsi="Times New Roman" w:cs="Times New Roman"/>
        </w:rPr>
        <w:t xml:space="preserve"> for H2, which shows that university strategic choices only partially mediate the relationship between incentives and technology transfer effectiveness, the implication of this result becomes clearer. As highlighted above, engagement in technology transfer activity is an individual as well as an organisational phenomenon, decision</w:t>
      </w:r>
      <w:r w:rsidR="00EC71AC" w:rsidRPr="00EF66BB">
        <w:rPr>
          <w:rFonts w:ascii="Times New Roman" w:hAnsi="Times New Roman" w:cs="Times New Roman"/>
        </w:rPr>
        <w:t>s</w:t>
      </w:r>
      <w:r w:rsidR="006852D0" w:rsidRPr="00EF66BB">
        <w:rPr>
          <w:rFonts w:ascii="Times New Roman" w:hAnsi="Times New Roman" w:cs="Times New Roman"/>
        </w:rPr>
        <w:t xml:space="preserve"> to commercialise research findings </w:t>
      </w:r>
      <w:r w:rsidR="00EC71AC" w:rsidRPr="00EF66BB">
        <w:rPr>
          <w:rFonts w:ascii="Times New Roman" w:hAnsi="Times New Roman" w:cs="Times New Roman"/>
        </w:rPr>
        <w:t xml:space="preserve">are </w:t>
      </w:r>
      <w:r w:rsidR="006852D0" w:rsidRPr="00EF66BB">
        <w:rPr>
          <w:rFonts w:ascii="Times New Roman" w:hAnsi="Times New Roman" w:cs="Times New Roman"/>
        </w:rPr>
        <w:t xml:space="preserve">largely individually driven </w:t>
      </w:r>
      <w:r w:rsidR="00055EE7">
        <w:rPr>
          <w:rFonts w:ascii="Times New Roman" w:hAnsi="Times New Roman" w:cs="Times New Roman"/>
        </w:rPr>
        <w:fldChar w:fldCharType="begin" w:fldLock="1"/>
      </w:r>
      <w:r w:rsidR="00055EE7">
        <w:rPr>
          <w:rFonts w:ascii="Times New Roman" w:hAnsi="Times New Roman" w:cs="Times New Roman"/>
        </w:rPr>
        <w:instrText>ADDIN CSL_CITATION {"citationItems":[{"id":"ITEM-1","itemData":{"DOI":"10.1007/s10961-010-9153-z","ISBN":"0892-9912","ISSN":"08929912","abstract":"The debate on the entrepreneurial university has raised questions about what motivates academic scientists to engage with industry. This paper provides evidence based on survey data for a large sample of UK investigators in the physical and engineering sciences. The results suggest that most academics engage with industry to further their research rather than to commercialize their knowledge. However, there are differences in terms of the channels of engagement. Patenting and spin-off company formation are motivated exclusively by commercialization whilst joint research, contract research and consulting are strongly informed by research-related motives. We conclude that policy should refrain from overly focusing on monetary incentives for industry engagement and consider a broader range of incentives for promoting interaction between academia and industry.","author":[{"dropping-particle":"","family":"D'Este","given":"Pablo","non-dropping-particle":"","parse-names":false,"suffix":""},{"dropping-particle":"","family":"Perkmann","given":"Markus","non-dropping-particle":"","parse-names":false,"suffix":""}],"container-title":"Journal of Technology Transfer","id":"ITEM-1","issue":"3","issued":{"date-parts":[["2011"]]},"page":"316-339","title":"Why do academics engage with industry? The entrepreneurial university and individual motivations","type":"article-journal","volume":"36"},"uris":["http://www.mendeley.com/documents/?uuid=47fcbd90-c6f5-4186-bfa4-f494688fac06"]},{"id":"ITEM-2","itemData":{"DOI":"10.1016/j.respol.2011.09.002","ISBN":"00487333","ISSN":"00487333","PMID":"26053391","abstract":"This paper employs the three concepts of 'gold' (financial rewards), 'ribbon' (reputational/career rewards) and 'puzzle' (intrinsic satisfaction) to examine the extrinsic and intrinsic aspects of scientists' motivation for pursuing commercial activities. The study is based on 36 individual interviews and an on-line questionnaire survey of 735 scientists from five major UK research universities. It finds that there is a diversity of motivations for commercial engagement, and that many do so for reputational and intrinsic reasons and that financial rewards play a relatively small part. The paper draws on self-determination theory in social psychology to analyse the relationship between scientists' value orientations with regard to commercial engagement and their personal motivations. It finds that those with traditional beliefs about the separation of science from commerce are more likely to be extrinsically motivated, using commercialization as a means to obtain resources to support their quest for the 'ribbon'. In contrast, those identify closely with entrepreneurial norms are intrinsically motivated by the autonomy and 'puzzle-solving' involved in applied commercial research while also motivated by the 'gold'. The study highlights the primacy of scientists' self-motivation, and suggests that a fuller explanation of their commercial behaviour will need to consider a broader mix of motives to include the social and affective aspects of intrinsic motivation. In conclusion, the paper argues that policy to encourage commercial engagement should build on reputational and intrinsic rather than purely financial motivations. © 2011 Elsevier B.V. All rights reserved.","author":[{"dropping-particle":"","family":"Lam","given":"Alice","non-dropping-particle":"","parse-names":false,"suffix":""}],"container-title":"Research Policy","id":"ITEM-2","issue":"10","issued":{"date-parts":[["2011"]]},"page":"1354-1368","title":"What motivates academic scientists to engage in research commercialization: 'Gold', 'ribbon' or 'puzzle'?","type":"article-journal","volume":"40"},"uris":["http://www.mendeley.com/documents/?uuid=7ffd5fa0-3822-435f-8e79-8bf2dc7f9b34"]}],"mendeley":{"formattedCitation":"(D’Este and Perkmann, 2011; Lam, 2011)","plainTextFormattedCitation":"(D’Este and Perkmann, 2011; Lam, 2011)","previouslyFormattedCitation":"(D’Este and Perkmann, 2011; Lam, 2011)"},"properties":{"noteIndex":0},"schema":"https://github.com/citation-style-language/schema/raw/master/csl-citation.json"}</w:instrText>
      </w:r>
      <w:r w:rsidR="00055EE7">
        <w:rPr>
          <w:rFonts w:ascii="Times New Roman" w:hAnsi="Times New Roman" w:cs="Times New Roman"/>
        </w:rPr>
        <w:fldChar w:fldCharType="separate"/>
      </w:r>
      <w:r w:rsidR="00055EE7" w:rsidRPr="00055EE7">
        <w:rPr>
          <w:rFonts w:ascii="Times New Roman" w:hAnsi="Times New Roman" w:cs="Times New Roman"/>
          <w:noProof/>
        </w:rPr>
        <w:t>(D’Este and Perkmann, 2011; Lam, 2011)</w:t>
      </w:r>
      <w:r w:rsidR="00055EE7">
        <w:rPr>
          <w:rFonts w:ascii="Times New Roman" w:hAnsi="Times New Roman" w:cs="Times New Roman"/>
        </w:rPr>
        <w:fldChar w:fldCharType="end"/>
      </w:r>
      <w:r w:rsidR="006852D0" w:rsidRPr="00EF66BB">
        <w:rPr>
          <w:rFonts w:ascii="Times New Roman" w:hAnsi="Times New Roman" w:cs="Times New Roman"/>
        </w:rPr>
        <w:t xml:space="preserve">. Therefore, </w:t>
      </w:r>
      <w:r w:rsidR="00E9682A" w:rsidRPr="00EF66BB">
        <w:rPr>
          <w:rFonts w:ascii="Times New Roman" w:hAnsi="Times New Roman" w:cs="Times New Roman"/>
        </w:rPr>
        <w:t xml:space="preserve">arguably </w:t>
      </w:r>
      <w:r w:rsidR="006852D0" w:rsidRPr="00EF66BB">
        <w:rPr>
          <w:rFonts w:ascii="Times New Roman" w:hAnsi="Times New Roman" w:cs="Times New Roman"/>
        </w:rPr>
        <w:t>the role of incentives in enhancing technology transfer effectiveness is less sensitive to organisational influences such as university strategic priorities (as highlighted in H2) and their operationalisation (as highlighted by the lack of support for H3b). In other words, the role of incentives in promoting technology transfer effectiveness will be more sensitive to individual-level motivational factors than other forms of organisational supports for technology transfer, such as the scale of TTO support, over which</w:t>
      </w:r>
      <w:r w:rsidR="007043EE" w:rsidRPr="00EF66BB">
        <w:rPr>
          <w:rFonts w:ascii="Times New Roman" w:hAnsi="Times New Roman" w:cs="Times New Roman"/>
        </w:rPr>
        <w:t xml:space="preserve"> university management have</w:t>
      </w:r>
      <w:r w:rsidR="006852D0" w:rsidRPr="00EF66BB">
        <w:rPr>
          <w:rFonts w:ascii="Times New Roman" w:hAnsi="Times New Roman" w:cs="Times New Roman"/>
        </w:rPr>
        <w:t xml:space="preserve"> more control.</w:t>
      </w:r>
    </w:p>
    <w:p w14:paraId="718F3097" w14:textId="5F02C939" w:rsidR="006852D0" w:rsidRPr="00EF66BB" w:rsidRDefault="006852D0" w:rsidP="00141231">
      <w:pPr>
        <w:spacing w:line="360" w:lineRule="auto"/>
        <w:rPr>
          <w:rFonts w:ascii="Times New Roman" w:hAnsi="Times New Roman" w:cs="Times New Roman"/>
        </w:rPr>
      </w:pPr>
    </w:p>
    <w:p w14:paraId="601CE437" w14:textId="77777777" w:rsidR="00785349" w:rsidRPr="00414FA4" w:rsidRDefault="00785349" w:rsidP="00141231">
      <w:pPr>
        <w:pStyle w:val="Heading2"/>
        <w:rPr>
          <w:rFonts w:ascii="Times New Roman" w:hAnsi="Times New Roman" w:cs="Times New Roman"/>
        </w:rPr>
      </w:pPr>
      <w:r w:rsidRPr="00414FA4">
        <w:rPr>
          <w:rFonts w:ascii="Times New Roman" w:hAnsi="Times New Roman" w:cs="Times New Roman"/>
        </w:rPr>
        <w:t xml:space="preserve">6.0 Limitations and Directions for Future Research </w:t>
      </w:r>
    </w:p>
    <w:p w14:paraId="7DDA7F93" w14:textId="2AEC9BB5" w:rsidR="00785349" w:rsidRDefault="00785349" w:rsidP="00141231">
      <w:pPr>
        <w:spacing w:line="360" w:lineRule="auto"/>
        <w:rPr>
          <w:rFonts w:ascii="Times New Roman" w:hAnsi="Times New Roman" w:cs="Times New Roman"/>
        </w:rPr>
      </w:pPr>
      <w:r w:rsidRPr="004D3D1C">
        <w:rPr>
          <w:rFonts w:ascii="Times New Roman" w:eastAsia="TimesNewRoman" w:hAnsi="Times New Roman" w:cs="Times New Roman"/>
        </w:rPr>
        <w:t xml:space="preserve">Despite its </w:t>
      </w:r>
      <w:r w:rsidRPr="004D3D1C">
        <w:rPr>
          <w:rFonts w:ascii="Times New Roman" w:hAnsi="Times New Roman" w:cs="Times New Roman"/>
          <w:color w:val="000000"/>
        </w:rPr>
        <w:t xml:space="preserve">theoretical and methodological strengths this research has limitations that highlight opportunities for meaningful future research. </w:t>
      </w:r>
      <w:r w:rsidRPr="004D3D1C">
        <w:rPr>
          <w:rFonts w:ascii="Times New Roman" w:hAnsi="Times New Roman" w:cs="Times New Roman"/>
        </w:rPr>
        <w:t xml:space="preserve">First, the validity of structural modelling depends on theoretical sophistication, measurement accuracy, data distributions, variable selection and the size of the database (Shook et al., 2004). Specific to this study is the size of the database and </w:t>
      </w:r>
      <w:r>
        <w:rPr>
          <w:rFonts w:ascii="Times New Roman" w:hAnsi="Times New Roman" w:cs="Times New Roman"/>
        </w:rPr>
        <w:t xml:space="preserve">the use of some </w:t>
      </w:r>
      <w:r w:rsidRPr="004D3D1C">
        <w:rPr>
          <w:rFonts w:ascii="Times New Roman" w:hAnsi="Times New Roman" w:cs="Times New Roman"/>
        </w:rPr>
        <w:t xml:space="preserve">single item observed variables </w:t>
      </w:r>
      <w:r>
        <w:rPr>
          <w:rFonts w:ascii="Times New Roman" w:hAnsi="Times New Roman" w:cs="Times New Roman"/>
        </w:rPr>
        <w:t xml:space="preserve">(instead of latent variables) </w:t>
      </w:r>
      <w:r w:rsidRPr="004D3D1C">
        <w:rPr>
          <w:rFonts w:ascii="Times New Roman" w:hAnsi="Times New Roman" w:cs="Times New Roman"/>
        </w:rPr>
        <w:t xml:space="preserve">which </w:t>
      </w:r>
      <w:r>
        <w:rPr>
          <w:rFonts w:ascii="Times New Roman" w:hAnsi="Times New Roman" w:cs="Times New Roman"/>
        </w:rPr>
        <w:t>limits</w:t>
      </w:r>
      <w:r w:rsidRPr="004D3D1C">
        <w:rPr>
          <w:rFonts w:ascii="Times New Roman" w:hAnsi="Times New Roman" w:cs="Times New Roman"/>
        </w:rPr>
        <w:t xml:space="preserve"> </w:t>
      </w:r>
      <w:r>
        <w:rPr>
          <w:rFonts w:ascii="Times New Roman" w:hAnsi="Times New Roman" w:cs="Times New Roman"/>
        </w:rPr>
        <w:t>our understanding</w:t>
      </w:r>
      <w:r w:rsidRPr="004D3D1C">
        <w:rPr>
          <w:rFonts w:ascii="Times New Roman" w:hAnsi="Times New Roman" w:cs="Times New Roman"/>
        </w:rPr>
        <w:t xml:space="preserve"> of the enabling conditions fo</w:t>
      </w:r>
      <w:r>
        <w:rPr>
          <w:rFonts w:ascii="Times New Roman" w:hAnsi="Times New Roman" w:cs="Times New Roman"/>
        </w:rPr>
        <w:t xml:space="preserve">r effective technology transfer. </w:t>
      </w:r>
      <w:r w:rsidRPr="004D3D1C">
        <w:rPr>
          <w:rFonts w:ascii="Times New Roman" w:hAnsi="Times New Roman" w:cs="Times New Roman"/>
        </w:rPr>
        <w:t>F</w:t>
      </w:r>
      <w:r w:rsidRPr="004D3D1C">
        <w:rPr>
          <w:rFonts w:ascii="Times New Roman" w:eastAsia="TimesNewRoman" w:hAnsi="Times New Roman" w:cs="Times New Roman"/>
        </w:rPr>
        <w:t xml:space="preserve">urther research should explore the relevance of other constructs in the assessment of these relationships using </w:t>
      </w:r>
      <w:r w:rsidRPr="004D3D1C">
        <w:rPr>
          <w:rFonts w:ascii="Times New Roman" w:hAnsi="Times New Roman" w:cs="Times New Roman"/>
        </w:rPr>
        <w:t>more fine-grained multi-item measures not only to look at the extent, sequencing, and effectiveness of technology transfer strategy but also to study the relationships at a more exploratory level.</w:t>
      </w:r>
      <w:r>
        <w:rPr>
          <w:rFonts w:ascii="Times New Roman" w:hAnsi="Times New Roman" w:cs="Times New Roman"/>
        </w:rPr>
        <w:t xml:space="preserve"> For example, </w:t>
      </w:r>
      <w:r w:rsidRPr="00EF66BB">
        <w:rPr>
          <w:rFonts w:ascii="Times New Roman" w:hAnsi="Times New Roman" w:cs="Times New Roman"/>
        </w:rPr>
        <w:t>process-oriented research could build on our insights by exploring how departmental managers operationalise university level strategic choices and how these operationalisations impact technology transfer effectiveness. Alternatively, further research could focus more explicitly on the role that university top-management teams (TMTs) as key strategy participants play in technology transfer effectiveness, by examining how TMT composition impacts the per</w:t>
      </w:r>
      <w:r>
        <w:rPr>
          <w:rFonts w:ascii="Times New Roman" w:hAnsi="Times New Roman" w:cs="Times New Roman"/>
        </w:rPr>
        <w:t xml:space="preserve">formance of technology transfer, perhaps drawing upon Upper Echelons Theory and the Attention-Based View </w:t>
      </w:r>
      <w:r>
        <w:rPr>
          <w:rFonts w:ascii="Times New Roman" w:hAnsi="Times New Roman" w:cs="Times New Roman"/>
        </w:rPr>
        <w:fldChar w:fldCharType="begin" w:fldLock="1"/>
      </w:r>
      <w:r w:rsidR="00A661B2">
        <w:rPr>
          <w:rFonts w:ascii="Times New Roman" w:hAnsi="Times New Roman" w:cs="Times New Roman"/>
        </w:rPr>
        <w:instrText>ADDIN CSL_CITATION {"citationItems":[{"id":"ITEM-1","itemData":{"DOI":"10.5465/AMR.2007.24345254","ISBN":"0167-4544","ISSN":"0167-4544","PMID":"22582726","author":[{"dropping-particle":"","family":"Hambrick","given":"Donald C.","non-dropping-particle":"","parse-names":false,"suffix":""}],"container-title":"Academy of Management Review","id":"ITEM-1","issue":"2","issued":{"date-parts":[["2007"]]},"page":"334-343","title":"Upper Echelons Theory: An Update","type":"article-journal","volume":"32"},"uris":["http://www.mendeley.com/documents/?uuid=53fa3388-cd68-41e6-92e3-5e0e72cc9f54"]},{"id":"ITEM-2","itemData":{"DOI":"10.1287/orsc.1100.0602","ISBN":"10477039","ISSN":"1047-7039","PMID":"65872004","abstract":"Organizational theory and research has increased attention to the determinants and consequences of attention in orga-nizations. Attention is not, however, a unitary concept but is used differently in various metatheories: the behavioral O rganizational theory and research has increased attention to the determinants and consequences of attention in orga- nizations. Attention is not, however, a unitary concept but is used differently in various metatheories: the behavioral theory O rganizational theory and research has increased attention to the determinants and consequences of attention in orga- nizations. Attention is not, however, a unitary concept but is used differently in various metatheories: the behavioral theory of the firm, managerial cognition, issue selling, attention-based view, and ecology. At the level of the brain, neurosci-entists have identified three varieties of attention: selective attention, executive attention, and vigilance. Attention is shaped by both top-down (i.e., schema-driven) and bottom-up (i.e., stimulus-driven) processes. Inspired by neuroscience research, I classify and compare three varieties of attention studied in organization science: attentional perspective (top-down), atten-tional engagement (combining top-down and bottom-up executive attention and vigilance), and attentional selection (the outcome of attentional processes). Based on research findings, I develop five propositions on how the varieties of attention in organization provide a theoretical alternative to theories of structural determinism or strategic choice, with a particular focus on the role of attention in explaining organizational adaptation and change.","author":[{"dropping-particle":"","family":"Ocasio","given":"William","non-dropping-particle":"","parse-names":false,"suffix":""}],"container-title":"Organization Science","id":"ITEM-2","issue":"5","issued":{"date-parts":[["2011"]]},"page":"1286-1296","title":"Attention to Attention","type":"article-journal","volume":"22"},"uris":["http://www.mendeley.com/documents/?uuid=896d0662-a6c5-46ef-8b5c-e70f366dd0e0"]}],"mendeley":{"formattedCitation":"(Hambrick, 2007; Ocasio, 2011)","plainTextFormattedCitation":"(Hambrick, 2007; Ocasio, 2011)","previouslyFormattedCitation":"(Hambrick, 2007; Ocasio, 2011)"},"properties":{"noteIndex":0},"schema":"https://github.com/citation-style-language/schema/raw/master/csl-citation.json"}</w:instrText>
      </w:r>
      <w:r>
        <w:rPr>
          <w:rFonts w:ascii="Times New Roman" w:hAnsi="Times New Roman" w:cs="Times New Roman"/>
        </w:rPr>
        <w:fldChar w:fldCharType="separate"/>
      </w:r>
      <w:r w:rsidRPr="00504EBA">
        <w:rPr>
          <w:rFonts w:ascii="Times New Roman" w:hAnsi="Times New Roman" w:cs="Times New Roman"/>
          <w:noProof/>
        </w:rPr>
        <w:t>(Hambrick, 2007; Ocasio, 2011)</w:t>
      </w:r>
      <w:r>
        <w:rPr>
          <w:rFonts w:ascii="Times New Roman" w:hAnsi="Times New Roman" w:cs="Times New Roman"/>
        </w:rPr>
        <w:fldChar w:fldCharType="end"/>
      </w:r>
    </w:p>
    <w:p w14:paraId="425D1BC5" w14:textId="77777777" w:rsidR="00785349" w:rsidRDefault="00785349" w:rsidP="00141231">
      <w:pPr>
        <w:spacing w:line="360" w:lineRule="auto"/>
        <w:rPr>
          <w:rFonts w:ascii="Times New Roman" w:hAnsi="Times New Roman" w:cs="Times New Roman"/>
        </w:rPr>
      </w:pPr>
    </w:p>
    <w:p w14:paraId="08FF27AA" w14:textId="75FCCAC0" w:rsidR="00785349" w:rsidRPr="00850E84" w:rsidRDefault="00785349" w:rsidP="00141231">
      <w:pPr>
        <w:spacing w:line="360" w:lineRule="auto"/>
        <w:rPr>
          <w:rFonts w:ascii="Times New Roman" w:hAnsi="Times New Roman" w:cs="Times New Roman"/>
        </w:rPr>
      </w:pPr>
      <w:r w:rsidRPr="004D3D1C">
        <w:rPr>
          <w:rFonts w:ascii="Times New Roman" w:hAnsi="Times New Roman" w:cs="Times New Roman"/>
        </w:rPr>
        <w:t xml:space="preserve">Second </w:t>
      </w:r>
      <w:r w:rsidRPr="004D3D1C">
        <w:rPr>
          <w:rFonts w:ascii="Times New Roman" w:hAnsi="Times New Roman" w:cs="Times New Roman"/>
          <w:color w:val="231F20"/>
        </w:rPr>
        <w:t xml:space="preserve">while we </w:t>
      </w:r>
      <w:r>
        <w:rPr>
          <w:rFonts w:ascii="Times New Roman" w:hAnsi="Times New Roman" w:cs="Times New Roman"/>
          <w:color w:val="231F20"/>
        </w:rPr>
        <w:t>confirm that strategic choices</w:t>
      </w:r>
      <w:r w:rsidRPr="004D3D1C">
        <w:rPr>
          <w:rFonts w:ascii="Times New Roman" w:hAnsi="Times New Roman" w:cs="Times New Roman"/>
          <w:color w:val="231F20"/>
        </w:rPr>
        <w:t xml:space="preserve"> influence effectiveness (not vice versa), </w:t>
      </w:r>
      <w:r w:rsidRPr="004D3D1C">
        <w:rPr>
          <w:rFonts w:ascii="Times New Roman" w:hAnsi="Times New Roman" w:cs="Times New Roman"/>
        </w:rPr>
        <w:t>the cross-sectional research design set limitations in terms of making strong inference of causality. However</w:t>
      </w:r>
      <w:r>
        <w:rPr>
          <w:rFonts w:ascii="Times New Roman" w:hAnsi="Times New Roman" w:cs="Times New Roman"/>
        </w:rPr>
        <w:t>,</w:t>
      </w:r>
      <w:r w:rsidRPr="004D3D1C">
        <w:rPr>
          <w:rFonts w:ascii="Times New Roman" w:hAnsi="Times New Roman" w:cs="Times New Roman"/>
        </w:rPr>
        <w:t xml:space="preserve"> in this study we used data from various waves to ensure temporal ordering of variables in our model to make causal attribution of relationships possible.</w:t>
      </w:r>
      <w:r>
        <w:rPr>
          <w:rFonts w:ascii="Times New Roman" w:hAnsi="Times New Roman" w:cs="Times New Roman"/>
        </w:rPr>
        <w:t xml:space="preserve"> Furthermore, t</w:t>
      </w:r>
      <w:r w:rsidRPr="004D3D1C">
        <w:rPr>
          <w:rFonts w:ascii="Times New Roman" w:hAnsi="Times New Roman" w:cs="Times New Roman"/>
        </w:rPr>
        <w:t>he measurement limitations resulted from the observed exogenous variables has to a certain extent overcome by studying various measurement models using nested modelling. Although the small sample size set limitations in relation to the number of control variables included in the model and the number of causal relationships assumed, the data from a population</w:t>
      </w:r>
      <w:r w:rsidR="001B367E">
        <w:rPr>
          <w:rFonts w:ascii="Times New Roman" w:hAnsi="Times New Roman" w:cs="Times New Roman"/>
        </w:rPr>
        <w:t>-</w:t>
      </w:r>
      <w:r w:rsidRPr="004D3D1C">
        <w:rPr>
          <w:rFonts w:ascii="Times New Roman" w:hAnsi="Times New Roman" w:cs="Times New Roman"/>
        </w:rPr>
        <w:t xml:space="preserve">based study of all UK </w:t>
      </w:r>
      <w:r w:rsidR="00A66AB9">
        <w:rPr>
          <w:rFonts w:ascii="Times New Roman" w:hAnsi="Times New Roman" w:cs="Times New Roman"/>
        </w:rPr>
        <w:t>u</w:t>
      </w:r>
      <w:r w:rsidRPr="004D3D1C">
        <w:rPr>
          <w:rFonts w:ascii="Times New Roman" w:hAnsi="Times New Roman" w:cs="Times New Roman"/>
        </w:rPr>
        <w:t xml:space="preserve">niversities gave it a unique advantage. </w:t>
      </w:r>
      <w:r w:rsidRPr="004D3D1C">
        <w:rPr>
          <w:rFonts w:ascii="Times New Roman" w:eastAsia="TimesNewRoman" w:hAnsi="Times New Roman" w:cs="Times New Roman"/>
        </w:rPr>
        <w:t xml:space="preserve">Future research could add greater rigor to our results by adopting a longitudinal approach, making use of the panel data in the study of the relationships. </w:t>
      </w:r>
    </w:p>
    <w:p w14:paraId="3FA16918" w14:textId="77777777" w:rsidR="00785349" w:rsidRPr="004D3D1C" w:rsidRDefault="00785349" w:rsidP="00141231">
      <w:pPr>
        <w:autoSpaceDE w:val="0"/>
        <w:autoSpaceDN w:val="0"/>
        <w:adjustRightInd w:val="0"/>
        <w:spacing w:line="360" w:lineRule="auto"/>
        <w:rPr>
          <w:rFonts w:ascii="Times New Roman" w:eastAsia="TimesNewRoman" w:hAnsi="Times New Roman" w:cs="Times New Roman"/>
        </w:rPr>
      </w:pPr>
    </w:p>
    <w:p w14:paraId="2E498A5F" w14:textId="7DFB1EF5" w:rsidR="00785349" w:rsidRDefault="00785349" w:rsidP="00141231">
      <w:pPr>
        <w:autoSpaceDE w:val="0"/>
        <w:autoSpaceDN w:val="0"/>
        <w:adjustRightInd w:val="0"/>
        <w:spacing w:line="360" w:lineRule="auto"/>
        <w:rPr>
          <w:rFonts w:ascii="Times New Roman" w:eastAsia="TimesNewRoman" w:hAnsi="Times New Roman" w:cs="Times New Roman"/>
        </w:rPr>
      </w:pPr>
      <w:r w:rsidRPr="004D3D1C">
        <w:rPr>
          <w:rFonts w:ascii="Times New Roman" w:eastAsia="TimesNewRoman" w:hAnsi="Times New Roman" w:cs="Times New Roman"/>
        </w:rPr>
        <w:t>Third, we conducted the study w</w:t>
      </w:r>
      <w:r>
        <w:rPr>
          <w:rFonts w:ascii="Times New Roman" w:eastAsia="TimesNewRoman" w:hAnsi="Times New Roman" w:cs="Times New Roman"/>
        </w:rPr>
        <w:t>ithin the single context of the United Kingdom</w:t>
      </w:r>
      <w:r w:rsidRPr="004D3D1C">
        <w:rPr>
          <w:rFonts w:ascii="Times New Roman" w:eastAsia="TimesNewRoman" w:hAnsi="Times New Roman" w:cs="Times New Roman"/>
        </w:rPr>
        <w:t xml:space="preserve">. While there are good theoretical reasons to believe that </w:t>
      </w:r>
      <w:r>
        <w:rPr>
          <w:rFonts w:ascii="Times New Roman" w:eastAsia="TimesNewRoman" w:hAnsi="Times New Roman" w:cs="Times New Roman"/>
        </w:rPr>
        <w:t>u</w:t>
      </w:r>
      <w:r w:rsidRPr="004D3D1C">
        <w:rPr>
          <w:rFonts w:ascii="Times New Roman" w:eastAsia="TimesNewRoman" w:hAnsi="Times New Roman" w:cs="Times New Roman"/>
        </w:rPr>
        <w:t>niversities in other countries may experience similar dynamics,</w:t>
      </w:r>
      <w:r>
        <w:rPr>
          <w:rFonts w:ascii="Times New Roman" w:eastAsia="TimesNewRoman" w:hAnsi="Times New Roman" w:cs="Times New Roman"/>
        </w:rPr>
        <w:t xml:space="preserve"> namely the widespread adoption of </w:t>
      </w:r>
      <w:proofErr w:type="spellStart"/>
      <w:r>
        <w:rPr>
          <w:rFonts w:ascii="Times New Roman" w:eastAsia="TimesNewRoman" w:hAnsi="Times New Roman" w:cs="Times New Roman"/>
        </w:rPr>
        <w:t>mangerialst</w:t>
      </w:r>
      <w:proofErr w:type="spellEnd"/>
      <w:r>
        <w:rPr>
          <w:rFonts w:ascii="Times New Roman" w:eastAsia="TimesNewRoman" w:hAnsi="Times New Roman" w:cs="Times New Roman"/>
        </w:rPr>
        <w:t xml:space="preserve"> modes of organisation in Higher Education Institutions </w:t>
      </w:r>
      <w:r>
        <w:rPr>
          <w:rFonts w:ascii="Times New Roman" w:eastAsia="TimesNewRoman" w:hAnsi="Times New Roman" w:cs="Times New Roman"/>
        </w:rPr>
        <w:fldChar w:fldCharType="begin" w:fldLock="1"/>
      </w:r>
      <w:r w:rsidR="00A661B2">
        <w:rPr>
          <w:rFonts w:ascii="Times New Roman" w:eastAsia="TimesNewRoman" w:hAnsi="Times New Roman" w:cs="Times New Roman"/>
        </w:rPr>
        <w:instrText>ADDIN CSL_CITATION {"citationItems":[{"id":"ITEM-1","itemData":{"author":[{"dropping-particle":"","family":"Teelken","given":"Christine","non-dropping-particle":"","parse-names":false,"suffix":""}],"container-title":"Studies in Higher Education","id":"ITEM-1","issue":"3","issued":{"date-parts":[["2012"]]},"page":"271-290","title":"Compliance or pragmatism: how do academics deal with managerialism in higher education? A comparative study in three countries","type":"article-journal","volume":"37"},"uris":["http://www.mendeley.com/documents/?uuid=49018ecf-c98e-4d7f-b213-7f6a22b7041d"]},{"id":"ITEM-2","itemData":{"author":[{"dropping-particle":"","family":"Marginson","given":"S","non-dropping-particle":"","parse-names":false,"suffix":""}],"container-title":"Prospects of higher educations. Globalization, market competition, public goods and the future of the university","editor":[{"dropping-particle":"","family":"Marginson","given":"S","non-dropping-particle":"","parse-names":false,"suffix":""}],"id":"ITEM-2","issued":{"date-parts":[["2007"]]},"page":"29-77","publisher":"Sense","publisher-place":"Rotterdam","title":"The new higher education landscape: Public and private goods, in global/ national/local settings","type":"chapter"},"uris":["http://www.mendeley.com/documents/?uuid=17782da5-d21c-4297-afa2-708159b7483f"]}],"mendeley":{"formattedCitation":"(Marginson, 2007; Teelken, 2012)","plainTextFormattedCitation":"(Marginson, 2007; Teelken, 2012)","previouslyFormattedCitation":"(Marginson, 2007; Teelken, 2012)"},"properties":{"noteIndex":0},"schema":"https://github.com/citation-style-language/schema/raw/master/csl-citation.json"}</w:instrText>
      </w:r>
      <w:r>
        <w:rPr>
          <w:rFonts w:ascii="Times New Roman" w:eastAsia="TimesNewRoman" w:hAnsi="Times New Roman" w:cs="Times New Roman"/>
        </w:rPr>
        <w:fldChar w:fldCharType="separate"/>
      </w:r>
      <w:r w:rsidRPr="000F3CAC">
        <w:rPr>
          <w:rFonts w:ascii="Times New Roman" w:eastAsia="TimesNewRoman" w:hAnsi="Times New Roman" w:cs="Times New Roman"/>
          <w:noProof/>
        </w:rPr>
        <w:t>(Marginson, 2007; Teelken, 2012)</w:t>
      </w:r>
      <w:r>
        <w:rPr>
          <w:rFonts w:ascii="Times New Roman" w:eastAsia="TimesNewRoman" w:hAnsi="Times New Roman" w:cs="Times New Roman"/>
        </w:rPr>
        <w:fldChar w:fldCharType="end"/>
      </w:r>
      <w:r>
        <w:rPr>
          <w:rFonts w:ascii="Times New Roman" w:eastAsia="TimesNewRoman" w:hAnsi="Times New Roman" w:cs="Times New Roman"/>
        </w:rPr>
        <w:t xml:space="preserve">, </w:t>
      </w:r>
      <w:r w:rsidRPr="004D3D1C">
        <w:rPr>
          <w:rFonts w:ascii="Times New Roman" w:eastAsia="TimesNewRoman" w:hAnsi="Times New Roman" w:cs="Times New Roman"/>
        </w:rPr>
        <w:t xml:space="preserve">the focus on a single country context may limit the generalizability of the results to some degree. Thus, a useful extension would be to extract data from other developed nations and conduct a multi-level analysis using </w:t>
      </w:r>
      <w:r w:rsidR="00A66AB9">
        <w:rPr>
          <w:rFonts w:ascii="Times New Roman" w:eastAsia="TimesNewRoman" w:hAnsi="Times New Roman" w:cs="Times New Roman"/>
        </w:rPr>
        <w:t>u</w:t>
      </w:r>
      <w:r w:rsidRPr="004D3D1C">
        <w:rPr>
          <w:rFonts w:ascii="Times New Roman" w:eastAsia="TimesNewRoman" w:hAnsi="Times New Roman" w:cs="Times New Roman"/>
        </w:rPr>
        <w:t xml:space="preserve">niversities nested within a country to learn the conditions set by the objective environment and its institutional context. </w:t>
      </w:r>
    </w:p>
    <w:p w14:paraId="564E3162" w14:textId="77777777" w:rsidR="00785349" w:rsidRDefault="00785349" w:rsidP="00141231">
      <w:pPr>
        <w:autoSpaceDE w:val="0"/>
        <w:autoSpaceDN w:val="0"/>
        <w:adjustRightInd w:val="0"/>
        <w:spacing w:line="360" w:lineRule="auto"/>
        <w:rPr>
          <w:rFonts w:ascii="Times New Roman" w:eastAsia="TimesNewRoman" w:hAnsi="Times New Roman" w:cs="Times New Roman"/>
        </w:rPr>
      </w:pPr>
    </w:p>
    <w:p w14:paraId="10C95266" w14:textId="77777777" w:rsidR="00785349" w:rsidRPr="00414FA4" w:rsidRDefault="00785349" w:rsidP="00141231">
      <w:pPr>
        <w:pStyle w:val="Heading2"/>
        <w:rPr>
          <w:rFonts w:ascii="Times New Roman" w:hAnsi="Times New Roman" w:cs="Times New Roman"/>
        </w:rPr>
      </w:pPr>
      <w:r w:rsidRPr="00414FA4">
        <w:rPr>
          <w:rFonts w:ascii="Times New Roman" w:hAnsi="Times New Roman" w:cs="Times New Roman"/>
        </w:rPr>
        <w:t xml:space="preserve">7.0 Conclusion and Policy Considerations </w:t>
      </w:r>
    </w:p>
    <w:p w14:paraId="166AC5B6" w14:textId="317F0FA9" w:rsidR="00785349" w:rsidRPr="00EF66BB" w:rsidRDefault="00785349" w:rsidP="00141231">
      <w:pPr>
        <w:spacing w:line="360" w:lineRule="auto"/>
        <w:rPr>
          <w:rFonts w:ascii="Times New Roman" w:hAnsi="Times New Roman" w:cs="Times New Roman"/>
        </w:rPr>
      </w:pPr>
      <w:r w:rsidRPr="00EF66BB">
        <w:rPr>
          <w:rFonts w:ascii="Times New Roman" w:hAnsi="Times New Roman" w:cs="Times New Roman"/>
        </w:rPr>
        <w:t xml:space="preserve">In summary, our results offer several new academic and policy insights relating to technology transfer effectiveness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{"citationItems":[{"id":"ITEM-1","itemData":{"DOI":"10.1016/j.respol.2014.06.008","ISBN":"00487333","ISSN":"00487333","PMID":"1478595","abstract":"The purpose of our study is to review and synthesize the rapidly evolving literature on technology transfer effectiveness. Our paper provides a lens into relatively recent work, focusing particularly on empirical studies of US technology transfer conducted within the last 15 years. In doing so, we update and extend the Contingent Effectiveness Model of Technology Transfer developed by Bozeman (2000). Specifically, we include the growing interest in social and public value oriented technology transfer and, thus, the contingent effectiveness model is expanded to consider this literature. We categorize studies according their approaches to measuring effectiveness, draw conclusions regarding the current state of technology transfer evaluation, and offer recommendations for future studies.","author":[{"dropping-particle":"","family":"Bozeman","given":"Barry","non-dropping-particle":"","parse-names":false,"suffix":""},{"dropping-particle":"","family":"Rimes","given":"Heather","non-dropping-particle":"","parse-names":false,"suffix":""},{"dropping-particle":"","family":"Youtie","given":"Jan","non-dropping-particle":"","parse-names":false,"suffix":""}],"container-title":"Research Policy","id":"ITEM-1","issue":"1","issued":{"date-parts":[["2015"]]},"page":"34-49","publisher":"Elsevier B.V.","title":"The evolving state-of-the-art in technology transfer research: Revisiting the contingent effectiveness model","type":"article-journal","volume":"44"},"uris":["http://www.mendeley.com/documents/?uuid=245549ef-970b-4ea4-984e-4a869649a3c5"]}],"mendeley":{"formattedCitation":"(Bozeman et al., 2015)","plainTextFormattedCitation":"(Bozeman et al., 2015)","previouslyFormattedCitation":"(Bozeman et al., 2015)"},"properties":{"noteIndex":0},"schema":"https://github.com/citation-style-language/schema/raw/master/csl-citation.json"}</w:instrText>
      </w:r>
      <w:r>
        <w:rPr>
          <w:rFonts w:ascii="Times New Roman" w:hAnsi="Times New Roman" w:cs="Times New Roman"/>
        </w:rPr>
        <w:fldChar w:fldCharType="separate"/>
      </w:r>
      <w:r w:rsidRPr="00055EE7">
        <w:rPr>
          <w:rFonts w:ascii="Times New Roman" w:hAnsi="Times New Roman" w:cs="Times New Roman"/>
          <w:noProof/>
        </w:rPr>
        <w:t>(Bozeman et al., 2015)</w:t>
      </w:r>
      <w:r>
        <w:rPr>
          <w:rFonts w:ascii="Times New Roman" w:hAnsi="Times New Roman" w:cs="Times New Roman"/>
        </w:rPr>
        <w:fldChar w:fldCharType="end"/>
      </w:r>
      <w:r>
        <w:rPr>
          <w:rFonts w:ascii="Times New Roman" w:hAnsi="Times New Roman" w:cs="Times New Roman"/>
        </w:rPr>
        <w:t>.</w:t>
      </w:r>
      <w:r w:rsidRPr="00EF66BB">
        <w:rPr>
          <w:rFonts w:ascii="Times New Roman" w:hAnsi="Times New Roman" w:cs="Times New Roman"/>
        </w:rPr>
        <w:t xml:space="preserve"> First, we highlight the significance of strategic choice as a key underlying determinant of technology transfer effectiveness. Specifically, we show that it is not enough for universities to invest in TTO support and provide incentives for engagement in technology transfer if they are aiming to enhance the effectiveness of their technology transfer activity. Previous research, grounded within the CEMTT framework has highlighted these agent (university) characteristics as key determinates of technology transfer effectiveness, yet the role of managerial strategic choice is often overlooked in analysis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{"citationItems":[{"id":"ITEM-1","itemData":{"DOI":"10.1111/1467-8551.12116","ISBN":"1467-8551","ISSN":"14678551","PMID":"3749","abstract":"Academic entrepreneurship, which refers to efforts undertaken by universities to promote commercialization on campus and in surrounding regions of the university, has changed dramatically in recent years. Two key consequences of this change are that more stakeholders have become involved in academic entrepreneurship and that universities have become more ‘strategic’ in their approach to this activity. The authors assert that the time is ripe to rethink academic entrepreneurship. Specifically, theoretical and empirical research on academic entrepreneurship needs to take account of these changes, so as to improve the rigour and relevance of future studies on this topic. We outline such a framework and provide examples of key research questions that need to be addressed to broaden understanding of academic entrepreneurship.","author":[{"dropping-particle":"","family":"Siegel","given":"Donald","non-dropping-particle":"","parse-names":false,"suffix":""},{"dropping-particle":"","family":"Wright","given":"Mike","non-dropping-particle":"","parse-names":false,"suffix":""}],"container-title":"British Journal of Management","id":"ITEM-1","issue":"4","issued":{"date-parts":[["2015"]]},"page":"582-595","title":"Academic Entrepreneurship: Time for a Rethink?","type":"article-journal","volume":"26"},"uris":["http://www.mendeley.com/documents/?uuid=fd36b1d1-c4c9-405f-8f53-67de72694463"]},{"id":"ITEM-2","itemData":{"DOI":"10.1016/j.respol.2008.04.021","ISBN":"0048-7333","ISSN":"00487333","PMID":"2985","abstract":"We analyze how mid-range universities can contribute to industrial change through the transfer of tacit and codified knowledge in the areas of spin-offs; licensing and patents; contract research, consultancy and reach-out; and graduate and researcher mobility. We use archival, survey and interview data relating to mid-range universities in mid-range environments in the UK, Belgium, Germany and Sweden. Our findings suggest that mid-range universities primarily need to focus on generating world-class research and critical mass in areas of expertise, as well as developing different types of intermediaries. Mid-range universities may need to develop a portfolio of university-industry linkages in terms of the scope of activities and the types of firms with which they interact. We also show that different intermediaries have important roles to play in developing university-industry linkages for mid-range universities. © 2008.","author":[{"dropping-particle":"","family":"Wright","given":"Mike","non-dropping-particle":"","parse-names":false,"suffix":""},{"dropping-particle":"","family":"Clarysse","given":"Bart","non-dropping-particle":"","parse-names":false,"suffix":""},{"dropping-particle":"","family":"Lockett","given":"Andy","non-dropping-particle":"","parse-names":false,"suffix":""},{"dropping-particle":"","family":"Knockaert","given":"Mirjam","non-dropping-particle":"","parse-names":false,"suffix":""}],"container-title":"Research Policy","id":"ITEM-2","issue":"8","issued":{"date-parts":[["2008"]]},"page":"1205-1223","title":"Mid-range universities' linkages with industry: Knowledge types and the role of intermediaries","type":"article-journal","volume":"37"},"uris":["http://www.mendeley.com/documents/?uuid=4ad24ced-5185-432e-a5f4-697ce97472d8"]}],"mendeley":{"formattedCitation":"(Siegel and Wright, 2015a; Wright et al., 2008)","plainTextFormattedCitation":"(Siegel and Wright, 2015a; Wright et al., 2008)","previouslyFormattedCitation":"(Siegel and Wright, 2015a; Wright et al., 2008)"},"properties":{"noteIndex":0},"schema":"https://github.com/citation-style-language/schema/raw/master/csl-citation.json"}</w:instrText>
      </w:r>
      <w:r>
        <w:rPr>
          <w:rFonts w:ascii="Times New Roman" w:hAnsi="Times New Roman" w:cs="Times New Roman"/>
        </w:rPr>
        <w:fldChar w:fldCharType="separate"/>
      </w:r>
      <w:r w:rsidRPr="005C76D1">
        <w:rPr>
          <w:rFonts w:ascii="Times New Roman" w:hAnsi="Times New Roman" w:cs="Times New Roman"/>
          <w:noProof/>
        </w:rPr>
        <w:t>(Siegel and Wright, 2015a; Wright et al., 2008)</w:t>
      </w:r>
      <w:r>
        <w:rPr>
          <w:rFonts w:ascii="Times New Roman" w:hAnsi="Times New Roman" w:cs="Times New Roman"/>
        </w:rPr>
        <w:fldChar w:fldCharType="end"/>
      </w:r>
      <w:r>
        <w:rPr>
          <w:rFonts w:ascii="Times New Roman" w:hAnsi="Times New Roman" w:cs="Times New Roman"/>
        </w:rPr>
        <w:t>.</w:t>
      </w:r>
      <w:r w:rsidRPr="00EF66BB">
        <w:rPr>
          <w:rFonts w:ascii="Times New Roman" w:hAnsi="Times New Roman" w:cs="Times New Roman"/>
        </w:rPr>
        <w:t xml:space="preserve"> Drawing on insights from strategic choice theory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{"citationItems":[{"id":"ITEM-1","itemData":{"DOI":"10.1177/017084069701800104","ISBN":"0170840697","ISSN":"0170-8406","PMID":"9709106242","abstract":"This paper examines the place of the strategic choice perspective in the study of organizations and considers its contemporary contribution. The main features of the original analysis are summarized, followed by a review of the key issues which arise from it. The paper discusses the integrative potential of strategic choice theory within organization studies and examines its contribution to an evolutionary perspective on the subject. [ABSTRACT FROM AUTHOR]","author":[{"dropping-particle":"","family":"Child","given":"John","non-dropping-particle":"","parse-names":false,"suffix":""}],"container-title":"Organization Studies","id":"ITEM-1","issue":"1","issued":{"date-parts":[["1997"]]},"page":"43-76","title":"Strategic Choice in the Analysis of Action, Structure, Organizations and Environment: Retrospect and Prospect","type":"article-journal","volume":"18"},"uris":["http://www.mendeley.com/documents/?uuid=567c0ecc-17f0-4a38-9892-c98cb98a9e33"]},{"id":"ITEM-2","itemData":{"author":[{"dropping-particle":"","family":"Child","given":"John","non-dropping-particle":"","parse-names":false,"suffix":""}],"container-title":"Sociology","id":"ITEM-2","issue":"1","issued":{"date-parts":[["1972"]]},"page":"1-22","title":"Organizational Structure, Environment and Performance: The Role of Strategic Choice","type":"article-journal","volume":"6"},"uris":["http://www.mendeley.com/documents/?uuid=8d8d803e-eaf2-4353-8bda-269822284514"]}],"mendeley":{"formattedCitation":"(Child, 1997, 1972)","plainTextFormattedCitation":"(Child, 1997, 1972)","previouslyFormattedCitation":"(Child, 1997, 1972)"},"properties":{"noteIndex":0},"schema":"https://github.com/citation-style-language/schema/raw/master/csl-citation.json"}</w:instrText>
      </w:r>
      <w:r>
        <w:rPr>
          <w:rFonts w:ascii="Times New Roman" w:hAnsi="Times New Roman" w:cs="Times New Roman"/>
        </w:rPr>
        <w:fldChar w:fldCharType="separate"/>
      </w:r>
      <w:r w:rsidRPr="00055EE7">
        <w:rPr>
          <w:rFonts w:ascii="Times New Roman" w:hAnsi="Times New Roman" w:cs="Times New Roman"/>
          <w:noProof/>
        </w:rPr>
        <w:t>(Child, 1997, 1972)</w:t>
      </w:r>
      <w:r>
        <w:rPr>
          <w:rFonts w:ascii="Times New Roman" w:hAnsi="Times New Roman" w:cs="Times New Roman"/>
        </w:rPr>
        <w:fldChar w:fldCharType="end"/>
      </w:r>
      <w:r w:rsidRPr="00EF66BB">
        <w:rPr>
          <w:rFonts w:ascii="Times New Roman" w:hAnsi="Times New Roman" w:cs="Times New Roman"/>
        </w:rPr>
        <w:t xml:space="preserve">, we argue that these ‘internal variations’ are not the only determinates of organisational effectiveness but it is their alignment with strategic choices </w:t>
      </w:r>
      <w:r w:rsidRPr="00EF66BB">
        <w:rPr>
          <w:rFonts w:ascii="Times New Roman" w:hAnsi="Times New Roman" w:cs="Times New Roman"/>
        </w:rPr>
        <w:lastRenderedPageBreak/>
        <w:t>that actually impacts technology transfer effectiveness. Second, we show that the alignment of strategic choice and supporting organisational infrastructure is not sufficient to ensure greater technology transfer effectiveness by highlighting the degree to which this alignment is moderated by the operationalisation of strategic priorities throughout the university. This is the first study, to our knowledge, that has explicitly investigated the relationship between university strategy implementation and technology transfer effectiveness. Our results suggest that for strategic priorities to be realised and for organisational supports to be effective in enhancing performance, senior university managers should ensure that strategic plans are operationalised through engaging middle management in strategic planning.</w:t>
      </w:r>
      <w:r w:rsidR="00C64CDD" w:rsidRPr="00C64CDD">
        <w:rPr>
          <w:rFonts w:ascii="Times New Roman" w:hAnsi="Times New Roman" w:cs="Times New Roman"/>
        </w:rPr>
        <w:t xml:space="preserve"> </w:t>
      </w:r>
      <w:r w:rsidR="00C64CDD">
        <w:rPr>
          <w:rFonts w:ascii="Times New Roman" w:hAnsi="Times New Roman" w:cs="Times New Roman"/>
        </w:rPr>
        <w:t>Clearly, this finding has implications for the need to broaden the influence on strategic planning beyond senior university managers, suggesting that a move towards more ‘collegiate’ modes of governance might enhance the effectiveness of strategic decision making in universities.</w:t>
      </w:r>
      <w:r w:rsidRPr="00EF66BB">
        <w:rPr>
          <w:rFonts w:ascii="Times New Roman" w:hAnsi="Times New Roman" w:cs="Times New Roman"/>
        </w:rPr>
        <w:t xml:space="preserve">  Third, our findings show that there are limits to the impact of managerial strategic choices on technology transfer effectiveness</w:t>
      </w:r>
      <w:r>
        <w:rPr>
          <w:rFonts w:ascii="Times New Roman" w:hAnsi="Times New Roman" w:cs="Times New Roman"/>
        </w:rPr>
        <w:t>. I</w:t>
      </w:r>
      <w:r w:rsidRPr="00EF66BB">
        <w:rPr>
          <w:rFonts w:ascii="Times New Roman" w:hAnsi="Times New Roman" w:cs="Times New Roman"/>
        </w:rPr>
        <w:t xml:space="preserve">t is clear that the relationship between strategic choices and incentives as an organisational support for technology transfer has a weaker influence on technology transfer effectiveness than the relationship between strategic choices and TTO support. We suggest that this relatively weaker relationship is due to the fact the impact of incentives on technology transfer effectiveness will always be subject to individual-level motivational factors that are beyond the control of university managers. </w:t>
      </w:r>
    </w:p>
    <w:p w14:paraId="192F8281" w14:textId="77777777" w:rsidR="00785349" w:rsidRDefault="00785349" w:rsidP="00141231">
      <w:pPr>
        <w:spacing w:line="360" w:lineRule="auto"/>
        <w:rPr>
          <w:rFonts w:ascii="Times New Roman" w:hAnsi="Times New Roman" w:cs="Times New Roman"/>
        </w:rPr>
      </w:pPr>
    </w:p>
    <w:p w14:paraId="4EAE48DB" w14:textId="3095270B" w:rsidR="00785349" w:rsidRDefault="00785349" w:rsidP="00141231">
      <w:pPr>
        <w:spacing w:line="360" w:lineRule="auto"/>
        <w:rPr>
          <w:rFonts w:ascii="Times New Roman" w:hAnsi="Times New Roman" w:cs="Times New Roman"/>
        </w:rPr>
      </w:pPr>
      <w:r w:rsidRPr="00EF66BB">
        <w:rPr>
          <w:rFonts w:ascii="Times New Roman" w:hAnsi="Times New Roman" w:cs="Times New Roman"/>
        </w:rPr>
        <w:t>With regards to policy, our findings provide evidence to support recent policy reviews that have highlighted the potential significance of</w:t>
      </w:r>
      <w:r w:rsidR="00DC7939">
        <w:rPr>
          <w:rFonts w:ascii="Times New Roman" w:hAnsi="Times New Roman" w:cs="Times New Roman"/>
        </w:rPr>
        <w:t xml:space="preserve"> senior</w:t>
      </w:r>
      <w:r w:rsidRPr="00EF66BB">
        <w:rPr>
          <w:rFonts w:ascii="Times New Roman" w:hAnsi="Times New Roman" w:cs="Times New Roman"/>
        </w:rPr>
        <w:t xml:space="preserve"> university manage</w:t>
      </w:r>
      <w:r w:rsidR="00DC7939">
        <w:rPr>
          <w:rFonts w:ascii="Times New Roman" w:hAnsi="Times New Roman" w:cs="Times New Roman"/>
        </w:rPr>
        <w:t>rs</w:t>
      </w:r>
      <w:r w:rsidRPr="00EF66BB">
        <w:rPr>
          <w:rFonts w:ascii="Times New Roman" w:hAnsi="Times New Roman" w:cs="Times New Roman"/>
        </w:rPr>
        <w:t xml:space="preserve"> in the effectiveness of technology transfer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{"citationItems":[{"id":"ITEM-1","itemData":{"author":[{"dropping-particle":"","family":"HEFCE","given":"","non-dropping-particle":"","parse-names":false,"suffix":""}],"id":"ITEM-1","issue":"September","issued":{"date-parts":[["2016"]]},"title":"University Knowledge Exchange ( KE ) Framework : good practice in technology transfer Report to the UK higher education sector and HEFCE by the McMillan group","type":"article-journal"},"uris":["http://www.mendeley.com/documents/?uuid=e01e49b0-972c-4051-9586-9f43880fda49"]}],"mendeley":{"formattedCitation":"(HEFCE, 2016)","plainTextFormattedCitation":"(HEFCE, 2016)","previouslyFormattedCitation":"(HEFCE, 2016)"},"properties":{"noteIndex":0},"schema":"https://github.com/citation-style-language/schema/raw/master/csl-citation.json"}</w:instrText>
      </w:r>
      <w:r>
        <w:rPr>
          <w:rFonts w:ascii="Times New Roman" w:hAnsi="Times New Roman" w:cs="Times New Roman"/>
        </w:rPr>
        <w:fldChar w:fldCharType="separate"/>
      </w:r>
      <w:r w:rsidRPr="00055EE7">
        <w:rPr>
          <w:rFonts w:ascii="Times New Roman" w:hAnsi="Times New Roman" w:cs="Times New Roman"/>
          <w:noProof/>
        </w:rPr>
        <w:t>(HEFCE, 2016)</w:t>
      </w:r>
      <w:r>
        <w:rPr>
          <w:rFonts w:ascii="Times New Roman" w:hAnsi="Times New Roman" w:cs="Times New Roman"/>
        </w:rPr>
        <w:fldChar w:fldCharType="end"/>
      </w:r>
      <w:r>
        <w:rPr>
          <w:rFonts w:ascii="Times New Roman" w:hAnsi="Times New Roman" w:cs="Times New Roman"/>
        </w:rPr>
        <w:t>.</w:t>
      </w:r>
      <w:r w:rsidRPr="00EF66BB">
        <w:rPr>
          <w:rFonts w:ascii="Times New Roman" w:hAnsi="Times New Roman" w:cs="Times New Roman"/>
        </w:rPr>
        <w:t xml:space="preserve"> Our findings also </w:t>
      </w:r>
      <w:r w:rsidR="00DC7939">
        <w:rPr>
          <w:rFonts w:ascii="Times New Roman" w:hAnsi="Times New Roman" w:cs="Times New Roman"/>
        </w:rPr>
        <w:t>indicate</w:t>
      </w:r>
      <w:r w:rsidRPr="00EF66BB">
        <w:rPr>
          <w:rFonts w:ascii="Times New Roman" w:hAnsi="Times New Roman" w:cs="Times New Roman"/>
        </w:rPr>
        <w:t xml:space="preserve"> that there needs to be careful consideration of the metrics and evaluation frameworks for technology transfer effectiveness. Current frameworks precipitate institutional pressures to adopt certain organisational configurations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{"citationItems":[{"id":"ITEM-1","itemData":{"DOI":"10.1111/1467-8551.12069","ISBN":"1045-3172","ISSN":"14678551","abstract":"In this paper we examine the institutionalization of a new organizational practice around third stream activities in UK higher education from 1994 to 2008. Employing a longi- tudinal research design, involving archival, survey and contemporary interview data, we show how a new organizational practice diffused through the use of discourse and metrics around commercialization but over time was threatened on pure economic criteria. In response to the threat we explore how actors worked to institutionalize the new practice, reshaping both discourse and metrics to ensure that they were robust so that they could align with the interests and values of major stakeholders. In addition, actors worked to align discourse and metrics, as any misalignment between the two would have under- mined the institutionalization of the new organizational practice. Institutional","author":[{"dropping-particle":"","family":"Lockett","given":"Andy","non-dropping-particle":"","parse-names":false,"suffix":""},{"dropping-particle":"","family":"Wright","given":"Mike","non-dropping-particle":"","parse-names":false,"suffix":""},{"dropping-particle":"","family":"Wild","given":"Andrew","non-dropping-particle":"","parse-names":false,"suffix":""}],"container-title":"British Journal of Management","id":"ITEM-1","issue":"1","issued":{"date-parts":[["2015"]]},"page":"78-92","title":"The institutionalization of third stream activities in UK higher education: The role of discourse and metrics","type":"article-journal","volume":"26"},"uris":["http://www.mendeley.com/documents/?uuid=a4cc6f22-23a6-4758-8258-e247adeba6ea"]}],"mendeley":{"formattedCitation":"(Lockett et al., 2015)","plainTextFormattedCitation":"(Lockett et al., 2015)","previouslyFormattedCitation":"(Lockett et al., 2015)"},"properties":{"noteIndex":0},"schema":"https://github.com/citation-style-language/schema/raw/master/csl-citation.json"}</w:instrText>
      </w:r>
      <w:r>
        <w:rPr>
          <w:rFonts w:ascii="Times New Roman" w:hAnsi="Times New Roman" w:cs="Times New Roman"/>
        </w:rPr>
        <w:fldChar w:fldCharType="separate"/>
      </w:r>
      <w:r w:rsidRPr="00055EE7">
        <w:rPr>
          <w:rFonts w:ascii="Times New Roman" w:hAnsi="Times New Roman" w:cs="Times New Roman"/>
          <w:noProof/>
        </w:rPr>
        <w:t>(Lockett et al., 2015)</w:t>
      </w:r>
      <w:r>
        <w:rPr>
          <w:rFonts w:ascii="Times New Roman" w:hAnsi="Times New Roman" w:cs="Times New Roman"/>
        </w:rPr>
        <w:fldChar w:fldCharType="end"/>
      </w:r>
      <w:r w:rsidRPr="00EF66BB">
        <w:rPr>
          <w:rFonts w:ascii="Times New Roman" w:hAnsi="Times New Roman" w:cs="Times New Roman"/>
        </w:rPr>
        <w:t xml:space="preserve"> by focusing on binary input/output measures. Instead, our findings highlight that these organisational inputs are not sufficient to stimulate technology transfer effectiveness</w:t>
      </w:r>
      <w:r w:rsidR="00DC7939">
        <w:rPr>
          <w:rFonts w:ascii="Times New Roman" w:hAnsi="Times New Roman" w:cs="Times New Roman"/>
        </w:rPr>
        <w:t>.</w:t>
      </w:r>
      <w:r w:rsidRPr="00EF66BB">
        <w:rPr>
          <w:rFonts w:ascii="Times New Roman" w:hAnsi="Times New Roman" w:cs="Times New Roman"/>
        </w:rPr>
        <w:t xml:space="preserve"> </w:t>
      </w:r>
      <w:r w:rsidR="00DC7939">
        <w:rPr>
          <w:rFonts w:ascii="Times New Roman" w:hAnsi="Times New Roman" w:cs="Times New Roman"/>
        </w:rPr>
        <w:t>T</w:t>
      </w:r>
      <w:r w:rsidRPr="00EF66BB">
        <w:rPr>
          <w:rFonts w:ascii="Times New Roman" w:hAnsi="Times New Roman" w:cs="Times New Roman"/>
        </w:rPr>
        <w:t xml:space="preserve">herefore, frameworks for policy evaluation should be more attentive to the alignment between organisational strategy and supporting organisational infrastructure.  In other words, </w:t>
      </w:r>
      <w:r w:rsidR="00DC7939">
        <w:rPr>
          <w:rFonts w:ascii="Times New Roman" w:hAnsi="Times New Roman" w:cs="Times New Roman"/>
        </w:rPr>
        <w:t>it is important to</w:t>
      </w:r>
      <w:r w:rsidRPr="00EF66BB">
        <w:rPr>
          <w:rFonts w:ascii="Times New Roman" w:hAnsi="Times New Roman" w:cs="Times New Roman"/>
        </w:rPr>
        <w:t xml:space="preserve"> avoid the current “one-size-fits-all” approach to encouraging technology transfer. Evaluating this ‘alignment’ rather than simple inputs and outputs would encourage universities to clearly define strategic priorities regarding technology transfer. It would also encourage universities to focus on establishing a bespoke suite of strategic </w:t>
      </w:r>
      <w:r w:rsidR="00C93899">
        <w:rPr>
          <w:rFonts w:ascii="Times New Roman" w:hAnsi="Times New Roman" w:cs="Times New Roman"/>
        </w:rPr>
        <w:t>organisational</w:t>
      </w:r>
      <w:r w:rsidRPr="00EF66BB">
        <w:rPr>
          <w:rFonts w:ascii="Times New Roman" w:hAnsi="Times New Roman" w:cs="Times New Roman"/>
        </w:rPr>
        <w:t xml:space="preserve"> support and incentives, more closely aligned to </w:t>
      </w:r>
      <w:r w:rsidRPr="00EF66BB">
        <w:rPr>
          <w:rFonts w:ascii="Times New Roman" w:hAnsi="Times New Roman" w:cs="Times New Roman"/>
        </w:rPr>
        <w:lastRenderedPageBreak/>
        <w:t>specific university contexts and research specialisms in order to reduce some of the current inefficiencies and encourage greater technology transfer effectiveness.</w:t>
      </w:r>
    </w:p>
    <w:p w14:paraId="69D6884B" w14:textId="77777777" w:rsidR="000A2247" w:rsidRDefault="000A2247" w:rsidP="00141231">
      <w:pPr>
        <w:spacing w:line="360" w:lineRule="auto"/>
        <w:rPr>
          <w:rFonts w:ascii="Times New Roman" w:hAnsi="Times New Roman" w:cs="Times New Roman"/>
        </w:rPr>
      </w:pPr>
    </w:p>
    <w:p w14:paraId="09EBCEAE" w14:textId="5AD6EFC8" w:rsidR="00CD0532" w:rsidRDefault="00141231" w:rsidP="00141231">
      <w:pPr>
        <w:widowControl w:val="0"/>
        <w:autoSpaceDE w:val="0"/>
        <w:autoSpaceDN w:val="0"/>
        <w:adjustRightInd w:val="0"/>
        <w:spacing w:line="360" w:lineRule="auto"/>
        <w:rPr>
          <w:rFonts w:ascii="Times New Roman" w:hAnsi="Times New Roman" w:cs="Times New Roman"/>
          <w:b/>
        </w:rPr>
      </w:pPr>
      <w:r>
        <w:rPr>
          <w:rFonts w:ascii="Times New Roman" w:hAnsi="Times New Roman" w:cs="Times New Roman"/>
          <w:b/>
        </w:rPr>
        <w:t xml:space="preserve">Acknowledgements </w:t>
      </w:r>
    </w:p>
    <w:p w14:paraId="02B9C0EC" w14:textId="45A638FE" w:rsidR="00141231" w:rsidRPr="00141231" w:rsidRDefault="00141231" w:rsidP="001412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The authors would like to thank colleagues at the University of Liverpool Management School for feedback on earlier versions of this paper. In particular we would like to thank </w:t>
      </w:r>
      <w:proofErr w:type="spellStart"/>
      <w:r>
        <w:rPr>
          <w:rFonts w:ascii="Times New Roman" w:hAnsi="Times New Roman" w:cs="Times New Roman"/>
        </w:rPr>
        <w:t>Dr.</w:t>
      </w:r>
      <w:proofErr w:type="spellEnd"/>
      <w:r>
        <w:rPr>
          <w:rFonts w:ascii="Times New Roman" w:hAnsi="Times New Roman" w:cs="Times New Roman"/>
        </w:rPr>
        <w:t xml:space="preserve"> Julia </w:t>
      </w:r>
      <w:proofErr w:type="spellStart"/>
      <w:r>
        <w:rPr>
          <w:rFonts w:ascii="Times New Roman" w:hAnsi="Times New Roman" w:cs="Times New Roman"/>
        </w:rPr>
        <w:t>Brennecke</w:t>
      </w:r>
      <w:proofErr w:type="spellEnd"/>
      <w:r>
        <w:rPr>
          <w:rFonts w:ascii="Times New Roman" w:hAnsi="Times New Roman" w:cs="Times New Roman"/>
        </w:rPr>
        <w:t xml:space="preserve">, </w:t>
      </w:r>
      <w:proofErr w:type="spellStart"/>
      <w:r>
        <w:rPr>
          <w:rFonts w:ascii="Times New Roman" w:hAnsi="Times New Roman" w:cs="Times New Roman"/>
        </w:rPr>
        <w:t>Dr.</w:t>
      </w:r>
      <w:proofErr w:type="spellEnd"/>
      <w:r>
        <w:rPr>
          <w:rFonts w:ascii="Times New Roman" w:hAnsi="Times New Roman" w:cs="Times New Roman"/>
        </w:rPr>
        <w:t xml:space="preserve"> Adriana Nilsson</w:t>
      </w:r>
      <w:r w:rsidR="00E806AB">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Prof.</w:t>
      </w:r>
      <w:proofErr w:type="spellEnd"/>
      <w:r>
        <w:rPr>
          <w:rFonts w:ascii="Times New Roman" w:hAnsi="Times New Roman" w:cs="Times New Roman"/>
        </w:rPr>
        <w:t xml:space="preserve"> Wolfgang </w:t>
      </w:r>
      <w:proofErr w:type="spellStart"/>
      <w:r>
        <w:rPr>
          <w:rFonts w:ascii="Times New Roman" w:hAnsi="Times New Roman" w:cs="Times New Roman"/>
        </w:rPr>
        <w:t>Sofka</w:t>
      </w:r>
      <w:proofErr w:type="spellEnd"/>
      <w:r w:rsidR="00E806AB">
        <w:rPr>
          <w:rFonts w:ascii="Times New Roman" w:hAnsi="Times New Roman" w:cs="Times New Roman"/>
        </w:rPr>
        <w:t xml:space="preserve"> and Leighann Spencer</w:t>
      </w:r>
      <w:bookmarkStart w:id="1" w:name="_GoBack"/>
      <w:bookmarkEnd w:id="1"/>
      <w:r>
        <w:rPr>
          <w:rFonts w:ascii="Times New Roman" w:hAnsi="Times New Roman" w:cs="Times New Roman"/>
        </w:rPr>
        <w:t xml:space="preserve"> for their comments on the first draft of this manuscript. We would also like to express our gratitude to the three anonymous reviewers, whose timely and comprehensive reviews contributed greatly towards the development of both the manuscript and our broader understanding of university technology transfer. </w:t>
      </w:r>
      <w:r w:rsidR="009D3EB7">
        <w:rPr>
          <w:rFonts w:ascii="Times New Roman" w:hAnsi="Times New Roman" w:cs="Times New Roman"/>
        </w:rPr>
        <w:t>This work was supported by an ESRC CASE Studentship, sponsored by Unilever Central Resources UK Ltd (Grant No. ES/J500094/1).</w:t>
      </w:r>
    </w:p>
    <w:p w14:paraId="4430FB34" w14:textId="64827861" w:rsidR="000E3CB6" w:rsidRDefault="000E3CB6" w:rsidP="00141231">
      <w:pPr>
        <w:widowControl w:val="0"/>
        <w:autoSpaceDE w:val="0"/>
        <w:autoSpaceDN w:val="0"/>
        <w:adjustRightInd w:val="0"/>
        <w:spacing w:line="360" w:lineRule="auto"/>
        <w:rPr>
          <w:rFonts w:ascii="Times New Roman" w:hAnsi="Times New Roman" w:cs="Times New Roman"/>
          <w:b/>
        </w:rPr>
      </w:pPr>
    </w:p>
    <w:p w14:paraId="7C5117C6" w14:textId="4E09F9DF" w:rsidR="00A00152" w:rsidRDefault="00A00152" w:rsidP="00141231">
      <w:pPr>
        <w:widowControl w:val="0"/>
        <w:autoSpaceDE w:val="0"/>
        <w:autoSpaceDN w:val="0"/>
        <w:adjustRightInd w:val="0"/>
        <w:spacing w:line="360" w:lineRule="auto"/>
        <w:rPr>
          <w:rFonts w:ascii="Times New Roman" w:hAnsi="Times New Roman" w:cs="Times New Roman"/>
          <w:b/>
        </w:rPr>
      </w:pPr>
    </w:p>
    <w:p w14:paraId="6FC3AC10" w14:textId="40ACC9AA" w:rsidR="00A00152" w:rsidRDefault="00A00152" w:rsidP="00141231">
      <w:pPr>
        <w:widowControl w:val="0"/>
        <w:autoSpaceDE w:val="0"/>
        <w:autoSpaceDN w:val="0"/>
        <w:adjustRightInd w:val="0"/>
        <w:spacing w:line="360" w:lineRule="auto"/>
        <w:rPr>
          <w:rFonts w:ascii="Times New Roman" w:hAnsi="Times New Roman" w:cs="Times New Roman"/>
          <w:b/>
        </w:rPr>
      </w:pPr>
    </w:p>
    <w:p w14:paraId="3FC14F4E" w14:textId="760C474A" w:rsidR="00A00152" w:rsidRDefault="00A00152" w:rsidP="00141231">
      <w:pPr>
        <w:widowControl w:val="0"/>
        <w:autoSpaceDE w:val="0"/>
        <w:autoSpaceDN w:val="0"/>
        <w:adjustRightInd w:val="0"/>
        <w:spacing w:line="360" w:lineRule="auto"/>
        <w:rPr>
          <w:rFonts w:ascii="Times New Roman" w:hAnsi="Times New Roman" w:cs="Times New Roman"/>
          <w:b/>
        </w:rPr>
      </w:pPr>
    </w:p>
    <w:p w14:paraId="5017C78F" w14:textId="3B4FA585" w:rsidR="00A00152" w:rsidRDefault="00A00152" w:rsidP="00141231">
      <w:pPr>
        <w:widowControl w:val="0"/>
        <w:autoSpaceDE w:val="0"/>
        <w:autoSpaceDN w:val="0"/>
        <w:adjustRightInd w:val="0"/>
        <w:spacing w:line="360" w:lineRule="auto"/>
        <w:rPr>
          <w:rFonts w:ascii="Times New Roman" w:hAnsi="Times New Roman" w:cs="Times New Roman"/>
          <w:b/>
        </w:rPr>
      </w:pPr>
    </w:p>
    <w:p w14:paraId="798DC0B8" w14:textId="4E275824" w:rsidR="00A00152" w:rsidRDefault="00A00152" w:rsidP="00141231">
      <w:pPr>
        <w:widowControl w:val="0"/>
        <w:autoSpaceDE w:val="0"/>
        <w:autoSpaceDN w:val="0"/>
        <w:adjustRightInd w:val="0"/>
        <w:spacing w:line="360" w:lineRule="auto"/>
        <w:rPr>
          <w:rFonts w:ascii="Times New Roman" w:hAnsi="Times New Roman" w:cs="Times New Roman"/>
          <w:b/>
        </w:rPr>
      </w:pPr>
    </w:p>
    <w:p w14:paraId="566D3C50" w14:textId="37AF9DBB" w:rsidR="00A00152" w:rsidRDefault="00A00152" w:rsidP="00141231">
      <w:pPr>
        <w:widowControl w:val="0"/>
        <w:autoSpaceDE w:val="0"/>
        <w:autoSpaceDN w:val="0"/>
        <w:adjustRightInd w:val="0"/>
        <w:spacing w:line="360" w:lineRule="auto"/>
        <w:rPr>
          <w:rFonts w:ascii="Times New Roman" w:hAnsi="Times New Roman" w:cs="Times New Roman"/>
          <w:b/>
        </w:rPr>
      </w:pPr>
    </w:p>
    <w:p w14:paraId="6742F283" w14:textId="0E5E74CB" w:rsidR="00A00152" w:rsidRDefault="00A00152" w:rsidP="00141231">
      <w:pPr>
        <w:widowControl w:val="0"/>
        <w:autoSpaceDE w:val="0"/>
        <w:autoSpaceDN w:val="0"/>
        <w:adjustRightInd w:val="0"/>
        <w:spacing w:line="360" w:lineRule="auto"/>
        <w:rPr>
          <w:rFonts w:ascii="Times New Roman" w:hAnsi="Times New Roman" w:cs="Times New Roman"/>
          <w:b/>
        </w:rPr>
      </w:pPr>
    </w:p>
    <w:p w14:paraId="58B3441F" w14:textId="704931D3" w:rsidR="00A00152" w:rsidRDefault="00A00152" w:rsidP="00141231">
      <w:pPr>
        <w:widowControl w:val="0"/>
        <w:autoSpaceDE w:val="0"/>
        <w:autoSpaceDN w:val="0"/>
        <w:adjustRightInd w:val="0"/>
        <w:spacing w:line="360" w:lineRule="auto"/>
        <w:rPr>
          <w:rFonts w:ascii="Times New Roman" w:hAnsi="Times New Roman" w:cs="Times New Roman"/>
          <w:b/>
        </w:rPr>
      </w:pPr>
    </w:p>
    <w:p w14:paraId="43096051" w14:textId="59C0D638" w:rsidR="00A00152" w:rsidRDefault="00A00152" w:rsidP="00141231">
      <w:pPr>
        <w:widowControl w:val="0"/>
        <w:autoSpaceDE w:val="0"/>
        <w:autoSpaceDN w:val="0"/>
        <w:adjustRightInd w:val="0"/>
        <w:spacing w:line="360" w:lineRule="auto"/>
        <w:rPr>
          <w:rFonts w:ascii="Times New Roman" w:hAnsi="Times New Roman" w:cs="Times New Roman"/>
          <w:b/>
        </w:rPr>
      </w:pPr>
    </w:p>
    <w:p w14:paraId="55E71788" w14:textId="1D7E998B" w:rsidR="00A00152" w:rsidRDefault="00A00152" w:rsidP="00141231">
      <w:pPr>
        <w:widowControl w:val="0"/>
        <w:autoSpaceDE w:val="0"/>
        <w:autoSpaceDN w:val="0"/>
        <w:adjustRightInd w:val="0"/>
        <w:spacing w:line="360" w:lineRule="auto"/>
        <w:rPr>
          <w:rFonts w:ascii="Times New Roman" w:hAnsi="Times New Roman" w:cs="Times New Roman"/>
          <w:b/>
        </w:rPr>
      </w:pPr>
    </w:p>
    <w:p w14:paraId="1CD53ADF" w14:textId="3B403A87" w:rsidR="00A00152" w:rsidRDefault="00A00152" w:rsidP="00141231">
      <w:pPr>
        <w:widowControl w:val="0"/>
        <w:autoSpaceDE w:val="0"/>
        <w:autoSpaceDN w:val="0"/>
        <w:adjustRightInd w:val="0"/>
        <w:spacing w:line="360" w:lineRule="auto"/>
        <w:rPr>
          <w:rFonts w:ascii="Times New Roman" w:hAnsi="Times New Roman" w:cs="Times New Roman"/>
          <w:b/>
        </w:rPr>
      </w:pPr>
    </w:p>
    <w:p w14:paraId="2A122BC1" w14:textId="1625555F" w:rsidR="00A00152" w:rsidRDefault="00A00152" w:rsidP="00141231">
      <w:pPr>
        <w:widowControl w:val="0"/>
        <w:autoSpaceDE w:val="0"/>
        <w:autoSpaceDN w:val="0"/>
        <w:adjustRightInd w:val="0"/>
        <w:spacing w:line="360" w:lineRule="auto"/>
        <w:rPr>
          <w:rFonts w:ascii="Times New Roman" w:hAnsi="Times New Roman" w:cs="Times New Roman"/>
          <w:b/>
        </w:rPr>
      </w:pPr>
    </w:p>
    <w:p w14:paraId="3148D137" w14:textId="518EEB31" w:rsidR="00A00152" w:rsidRDefault="00A00152" w:rsidP="00141231">
      <w:pPr>
        <w:widowControl w:val="0"/>
        <w:autoSpaceDE w:val="0"/>
        <w:autoSpaceDN w:val="0"/>
        <w:adjustRightInd w:val="0"/>
        <w:spacing w:line="360" w:lineRule="auto"/>
        <w:rPr>
          <w:rFonts w:ascii="Times New Roman" w:hAnsi="Times New Roman" w:cs="Times New Roman"/>
          <w:b/>
        </w:rPr>
      </w:pPr>
    </w:p>
    <w:p w14:paraId="72E1AA30" w14:textId="564AE926" w:rsidR="00A00152" w:rsidRDefault="00A00152" w:rsidP="00141231">
      <w:pPr>
        <w:widowControl w:val="0"/>
        <w:autoSpaceDE w:val="0"/>
        <w:autoSpaceDN w:val="0"/>
        <w:adjustRightInd w:val="0"/>
        <w:spacing w:line="360" w:lineRule="auto"/>
        <w:rPr>
          <w:rFonts w:ascii="Times New Roman" w:hAnsi="Times New Roman" w:cs="Times New Roman"/>
          <w:b/>
        </w:rPr>
      </w:pPr>
    </w:p>
    <w:p w14:paraId="12DF3E6F" w14:textId="196AE3D2" w:rsidR="00A00152" w:rsidRDefault="00A00152" w:rsidP="00141231">
      <w:pPr>
        <w:widowControl w:val="0"/>
        <w:autoSpaceDE w:val="0"/>
        <w:autoSpaceDN w:val="0"/>
        <w:adjustRightInd w:val="0"/>
        <w:spacing w:line="360" w:lineRule="auto"/>
        <w:rPr>
          <w:rFonts w:ascii="Times New Roman" w:hAnsi="Times New Roman" w:cs="Times New Roman"/>
          <w:b/>
        </w:rPr>
      </w:pPr>
    </w:p>
    <w:p w14:paraId="34B2AB4F" w14:textId="4562BC22" w:rsidR="00A00152" w:rsidRDefault="00A00152" w:rsidP="00141231">
      <w:pPr>
        <w:widowControl w:val="0"/>
        <w:autoSpaceDE w:val="0"/>
        <w:autoSpaceDN w:val="0"/>
        <w:adjustRightInd w:val="0"/>
        <w:spacing w:line="360" w:lineRule="auto"/>
        <w:rPr>
          <w:rFonts w:ascii="Times New Roman" w:hAnsi="Times New Roman" w:cs="Times New Roman"/>
          <w:b/>
        </w:rPr>
      </w:pPr>
    </w:p>
    <w:p w14:paraId="77D8344C" w14:textId="3C5B408B" w:rsidR="00A00152" w:rsidRDefault="00A00152" w:rsidP="00141231">
      <w:pPr>
        <w:widowControl w:val="0"/>
        <w:autoSpaceDE w:val="0"/>
        <w:autoSpaceDN w:val="0"/>
        <w:adjustRightInd w:val="0"/>
        <w:spacing w:line="360" w:lineRule="auto"/>
        <w:rPr>
          <w:rFonts w:ascii="Times New Roman" w:hAnsi="Times New Roman" w:cs="Times New Roman"/>
          <w:b/>
        </w:rPr>
      </w:pPr>
    </w:p>
    <w:p w14:paraId="13C7F4EF" w14:textId="790C1F88" w:rsidR="00A00152" w:rsidRDefault="00A00152" w:rsidP="00141231">
      <w:pPr>
        <w:widowControl w:val="0"/>
        <w:autoSpaceDE w:val="0"/>
        <w:autoSpaceDN w:val="0"/>
        <w:adjustRightInd w:val="0"/>
        <w:spacing w:line="360" w:lineRule="auto"/>
        <w:rPr>
          <w:rFonts w:ascii="Times New Roman" w:hAnsi="Times New Roman" w:cs="Times New Roman"/>
          <w:b/>
        </w:rPr>
      </w:pPr>
    </w:p>
    <w:p w14:paraId="612292C6" w14:textId="0665A534" w:rsidR="00A00152" w:rsidRDefault="00A00152" w:rsidP="00141231">
      <w:pPr>
        <w:widowControl w:val="0"/>
        <w:autoSpaceDE w:val="0"/>
        <w:autoSpaceDN w:val="0"/>
        <w:adjustRightInd w:val="0"/>
        <w:spacing w:line="360" w:lineRule="auto"/>
        <w:rPr>
          <w:rFonts w:ascii="Times New Roman" w:hAnsi="Times New Roman" w:cs="Times New Roman"/>
          <w:b/>
        </w:rPr>
      </w:pPr>
    </w:p>
    <w:p w14:paraId="047F6541" w14:textId="265C2C48" w:rsidR="00A00152" w:rsidRDefault="00A00152" w:rsidP="00141231">
      <w:pPr>
        <w:widowControl w:val="0"/>
        <w:autoSpaceDE w:val="0"/>
        <w:autoSpaceDN w:val="0"/>
        <w:adjustRightInd w:val="0"/>
        <w:spacing w:line="360" w:lineRule="auto"/>
        <w:rPr>
          <w:rFonts w:ascii="Times New Roman" w:hAnsi="Times New Roman" w:cs="Times New Roman"/>
          <w:b/>
        </w:rPr>
      </w:pPr>
    </w:p>
    <w:p w14:paraId="391B8C71" w14:textId="70E78D0F" w:rsidR="00A00152" w:rsidRDefault="00A00152" w:rsidP="00141231">
      <w:pPr>
        <w:widowControl w:val="0"/>
        <w:autoSpaceDE w:val="0"/>
        <w:autoSpaceDN w:val="0"/>
        <w:adjustRightInd w:val="0"/>
        <w:spacing w:line="360" w:lineRule="auto"/>
        <w:rPr>
          <w:rFonts w:ascii="Times New Roman" w:hAnsi="Times New Roman" w:cs="Times New Roman"/>
          <w:b/>
        </w:rPr>
      </w:pPr>
    </w:p>
    <w:p w14:paraId="7E1B799F" w14:textId="77777777" w:rsidR="00A00152" w:rsidRDefault="00A00152" w:rsidP="00141231">
      <w:pPr>
        <w:widowControl w:val="0"/>
        <w:autoSpaceDE w:val="0"/>
        <w:autoSpaceDN w:val="0"/>
        <w:adjustRightInd w:val="0"/>
        <w:spacing w:line="360" w:lineRule="auto"/>
        <w:rPr>
          <w:rFonts w:ascii="Times New Roman" w:hAnsi="Times New Roman" w:cs="Times New Roman"/>
          <w:b/>
        </w:rPr>
      </w:pPr>
    </w:p>
    <w:p w14:paraId="40F5CD17" w14:textId="77777777" w:rsidR="000E3CB6" w:rsidRDefault="000E3CB6" w:rsidP="00141231">
      <w:pPr>
        <w:widowControl w:val="0"/>
        <w:autoSpaceDE w:val="0"/>
        <w:autoSpaceDN w:val="0"/>
        <w:adjustRightInd w:val="0"/>
        <w:spacing w:line="360" w:lineRule="auto"/>
        <w:rPr>
          <w:rFonts w:ascii="Times New Roman" w:hAnsi="Times New Roman" w:cs="Times New Roman"/>
          <w:b/>
        </w:rPr>
      </w:pPr>
    </w:p>
    <w:p w14:paraId="0E934C85" w14:textId="77777777" w:rsidR="003B16AA" w:rsidRDefault="003B16AA" w:rsidP="00141231">
      <w:pPr>
        <w:widowControl w:val="0"/>
        <w:autoSpaceDE w:val="0"/>
        <w:autoSpaceDN w:val="0"/>
        <w:adjustRightInd w:val="0"/>
        <w:spacing w:line="360" w:lineRule="auto"/>
        <w:rPr>
          <w:rFonts w:ascii="Times New Roman" w:hAnsi="Times New Roman" w:cs="Times New Roman"/>
          <w:b/>
        </w:rPr>
      </w:pPr>
    </w:p>
    <w:p w14:paraId="3620DEB7" w14:textId="77777777" w:rsidR="003B16AA" w:rsidRDefault="003B16AA" w:rsidP="00141231">
      <w:pPr>
        <w:widowControl w:val="0"/>
        <w:autoSpaceDE w:val="0"/>
        <w:autoSpaceDN w:val="0"/>
        <w:adjustRightInd w:val="0"/>
        <w:spacing w:line="360" w:lineRule="auto"/>
        <w:rPr>
          <w:rFonts w:ascii="Times New Roman" w:hAnsi="Times New Roman" w:cs="Times New Roman"/>
          <w:b/>
        </w:rPr>
      </w:pPr>
    </w:p>
    <w:p w14:paraId="58E136D0" w14:textId="77777777" w:rsidR="003B16AA" w:rsidRDefault="003B16AA" w:rsidP="00141231">
      <w:pPr>
        <w:widowControl w:val="0"/>
        <w:autoSpaceDE w:val="0"/>
        <w:autoSpaceDN w:val="0"/>
        <w:adjustRightInd w:val="0"/>
        <w:spacing w:line="360" w:lineRule="auto"/>
        <w:rPr>
          <w:rFonts w:ascii="Times New Roman" w:hAnsi="Times New Roman" w:cs="Times New Roman"/>
          <w:b/>
        </w:rPr>
      </w:pPr>
    </w:p>
    <w:p w14:paraId="5D217A37" w14:textId="77777777" w:rsidR="003B16AA" w:rsidRDefault="003B16AA" w:rsidP="00141231">
      <w:pPr>
        <w:widowControl w:val="0"/>
        <w:autoSpaceDE w:val="0"/>
        <w:autoSpaceDN w:val="0"/>
        <w:adjustRightInd w:val="0"/>
        <w:spacing w:line="360" w:lineRule="auto"/>
        <w:rPr>
          <w:rFonts w:ascii="Times New Roman" w:hAnsi="Times New Roman" w:cs="Times New Roman"/>
          <w:b/>
        </w:rPr>
      </w:pPr>
    </w:p>
    <w:p w14:paraId="709A4373" w14:textId="77777777" w:rsidR="003B16AA" w:rsidRDefault="003B16AA" w:rsidP="00141231">
      <w:pPr>
        <w:widowControl w:val="0"/>
        <w:autoSpaceDE w:val="0"/>
        <w:autoSpaceDN w:val="0"/>
        <w:adjustRightInd w:val="0"/>
        <w:spacing w:line="360" w:lineRule="auto"/>
        <w:rPr>
          <w:rFonts w:ascii="Times New Roman" w:hAnsi="Times New Roman" w:cs="Times New Roman"/>
          <w:b/>
        </w:rPr>
      </w:pPr>
    </w:p>
    <w:p w14:paraId="383B3EE6" w14:textId="77777777" w:rsidR="003B16AA" w:rsidRDefault="003B16AA" w:rsidP="00141231">
      <w:pPr>
        <w:widowControl w:val="0"/>
        <w:autoSpaceDE w:val="0"/>
        <w:autoSpaceDN w:val="0"/>
        <w:adjustRightInd w:val="0"/>
        <w:spacing w:line="360" w:lineRule="auto"/>
        <w:rPr>
          <w:rFonts w:ascii="Times New Roman" w:hAnsi="Times New Roman" w:cs="Times New Roman"/>
          <w:b/>
        </w:rPr>
      </w:pPr>
    </w:p>
    <w:p w14:paraId="613A65E3" w14:textId="691A7D06" w:rsidR="005F1251" w:rsidRPr="005F1251" w:rsidRDefault="005F1251" w:rsidP="00141231">
      <w:pPr>
        <w:widowControl w:val="0"/>
        <w:autoSpaceDE w:val="0"/>
        <w:autoSpaceDN w:val="0"/>
        <w:adjustRightInd w:val="0"/>
        <w:spacing w:line="360" w:lineRule="auto"/>
        <w:rPr>
          <w:rFonts w:ascii="Times New Roman" w:hAnsi="Times New Roman" w:cs="Times New Roman"/>
          <w:b/>
        </w:rPr>
      </w:pPr>
      <w:r>
        <w:rPr>
          <w:rFonts w:ascii="Times New Roman" w:hAnsi="Times New Roman" w:cs="Times New Roman"/>
          <w:b/>
        </w:rPr>
        <w:t>References</w:t>
      </w:r>
    </w:p>
    <w:p w14:paraId="6607FE6B" w14:textId="404614DA" w:rsidR="00CD0532" w:rsidRPr="00CD0532" w:rsidRDefault="005C76D1" w:rsidP="00141231">
      <w:pPr>
        <w:widowControl w:val="0"/>
        <w:autoSpaceDE w:val="0"/>
        <w:autoSpaceDN w:val="0"/>
        <w:adjustRightInd w:val="0"/>
        <w:spacing w:line="360" w:lineRule="auto"/>
        <w:ind w:left="480" w:hanging="480"/>
        <w:rPr>
          <w:rFonts w:ascii="Times New Roman" w:hAnsi="Times New Roman" w:cs="Times New Roman"/>
          <w:noProof/>
          <w:lang w:val="en-US"/>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CD0532" w:rsidRPr="00CD0532">
        <w:rPr>
          <w:rFonts w:ascii="Times New Roman" w:hAnsi="Times New Roman" w:cs="Times New Roman"/>
          <w:noProof/>
          <w:lang w:val="en-US"/>
        </w:rPr>
        <w:t>Ambos, T., Mäkelä, K., Birkinshaw, J., D’Este, P., 2008. When Does University Research Get Commercialized? Creating Ambidexterity in Research Institutions. J. Manag. Stud. 45, 1424–1447. doi:10.1111/j.1467-6486.2008.00804.x</w:t>
      </w:r>
    </w:p>
    <w:p w14:paraId="5BB849E7"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Anderson, J., Gerbing, D., 1988. Structural Equation Modeling in Practice: A Review and Recommended Two-Step Approach. Psychol. Bull. 103, 411–423. doi:10.1037/0033-2909.103.3.411</w:t>
      </w:r>
    </w:p>
    <w:p w14:paraId="47F8067F"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Anderson, T.R., Daim, T.U., Lavoie, F.F., 2007. Measuring the efficiency of university technology transfer. Technovation 27, 306–318. doi:10.1016/j.technovation.2006.10.003</w:t>
      </w:r>
    </w:p>
    <w:p w14:paraId="111E1F57"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Arend, R.J., Zhao, Y.., Song, M., Im, S., 2017. Strategic Planning as a Complex and Enabling Managerial Tool. Strateg. Manag. J. 38, 1741–1752. doi:10.1002/smj</w:t>
      </w:r>
    </w:p>
    <w:p w14:paraId="4BA500F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Arqué-Castells, P., Cartaxo, R.M., García-Quevedo, J., Godinho, M.M., 2016. Royalty sharing, effort and invention in universities: Evidence from Portugal and Spain. Res. Policy 45, 1858–1872. doi:10.1016/j.respol.2016.06.006</w:t>
      </w:r>
    </w:p>
    <w:p w14:paraId="142375C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Association of American Universities, 2015. Statement to the AAU Membership on University Technology Transfer and Managing Intellectual Property in the Public Interest.</w:t>
      </w:r>
    </w:p>
    <w:p w14:paraId="2F69150D"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Bagozzi, R.P., Yi, Y., 2012. Specification, evaluation, and interpretation of structural equation models. J. Acad. Mark. Sci. 40, 8–34. doi:10.1007/s11747-011-0278-x</w:t>
      </w:r>
    </w:p>
    <w:p w14:paraId="6D59667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Baron, R., Kenny, D., 1986. The moderator-mediator variable distinction in social psychological research. J. Pers. Soc. Psychol. 51, 1173–1182. doi:10.1037/0022-3514.51.6.1173</w:t>
      </w:r>
    </w:p>
    <w:p w14:paraId="19BBEB4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Belenzon, S., Schankerman, M., 2009. University Knowledge Transfer: Private Ownership, Incentives, and Local Development Objectives. J. Law Econ. 52, 111–144. doi:10.1086/595763</w:t>
      </w:r>
    </w:p>
    <w:p w14:paraId="593D976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 xml:space="preserve">Berbegal-Mirabent, J., Sánchez García, J.L., Ribeiro-Soriano, D.E., 2015. University-industry </w:t>
      </w:r>
      <w:r w:rsidRPr="00CD0532">
        <w:rPr>
          <w:rFonts w:ascii="Times New Roman" w:hAnsi="Times New Roman" w:cs="Times New Roman"/>
          <w:noProof/>
          <w:lang w:val="en-US"/>
        </w:rPr>
        <w:lastRenderedPageBreak/>
        <w:t>partnerships for the provision of R&amp;D services. J. Bus. Res. 68, 1407–1413. doi:10.1016/j.jbusres.2015.01.023</w:t>
      </w:r>
    </w:p>
    <w:p w14:paraId="2AE5FC0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Bozeman, B., 2000. Technology transfer and public policy: a review of research and theory. Res. Policy 29, 627–655. doi:10.1016/S0048-7333(99)00093-1</w:t>
      </w:r>
    </w:p>
    <w:p w14:paraId="54022F18"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Bozeman, B., Rimes, H., Youtie, J., 2015. The evolving state-of-the-art in technology transfer research: Revisiting the contingent effectiveness model. Res. Policy 44, 34–49. doi:10.1016/j.respol.2014.06.008</w:t>
      </w:r>
    </w:p>
    <w:p w14:paraId="72D59F68"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Brews, P., Hunt, J., 1999. Learning to plan and planning to learn: Strateg. Manag. J. 913, 889–913. doi:10.1080/13540602.2011.580516</w:t>
      </w:r>
    </w:p>
    <w:p w14:paraId="08514402"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Bryman, A., 2007. Effective leadership in higher education: A literature review. Stud. High. Educ. 32, 693–710. doi:10.1080/03075070701685114</w:t>
      </w:r>
    </w:p>
    <w:p w14:paraId="30AAB182"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Burnes, B., Wend, P., By, R.T., 2014. The changing face of English universities: reinventing collegiality for the twenty-first century. Stud. High. Educ. 39, 905–926. doi:10.1080/03075079.2012.754858</w:t>
      </w:r>
    </w:p>
    <w:p w14:paraId="1F688538"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Caldera, A., Debande, O., 2010a. Performance of Spanish universities in technology transfer: An empirical analysis. Res. Policy 39, 1160–1173. doi:10.1016/j.respol.2010.05.016</w:t>
      </w:r>
    </w:p>
    <w:p w14:paraId="07CB89A4"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Caldera, A., Debande, O., 2010b. Performance of Spanish universities in technology transfer: An empirical analysis. Res. Policy 39, 1160–1173. doi:10.1016/j.respol.2010.05.016</w:t>
      </w:r>
    </w:p>
    <w:p w14:paraId="266C195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Chapple, W., Lockett, A., Siegel, D., Wright, M., 2005. Assessing the relative performance of U.K. university technology transfer offices: Parametric and non-parametric evidence. Res. Policy 34, 369–384. doi:10.1016/j.respol.2005.01.007</w:t>
      </w:r>
    </w:p>
    <w:p w14:paraId="1C140FDF"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Child, J., 1997. Strategic Choice in the Analysis of Action, Structure, Organizations and Environment: Retrospect and Prospect. Organ. Stud. 18, 43–76. doi:10.1177/017084069701800104</w:t>
      </w:r>
    </w:p>
    <w:p w14:paraId="48B19083"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Child, J., 1972. Organizational Structure, Environment and Performance: The Role of Strategic Choice. Sociology 6, 1–22.</w:t>
      </w:r>
    </w:p>
    <w:p w14:paraId="5F01DBC3"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D’Este, P., Perkmann, M., 2011. Why do academics engage with industry? The entrepreneurial university and individual motivations. J. Technol. Transf. 36, 316–339. doi:10.1007/s10961-010-9153-z</w:t>
      </w:r>
    </w:p>
    <w:p w14:paraId="6558B07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De Rond, M., Thietart, R.-A., 2007. Choice, Chance and Inevitability in Strategy. Strateg. Manag. J. 28, 535–551. doi:10.1002/smj</w:t>
      </w:r>
    </w:p>
    <w:p w14:paraId="1675A869"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Dearlove, J., 1995. Collegiality, managerialism and leadership in English universities. Tert. Educ. Manag. 1, 161–169. doi:10.1007/BF02354082</w:t>
      </w:r>
    </w:p>
    <w:p w14:paraId="3ACA70F4"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 xml:space="preserve">Debackere, K., Veugelers, R., 2005. The role of academic technology transfer organizations </w:t>
      </w:r>
      <w:r w:rsidRPr="00CD0532">
        <w:rPr>
          <w:rFonts w:ascii="Times New Roman" w:hAnsi="Times New Roman" w:cs="Times New Roman"/>
          <w:noProof/>
          <w:lang w:val="en-US"/>
        </w:rPr>
        <w:lastRenderedPageBreak/>
        <w:t>in improving industry science links. Res. Policy 34, 321–342. doi:10.1016/j.respol.2004.12.003</w:t>
      </w:r>
    </w:p>
    <w:p w14:paraId="035C0BF3"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Donaldson, L., Luo, B.N., 2014. The Aston Programme Contribution to Organizational Research: A Literature Review. Int. J. Manag. Rev. 16, 84–104. doi:10.1111/ijmr.12010</w:t>
      </w:r>
    </w:p>
    <w:p w14:paraId="7D430B7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Edwards, J.R., Lambert, L.S., 2007. Methods for integrating moderation and mediation: A general analytical framework using moderated path analysis. Psychol. Methods 12, 1–22. doi:10.1037/1082-989X.12.1.1</w:t>
      </w:r>
    </w:p>
    <w:p w14:paraId="101AE7AA"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Etzkowitz, H., 2003. Innovation in Innovation: The Triple Helix of university-industry-government relations. Soc. Sci. Inf. 42, 293–337. doi:10.1023/A:1026276308287</w:t>
      </w:r>
    </w:p>
    <w:p w14:paraId="733610BD"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Fornell, C., Larcker, D., 1981. Evaluating structural equation models with unobservable variables and measurement error. J. Mark. Res. 18, 39–50. doi:10.2307/3151312</w:t>
      </w:r>
    </w:p>
    <w:p w14:paraId="7C2D146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Friedman, J., Silberman, J., 2003. University Technology Transfer: Do Incentives, Management, and Location Matter? J. Technol. Transf. 28, 17–30. doi:10.1023/A:1021674618658</w:t>
      </w:r>
    </w:p>
    <w:p w14:paraId="6874831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Göktepe-Hulten, D., Mahagaonkar, P., 2010. Inventing and patenting activities of scientists: In the expectation of money or reputation? J. Technol. Transf. 35, 401–423. doi:10.1007/s10961-009-9126-2</w:t>
      </w:r>
    </w:p>
    <w:p w14:paraId="58D5004F"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Grimaldi, R., Kenney, M., Siegel, D., Wright, M., 2011. 30 years after Bayh-Dole: Reassessing academic entrepreneurship. Res. Policy 40, 1045–1057. doi:10.1016/j.respol.2011.04.005</w:t>
      </w:r>
    </w:p>
    <w:p w14:paraId="7E79CE6E"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Hambrick, D.C., 2007. Upper Echelons Theory: An Update. Acad. Manag. Rev. 32, 334–343. doi:10.5465/AMR.2007.24345254</w:t>
      </w:r>
    </w:p>
    <w:p w14:paraId="21F15C35"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Hayes, A.., 2013. Methodology in the Social Sciences. Introduction to mediation, moderation and conditional process analysis: A regression-based approach. Guildford Press, New York: USA.</w:t>
      </w:r>
    </w:p>
    <w:p w14:paraId="436B15AD"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HEFCE, 2016. University Knowledge Exchange ( KE ) Framework : good practice in technology transfer Report to the UK higher education sector and HEFCE by the McMillan group.</w:t>
      </w:r>
    </w:p>
    <w:p w14:paraId="7E2B5F1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Heisey, P.W., Adelman, Æ.S.W., 2011. and university licensing revenue 38–60. doi:10.1007/s10961-009-9129-z</w:t>
      </w:r>
    </w:p>
    <w:p w14:paraId="60EB0B7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Hewitt-Dundas, N., 2012. Research intensity and knowledge transfer activity in UK universities. Res. Policy 41, 262–275. doi:10.1016/j.respol.2011.10.010</w:t>
      </w:r>
    </w:p>
    <w:p w14:paraId="342454B6" w14:textId="7FD16DDF" w:rsid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 xml:space="preserve">Hewitt-Dundas, N., Roper, S., 2018. Innovation in UK higher education: A panel data analysis of undergraduate degree programmes. Res. Policy 47, 121–138. </w:t>
      </w:r>
      <w:r w:rsidRPr="00CD0532">
        <w:rPr>
          <w:rFonts w:ascii="Times New Roman" w:hAnsi="Times New Roman" w:cs="Times New Roman"/>
          <w:noProof/>
          <w:lang w:val="en-US"/>
        </w:rPr>
        <w:lastRenderedPageBreak/>
        <w:t>doi:10.1016/j.respol.2017.10.003</w:t>
      </w:r>
    </w:p>
    <w:p w14:paraId="20710664" w14:textId="74B075E2"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Pr>
          <w:rFonts w:ascii="Times New Roman" w:eastAsia="Times New Roman" w:hAnsi="Times New Roman" w:cs="Times New Roman"/>
          <w:noProof/>
        </w:rPr>
        <w:t>Hu, L., Bentler, P., 1999. Cutoff criteria for fit indices in covariance structural analysis: conventional criteria versus new alternatives. Structural Equation Modelling. 6, 1-55</w:t>
      </w:r>
    </w:p>
    <w:p w14:paraId="70D29A9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Jarratt, A., 1985. Steering Committee for Efficiency Studies in Universities.</w:t>
      </w:r>
    </w:p>
    <w:p w14:paraId="5A816FD7"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Kelloway, E., 1995. Structural equation modelling in perspective. J. Organ. Behav. 16, 215–224. doi:10.1002/job.4030160304</w:t>
      </w:r>
    </w:p>
    <w:p w14:paraId="32AC74F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Kline, R.B., 2016. Principles and Practice of Structural Equation Modelling. The Guildford Press, London.</w:t>
      </w:r>
    </w:p>
    <w:p w14:paraId="1D108DEA"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Lach, S., Schankerman, M., 2008. Incentives and invention in universities. RAND J. Econ. 39, 403–433. doi:10.1111/j.0741-6261.2008.00020.x</w:t>
      </w:r>
    </w:p>
    <w:p w14:paraId="1F20FD7C"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Lach, S., Schankerman, M., 2004. Royalty sharing and technology licensing in universities. J. Eur. Econ. Assoc. 2, 252–264. doi:10.1162/154247604323067961</w:t>
      </w:r>
    </w:p>
    <w:p w14:paraId="4FA94FB8"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Lam, A., 2011. What motivates academic scientists to engage in research commercialization: “Gold”, “ribbon” or “puzzle”? Res. Policy 40, 1354–1368. doi:10.1016/j.respol.2011.09.002</w:t>
      </w:r>
    </w:p>
    <w:p w14:paraId="2D641F3C"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Link, A.N., Siegel, D., 2005. University-based technology initiatives: Quantitative and qualitative evidence. Res. Policy 34, 253–257. doi:10.1016/j.respol.2005.01.005</w:t>
      </w:r>
    </w:p>
    <w:p w14:paraId="750F0F05"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Lockett, A., Wright, M., Wild, A., 2015. The institutionalization of third stream activities in UK higher education: The role of discourse and metrics. Br. J. Manag. 26, 78–92. doi:10.1111/1467-8551.12069</w:t>
      </w:r>
    </w:p>
    <w:p w14:paraId="5DC024EE"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Macho-Stadler, I., Pérez-Castrillo, D., Veugelers, R., 2007. Licensing of university inventions: The role of a technology transfer office. Int. J. Ind. Organ. 25, 483–510. doi:10.1016/j.ijindorg.2006.06.001</w:t>
      </w:r>
    </w:p>
    <w:p w14:paraId="2F55B0E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Marginson, S., 2007. The new higher education landscape: Public and private goods, in global/ national/local settings, in: Marginson, S. (Ed.), Prospects of Higher Educations. Globalization, Market Competition, Public Goods and the Future of the University. Sense, Rotterdam, pp. 29–77.</w:t>
      </w:r>
    </w:p>
    <w:p w14:paraId="056F693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Markman, G.D., Gianiodis, P.T., Phan, P.H., Balkin, D.B., 2004. Entrepreneurship from the Ivory Tower: Do Incentive Systems Matter? J. Technol. Transf. 29, 353–364. doi:10.1023/B:JOTT.0000034127.01889.86</w:t>
      </w:r>
    </w:p>
    <w:p w14:paraId="1E24A679"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Merrill, S.A., Mazza, A., 2010. Managing University Intellectual Property in the Public Interest. National Research Council. doi:10.17226/13001</w:t>
      </w:r>
    </w:p>
    <w:p w14:paraId="7F131F9C"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Mintzberg, H., 1994. Rethinking strategic planning part I: Pitfalls and fallacies. Long Range Plann. 27, 12–21. doi:10.1016/0024-6301(94)90185-6</w:t>
      </w:r>
    </w:p>
    <w:p w14:paraId="1BB09198"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lastRenderedPageBreak/>
        <w:t>Muller, D., Judd, C.M., Yzerbyt, V.Y., 2005. When moderation is mediated and mediation is moderated. J. Pers. Soc. Psychol. 89, 852–863. doi:10.1037/0022-3514.89.6.852</w:t>
      </w:r>
    </w:p>
    <w:p w14:paraId="5FCE39AD"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Nunally, J.., 1978. Psychometric Theory, 2nd ed. McGraw-Hill, New York: USA.</w:t>
      </w:r>
    </w:p>
    <w:p w14:paraId="05878A4D"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Ocasio, W., 2011. Attention to Attention. Organ. Sci. 22, 1286–1296. doi:10.1287/orsc.1100.0602</w:t>
      </w:r>
    </w:p>
    <w:p w14:paraId="3BD16764"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Perkmann, M., King, Z., Pavelin, S., 2011. Engaging excellence? Effects of faculty quality on university engagement with industry. Res. Policy 40, 539–552. doi:10.1016/j.respol.2011.01.007</w:t>
      </w:r>
    </w:p>
    <w:p w14:paraId="6B7842BD"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Perkmann, M., Tartari, V., McKelvey, M., Autio, E., Broström, A., D’Este, P., Fini, R., Geuna, A., Grimaldi, R., Hughes, A., Krabel, S., Kitson, M., Llerena, P., Lissoni, F., Salter, A., Sobrero, M., 2013. Academic engagement and commercialisation: A review of the literature on university-industry relations. Res. Policy 42, 423–442. doi:10.1016/j.respol.2012.09.007</w:t>
      </w:r>
    </w:p>
    <w:p w14:paraId="7FA53D93"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Pounder, J.S., 2001. “New leadership” and university organisational effectiveness : exploring the relationship. Leadersh. Organ. Dev. J. 22, 281–290.</w:t>
      </w:r>
    </w:p>
    <w:p w14:paraId="0138266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Powers, J.., 2003. Commercializing Academic Research Results . J. Higher Educ. 74, 1–24.</w:t>
      </w:r>
    </w:p>
    <w:p w14:paraId="62268DA4"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Preacher, K.., Hayes, A.., 2008. Asymptotic and resampling strategies for assessing and comparing indirect effects in multilpe indicator models. Behav. Res. Methods 40, 879–891.</w:t>
      </w:r>
    </w:p>
    <w:p w14:paraId="7C14C45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Preacher, K.., Hayes, A.., 2004. SPSS and SAS procedures for estimating indirect effects in simple mediation models. Bahaviour Res. Methods, Instruments Comput. 36, 717–731. doi:10.3758/BF03206553</w:t>
      </w:r>
    </w:p>
    <w:p w14:paraId="43BC2068"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Rossi, F., Rosli, A., 2014. Indicators of university???industry knowledge transfer performance and their implications for universities: Evidence from the United Kingdom. Stud. High. Educ. 40, 1970–1991. doi:10.1080/03075079.2014.914914</w:t>
      </w:r>
    </w:p>
    <w:p w14:paraId="23340CA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Rothaermel, F.T., Agung, S.D., Jiang, L., 2007. University entrepreneurship: A taxonomy of the literature. Ind. Corp. Chang. 16, 691–791. doi:10.1093/icc/dtm023</w:t>
      </w:r>
    </w:p>
    <w:p w14:paraId="1ED51D9C"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Sánchez-Barrioluengo, M., 2014. Articulating the “three-missions” in Spanish universities. Res. Policy 43, 1760–1773. doi:10.1016/j.respol.2014.06.001</w:t>
      </w:r>
    </w:p>
    <w:p w14:paraId="70DDA81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Selig, J.., Preacher, K.., 2008. Monte Carlo method for assessing mediation: An interactive tool for creating confidence intervals for indirect effects.</w:t>
      </w:r>
    </w:p>
    <w:p w14:paraId="02863999"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Sengupta, A., Ray, A.S., 2017a. University research and knowledge transfer: A dynamic view of ambidexterity in british universities. Res. Policy 46, 881–897. doi:10.1016/j.respol.2017.03.008</w:t>
      </w:r>
    </w:p>
    <w:p w14:paraId="725C61BE"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lastRenderedPageBreak/>
        <w:t>Sengupta, A., Ray, A.S., 2017b. Choice of Structure, Business Model and Portfolio: Organizational Models of Knowledge Transfer Offices in British Universities. Br. J. Manag. 28, 687–710. doi:10.1111/1467-8551.12224</w:t>
      </w:r>
    </w:p>
    <w:p w14:paraId="5D1EBAF2"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Siegel, D., Veugelers, R., Wright, M., 2007. Technology transfer offices and commercialization of university intellectual property: Performance and policy implications. Oxford Rev. Econ. Policy 23, 640–660. doi:10.1093/oxrep/grm036</w:t>
      </w:r>
    </w:p>
    <w:p w14:paraId="7EF6CFA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Siegel, D., Waldman, D., Link, A., 2003. Assessing the impact of organizational practices on the relative productivity of university technology transfer offices: an exploratory study. Res. Policy 32, 27–48. doi:10.1016/S0048-7333(01)00196-2</w:t>
      </w:r>
    </w:p>
    <w:p w14:paraId="5D89D9B1"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Siegel, D., Wright, M., 2015a. Academic Entrepreneurship: Time for a Rethink? Br. J. Manag. 26, 582–595. doi:10.1111/1467-8551.12116</w:t>
      </w:r>
    </w:p>
    <w:p w14:paraId="0C713DD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Siegel, D., Wright, M., 2015b. University Technology Transfer Offices, Licensing and Start-Ups. Chicago Handb. Univ. Technol. Transf. Acad. Entrep. 1–40.</w:t>
      </w:r>
    </w:p>
    <w:p w14:paraId="6F5DE8BF"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Smith, D., Adams, J., Mount, D., 2007. UK Universities and executive officers: The changing role of pro-vice chancellors- final report.</w:t>
      </w:r>
    </w:p>
    <w:p w14:paraId="00B6D576"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Steiger, J.H., Shapiro, A., Browne, M.W., 1985. On the Multivariate Asymptotic Distribution of Sequential Chi Square Statistics. Psychometrika 50, 253–264.</w:t>
      </w:r>
    </w:p>
    <w:p w14:paraId="0127BCE7"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Stine, W.W., 1989. Meaningful Inference: The Role of Measurement in Statistics. Psychol. Bull. 105, 147–155. doi:10.1037/0033-2909.105.1.147</w:t>
      </w:r>
    </w:p>
    <w:p w14:paraId="6C86A3C3"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Teelken, C., 2012. Compliance or pragmatism: how do academics deal with managerialism in higher education? A comparative study in three countries. Stud. High. Educ. 37, 271–290.</w:t>
      </w:r>
    </w:p>
    <w:p w14:paraId="04455DE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Thursby, J.G., Kemp, S., 2002. Growth and productive efficiency of university intellectual property licensing. Res. Policy 31, 109–124. doi:10.1016/S0048-7333(00)00160-8</w:t>
      </w:r>
    </w:p>
    <w:p w14:paraId="742F001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Van Looy, B., Landoni, P., Callaert, J., Van Pottelsberghe, B., Sapsalis, E., Debackere, K., 2011. Entrepreneurial effectiveness of European universities: An empirical assessment of antecedents and trade-offs. Res. Policy 40, 553–564. doi:10.1016/j.respol.2011.02.001</w:t>
      </w:r>
    </w:p>
    <w:p w14:paraId="4A224DAA"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Voorhees, C.M., Brady, M.K., Calantone, R., Ramirez, E., 2016. Discriminant validity testing in marketing: an analysis, causes for concern, and proposed remedies. J. Acad. Mark. Sci. 44, 119–134. doi:10.1007/s11747-015-0455-4</w:t>
      </w:r>
    </w:p>
    <w:p w14:paraId="210A434F"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Waring, M., 2017. Management and leadership in UK universities: exploring the possibilities of change. J. High. Educ. Policy Manag. 39, 540–558. doi:10.1080/1360080X.2017.1354754</w:t>
      </w:r>
    </w:p>
    <w:p w14:paraId="21C4EB4B"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 xml:space="preserve">Wolf, C., Floyd, S.W., 2017. Strategic Planning Research: Toward a Theory-Driven Agenda, </w:t>
      </w:r>
      <w:r w:rsidRPr="00CD0532">
        <w:rPr>
          <w:rFonts w:ascii="Times New Roman" w:hAnsi="Times New Roman" w:cs="Times New Roman"/>
          <w:noProof/>
          <w:lang w:val="en-US"/>
        </w:rPr>
        <w:lastRenderedPageBreak/>
        <w:t>Journal of Management. doi:10.1177/0149206313478185</w:t>
      </w:r>
    </w:p>
    <w:p w14:paraId="1A835B90"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lang w:val="en-US"/>
        </w:rPr>
      </w:pPr>
      <w:r w:rsidRPr="00CD0532">
        <w:rPr>
          <w:rFonts w:ascii="Times New Roman" w:hAnsi="Times New Roman" w:cs="Times New Roman"/>
          <w:noProof/>
          <w:lang w:val="en-US"/>
        </w:rPr>
        <w:t>Wright, M., Clarysse, B., Lockett, A., Knockaert, M., 2008. Mid-range universities’ linkages with industry: Knowledge types and the role of intermediaries. Res. Policy 37, 1205–1223. doi:10.1016/j.respol.2008.04.021</w:t>
      </w:r>
    </w:p>
    <w:p w14:paraId="3C5C6972" w14:textId="77777777" w:rsidR="00CD0532" w:rsidRPr="00CD0532" w:rsidRDefault="00CD0532" w:rsidP="00141231">
      <w:pPr>
        <w:widowControl w:val="0"/>
        <w:autoSpaceDE w:val="0"/>
        <w:autoSpaceDN w:val="0"/>
        <w:adjustRightInd w:val="0"/>
        <w:spacing w:line="360" w:lineRule="auto"/>
        <w:ind w:left="480" w:hanging="480"/>
        <w:rPr>
          <w:rFonts w:ascii="Times New Roman" w:hAnsi="Times New Roman" w:cs="Times New Roman"/>
          <w:noProof/>
        </w:rPr>
      </w:pPr>
      <w:r w:rsidRPr="00CD0532">
        <w:rPr>
          <w:rFonts w:ascii="Times New Roman" w:hAnsi="Times New Roman" w:cs="Times New Roman"/>
          <w:noProof/>
          <w:lang w:val="en-US"/>
        </w:rPr>
        <w:t>Wu, W., 2010. Managing and incentivizing research commercialization in Chinese Universities. J. Technol. Transf. 35, 203–224. doi:10.1007/s10961-009-9116-4</w:t>
      </w:r>
    </w:p>
    <w:p w14:paraId="0275F8A7" w14:textId="53A31D16" w:rsidR="002745B6" w:rsidRDefault="005C76D1" w:rsidP="00141231">
      <w:pPr>
        <w:widowControl w:val="0"/>
        <w:autoSpaceDE w:val="0"/>
        <w:autoSpaceDN w:val="0"/>
        <w:adjustRightInd w:val="0"/>
        <w:spacing w:line="360" w:lineRule="auto"/>
        <w:ind w:left="480" w:hanging="480"/>
        <w:rPr>
          <w:rFonts w:ascii="Times New Roman" w:hAnsi="Times New Roman" w:cs="Times New Roman"/>
        </w:rPr>
      </w:pPr>
      <w:r>
        <w:rPr>
          <w:rFonts w:ascii="Times New Roman" w:hAnsi="Times New Roman" w:cs="Times New Roman"/>
        </w:rPr>
        <w:fldChar w:fldCharType="end"/>
      </w:r>
    </w:p>
    <w:p w14:paraId="1CECEC2F" w14:textId="7C1BDABA" w:rsidR="002745B6" w:rsidRDefault="002745B6" w:rsidP="00141231">
      <w:pPr>
        <w:widowControl w:val="0"/>
        <w:autoSpaceDE w:val="0"/>
        <w:autoSpaceDN w:val="0"/>
        <w:adjustRightInd w:val="0"/>
        <w:spacing w:line="360" w:lineRule="auto"/>
        <w:rPr>
          <w:rFonts w:ascii="Times New Roman" w:eastAsia="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Pr>
          <w:rFonts w:ascii="Times New Roman" w:eastAsia="Times New Roman" w:hAnsi="Times New Roman" w:cs="Times New Roman"/>
          <w:noProof/>
        </w:rPr>
        <w:br w:type="column"/>
      </w:r>
      <w:r>
        <w:rPr>
          <w:rFonts w:ascii="Times New Roman" w:eastAsia="Times New Roman" w:hAnsi="Times New Roman" w:cs="Times New Roman"/>
          <w:noProof/>
        </w:rPr>
        <w:lastRenderedPageBreak/>
        <w:t xml:space="preserve">Appendix 1: Confirmatory Factor Analysis - nested modelling  </w:t>
      </w:r>
    </w:p>
    <w:p w14:paraId="05E6EF84" w14:textId="339FB739" w:rsidR="00E31E9F" w:rsidRDefault="002745B6" w:rsidP="00141231">
      <w:pPr>
        <w:autoSpaceDE w:val="0"/>
        <w:autoSpaceDN w:val="0"/>
        <w:adjustRightInd w:val="0"/>
        <w:spacing w:line="360" w:lineRule="auto"/>
        <w:outlineLvl w:val="0"/>
        <w:rPr>
          <w:rFonts w:ascii="Times New Roman" w:hAnsi="Times New Roman" w:cs="Times New Roman"/>
        </w:rPr>
      </w:pPr>
      <w:r w:rsidRPr="009C79C2">
        <w:rPr>
          <w:rFonts w:ascii="Times New Roman" w:hAnsi="Times New Roman" w:cs="Times New Roman"/>
        </w:rPr>
        <w:t xml:space="preserve">Model 1 included all measurement items as one latent variable. This one factor model did not fit the data. We then tested a two-factor model (M2), and a three-factor (M3) model consists of mediator variable, output variable and the two attributes of technology transfer enablers (TTO support and provision of incentives) as a single factor to find out whether the two latter exogenous variables are part of a latent factor or are two correlated observed variables. </w:t>
      </w:r>
    </w:p>
    <w:p w14:paraId="3C212A6A" w14:textId="77777777" w:rsidR="00E31E9F" w:rsidRDefault="00E31E9F" w:rsidP="00141231">
      <w:pPr>
        <w:autoSpaceDE w:val="0"/>
        <w:autoSpaceDN w:val="0"/>
        <w:adjustRightInd w:val="0"/>
        <w:spacing w:line="360" w:lineRule="auto"/>
        <w:outlineLvl w:val="0"/>
        <w:rPr>
          <w:rFonts w:ascii="Times New Roman" w:hAnsi="Times New Roman" w:cs="Times New Roman"/>
        </w:rPr>
      </w:pPr>
    </w:p>
    <w:p w14:paraId="449B4D0C" w14:textId="77777777" w:rsidR="002745B6" w:rsidRPr="00EF66BB" w:rsidRDefault="002745B6" w:rsidP="00141231">
      <w:pPr>
        <w:autoSpaceDE w:val="0"/>
        <w:autoSpaceDN w:val="0"/>
        <w:adjustRightInd w:val="0"/>
        <w:spacing w:line="360" w:lineRule="auto"/>
        <w:outlineLvl w:val="0"/>
        <w:rPr>
          <w:rFonts w:ascii="Times New Roman" w:hAnsi="Times New Roman" w:cs="Times New Roman"/>
        </w:rPr>
      </w:pPr>
      <w:r>
        <w:rPr>
          <w:rFonts w:ascii="Times New Roman" w:hAnsi="Times New Roman" w:cs="Times New Roman"/>
        </w:rPr>
        <w:t xml:space="preserve">Table A: </w:t>
      </w:r>
      <w:r w:rsidRPr="00EF66BB">
        <w:rPr>
          <w:rFonts w:ascii="Times New Roman" w:hAnsi="Times New Roman" w:cs="Times New Roman"/>
        </w:rPr>
        <w:t xml:space="preserve">Confirmatory factor analysis: nested modelling </w:t>
      </w:r>
    </w:p>
    <w:tbl>
      <w:tblPr>
        <w:tblStyle w:val="TableGrid"/>
        <w:tblW w:w="0" w:type="auto"/>
        <w:tblLook w:val="04A0" w:firstRow="1" w:lastRow="0" w:firstColumn="1" w:lastColumn="0" w:noHBand="0" w:noVBand="1"/>
      </w:tblPr>
      <w:tblGrid>
        <w:gridCol w:w="2577"/>
        <w:gridCol w:w="1000"/>
        <w:gridCol w:w="832"/>
        <w:gridCol w:w="708"/>
        <w:gridCol w:w="708"/>
        <w:gridCol w:w="708"/>
        <w:gridCol w:w="765"/>
        <w:gridCol w:w="708"/>
        <w:gridCol w:w="1004"/>
      </w:tblGrid>
      <w:tr w:rsidR="002745B6" w:rsidRPr="00A151A5" w14:paraId="4D70C8C6" w14:textId="77777777" w:rsidTr="007B4FF2">
        <w:tc>
          <w:tcPr>
            <w:tcW w:w="2577" w:type="dxa"/>
          </w:tcPr>
          <w:p w14:paraId="14E79A42"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 xml:space="preserve">Model </w:t>
            </w:r>
          </w:p>
        </w:tc>
        <w:tc>
          <w:tcPr>
            <w:tcW w:w="1000" w:type="dxa"/>
          </w:tcPr>
          <w:p w14:paraId="141581BD"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eastAsia="TimesNewRoman" w:hAnsi="Times New Roman" w:cs="Times New Roman"/>
                <w:sz w:val="20"/>
                <w:szCs w:val="20"/>
              </w:rPr>
              <w:t>χ</w:t>
            </w:r>
            <w:r w:rsidRPr="00A151A5">
              <w:rPr>
                <w:rFonts w:ascii="Times New Roman" w:eastAsia="TimesNewRoman" w:hAnsi="Times New Roman" w:cs="Times New Roman"/>
                <w:sz w:val="20"/>
                <w:szCs w:val="20"/>
                <w:vertAlign w:val="superscript"/>
              </w:rPr>
              <w:t xml:space="preserve">2 </w:t>
            </w:r>
            <w:r w:rsidRPr="00A151A5">
              <w:rPr>
                <w:rFonts w:ascii="Times New Roman" w:eastAsia="TimesNewRoman" w:hAnsi="Times New Roman" w:cs="Times New Roman"/>
                <w:sz w:val="20"/>
                <w:szCs w:val="20"/>
              </w:rPr>
              <w:t>(</w:t>
            </w:r>
            <w:r w:rsidRPr="00A151A5">
              <w:rPr>
                <w:rFonts w:ascii="Times New Roman" w:eastAsia="TimesNewRoman" w:hAnsi="Times New Roman" w:cs="Times New Roman"/>
                <w:i/>
                <w:sz w:val="20"/>
                <w:szCs w:val="20"/>
              </w:rPr>
              <w:t>df</w:t>
            </w:r>
            <w:r w:rsidRPr="00A151A5">
              <w:rPr>
                <w:rFonts w:ascii="Times New Roman" w:eastAsia="TimesNewRoman" w:hAnsi="Times New Roman" w:cs="Times New Roman"/>
                <w:sz w:val="20"/>
                <w:szCs w:val="20"/>
              </w:rPr>
              <w:t>)</w:t>
            </w:r>
          </w:p>
        </w:tc>
        <w:tc>
          <w:tcPr>
            <w:tcW w:w="832" w:type="dxa"/>
          </w:tcPr>
          <w:p w14:paraId="181EE623"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eastAsia="TimesNewRoman" w:hAnsi="Times New Roman" w:cs="Times New Roman"/>
                <w:sz w:val="20"/>
                <w:szCs w:val="20"/>
              </w:rPr>
              <w:t>χ</w:t>
            </w:r>
            <w:r w:rsidRPr="00A151A5">
              <w:rPr>
                <w:rFonts w:ascii="Times New Roman" w:eastAsia="TimesNewRoman" w:hAnsi="Times New Roman" w:cs="Times New Roman"/>
                <w:sz w:val="20"/>
                <w:szCs w:val="20"/>
                <w:vertAlign w:val="superscript"/>
              </w:rPr>
              <w:t>2</w:t>
            </w:r>
            <w:r w:rsidRPr="00A151A5">
              <w:rPr>
                <w:rFonts w:ascii="Times New Roman" w:eastAsia="TimesNewRoman" w:hAnsi="Times New Roman" w:cs="Times New Roman"/>
                <w:sz w:val="20"/>
                <w:szCs w:val="20"/>
              </w:rPr>
              <w:t>/</w:t>
            </w:r>
            <w:r w:rsidRPr="00A151A5">
              <w:rPr>
                <w:rFonts w:ascii="Times New Roman" w:eastAsia="TimesNewRoman" w:hAnsi="Times New Roman" w:cs="Times New Roman"/>
                <w:i/>
                <w:sz w:val="20"/>
                <w:szCs w:val="20"/>
              </w:rPr>
              <w:t xml:space="preserve"> df</w:t>
            </w:r>
          </w:p>
        </w:tc>
        <w:tc>
          <w:tcPr>
            <w:tcW w:w="708" w:type="dxa"/>
          </w:tcPr>
          <w:p w14:paraId="746F8236" w14:textId="77777777" w:rsidR="002745B6" w:rsidRPr="00A151A5" w:rsidRDefault="002745B6" w:rsidP="00141231">
            <w:pPr>
              <w:pStyle w:val="NoSpacing"/>
              <w:rPr>
                <w:rFonts w:ascii="Times New Roman" w:hAnsi="Times New Roman" w:cs="Times New Roman"/>
                <w:i/>
                <w:sz w:val="20"/>
                <w:szCs w:val="20"/>
              </w:rPr>
            </w:pPr>
            <w:r w:rsidRPr="00A151A5">
              <w:rPr>
                <w:rFonts w:ascii="Times New Roman" w:hAnsi="Times New Roman" w:cs="Times New Roman"/>
                <w:i/>
                <w:sz w:val="20"/>
                <w:szCs w:val="20"/>
              </w:rPr>
              <w:t>p</w:t>
            </w:r>
          </w:p>
        </w:tc>
        <w:tc>
          <w:tcPr>
            <w:tcW w:w="708" w:type="dxa"/>
          </w:tcPr>
          <w:p w14:paraId="74E345FA"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CFI</w:t>
            </w:r>
          </w:p>
        </w:tc>
        <w:tc>
          <w:tcPr>
            <w:tcW w:w="708" w:type="dxa"/>
          </w:tcPr>
          <w:p w14:paraId="4E008B78"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IFI</w:t>
            </w:r>
          </w:p>
        </w:tc>
        <w:tc>
          <w:tcPr>
            <w:tcW w:w="765" w:type="dxa"/>
          </w:tcPr>
          <w:p w14:paraId="05F359FB"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TLI</w:t>
            </w:r>
          </w:p>
        </w:tc>
        <w:tc>
          <w:tcPr>
            <w:tcW w:w="708" w:type="dxa"/>
          </w:tcPr>
          <w:p w14:paraId="63CFAE6D"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 xml:space="preserve">GFI </w:t>
            </w:r>
          </w:p>
        </w:tc>
        <w:tc>
          <w:tcPr>
            <w:tcW w:w="1004" w:type="dxa"/>
          </w:tcPr>
          <w:p w14:paraId="316366F0"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RMSEA</w:t>
            </w:r>
          </w:p>
        </w:tc>
      </w:tr>
      <w:tr w:rsidR="002745B6" w:rsidRPr="00A151A5" w14:paraId="363826F6" w14:textId="77777777" w:rsidTr="007B4FF2">
        <w:tc>
          <w:tcPr>
            <w:tcW w:w="2577" w:type="dxa"/>
          </w:tcPr>
          <w:p w14:paraId="7AD3279F"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M1: one factor model (all items as one latent)</w:t>
            </w:r>
          </w:p>
        </w:tc>
        <w:tc>
          <w:tcPr>
            <w:tcW w:w="1000" w:type="dxa"/>
          </w:tcPr>
          <w:p w14:paraId="11A3FAD9"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45.14(20)</w:t>
            </w:r>
          </w:p>
        </w:tc>
        <w:tc>
          <w:tcPr>
            <w:tcW w:w="832" w:type="dxa"/>
          </w:tcPr>
          <w:p w14:paraId="5ADB0284"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2.257</w:t>
            </w:r>
          </w:p>
        </w:tc>
        <w:tc>
          <w:tcPr>
            <w:tcW w:w="708" w:type="dxa"/>
          </w:tcPr>
          <w:p w14:paraId="1EFC57D3"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0.001</w:t>
            </w:r>
          </w:p>
        </w:tc>
        <w:tc>
          <w:tcPr>
            <w:tcW w:w="708" w:type="dxa"/>
          </w:tcPr>
          <w:p w14:paraId="51C1F345"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0.895</w:t>
            </w:r>
          </w:p>
        </w:tc>
        <w:tc>
          <w:tcPr>
            <w:tcW w:w="708" w:type="dxa"/>
          </w:tcPr>
          <w:p w14:paraId="189E920F"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0.899</w:t>
            </w:r>
          </w:p>
        </w:tc>
        <w:tc>
          <w:tcPr>
            <w:tcW w:w="765" w:type="dxa"/>
          </w:tcPr>
          <w:p w14:paraId="165603D2"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0.853</w:t>
            </w:r>
          </w:p>
        </w:tc>
        <w:tc>
          <w:tcPr>
            <w:tcW w:w="708" w:type="dxa"/>
          </w:tcPr>
          <w:p w14:paraId="7CDD55DE"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0.915</w:t>
            </w:r>
          </w:p>
        </w:tc>
        <w:tc>
          <w:tcPr>
            <w:tcW w:w="1004" w:type="dxa"/>
          </w:tcPr>
          <w:p w14:paraId="523429E5"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0.102</w:t>
            </w:r>
          </w:p>
        </w:tc>
      </w:tr>
      <w:tr w:rsidR="002745B6" w:rsidRPr="00A151A5" w14:paraId="542CEF97" w14:textId="77777777" w:rsidTr="007B4FF2">
        <w:tc>
          <w:tcPr>
            <w:tcW w:w="2577" w:type="dxa"/>
          </w:tcPr>
          <w:p w14:paraId="233B6D02"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M2: two factor model</w:t>
            </w:r>
          </w:p>
          <w:p w14:paraId="39D19DB3"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(Mediator &amp; Outcome as latent factors)</w:t>
            </w:r>
          </w:p>
        </w:tc>
        <w:tc>
          <w:tcPr>
            <w:tcW w:w="1000" w:type="dxa"/>
          </w:tcPr>
          <w:p w14:paraId="399BA9CE"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14.23(8)</w:t>
            </w:r>
          </w:p>
        </w:tc>
        <w:tc>
          <w:tcPr>
            <w:tcW w:w="832" w:type="dxa"/>
          </w:tcPr>
          <w:p w14:paraId="23CE0C25"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1.779</w:t>
            </w:r>
          </w:p>
        </w:tc>
        <w:tc>
          <w:tcPr>
            <w:tcW w:w="708" w:type="dxa"/>
          </w:tcPr>
          <w:p w14:paraId="32B4A5C8"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0.076</w:t>
            </w:r>
          </w:p>
        </w:tc>
        <w:tc>
          <w:tcPr>
            <w:tcW w:w="708" w:type="dxa"/>
          </w:tcPr>
          <w:p w14:paraId="5748C84A"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0.969</w:t>
            </w:r>
          </w:p>
        </w:tc>
        <w:tc>
          <w:tcPr>
            <w:tcW w:w="708" w:type="dxa"/>
          </w:tcPr>
          <w:p w14:paraId="1E38A889"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0.970</w:t>
            </w:r>
          </w:p>
        </w:tc>
        <w:tc>
          <w:tcPr>
            <w:tcW w:w="765" w:type="dxa"/>
          </w:tcPr>
          <w:p w14:paraId="7EA64796"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0.942</w:t>
            </w:r>
          </w:p>
        </w:tc>
        <w:tc>
          <w:tcPr>
            <w:tcW w:w="708" w:type="dxa"/>
          </w:tcPr>
          <w:p w14:paraId="4C15520F"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0.964</w:t>
            </w:r>
          </w:p>
        </w:tc>
        <w:tc>
          <w:tcPr>
            <w:tcW w:w="1004" w:type="dxa"/>
          </w:tcPr>
          <w:p w14:paraId="68F9D9FF"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0.071</w:t>
            </w:r>
          </w:p>
        </w:tc>
      </w:tr>
      <w:tr w:rsidR="002745B6" w:rsidRPr="00A151A5" w14:paraId="2369E773" w14:textId="77777777" w:rsidTr="007B4FF2">
        <w:tc>
          <w:tcPr>
            <w:tcW w:w="2577" w:type="dxa"/>
          </w:tcPr>
          <w:p w14:paraId="5AF05988"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 xml:space="preserve">M3: three factor model (Mediator, Output &amp; exogenous as 3 latent variables) </w:t>
            </w:r>
          </w:p>
        </w:tc>
        <w:tc>
          <w:tcPr>
            <w:tcW w:w="1000" w:type="dxa"/>
          </w:tcPr>
          <w:p w14:paraId="51A7A2E7"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40.27(17)</w:t>
            </w:r>
          </w:p>
        </w:tc>
        <w:tc>
          <w:tcPr>
            <w:tcW w:w="832" w:type="dxa"/>
          </w:tcPr>
          <w:p w14:paraId="2721525C"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2.369</w:t>
            </w:r>
          </w:p>
        </w:tc>
        <w:tc>
          <w:tcPr>
            <w:tcW w:w="708" w:type="dxa"/>
          </w:tcPr>
          <w:p w14:paraId="4461501D"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0.001</w:t>
            </w:r>
          </w:p>
        </w:tc>
        <w:tc>
          <w:tcPr>
            <w:tcW w:w="708" w:type="dxa"/>
          </w:tcPr>
          <w:p w14:paraId="644B4751"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0.903</w:t>
            </w:r>
          </w:p>
        </w:tc>
        <w:tc>
          <w:tcPr>
            <w:tcW w:w="708" w:type="dxa"/>
          </w:tcPr>
          <w:p w14:paraId="36FBE603"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0.907</w:t>
            </w:r>
          </w:p>
        </w:tc>
        <w:tc>
          <w:tcPr>
            <w:tcW w:w="765" w:type="dxa"/>
          </w:tcPr>
          <w:p w14:paraId="78B3D708"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0.840</w:t>
            </w:r>
          </w:p>
        </w:tc>
        <w:tc>
          <w:tcPr>
            <w:tcW w:w="708" w:type="dxa"/>
          </w:tcPr>
          <w:p w14:paraId="264D34DC"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0.929</w:t>
            </w:r>
          </w:p>
        </w:tc>
        <w:tc>
          <w:tcPr>
            <w:tcW w:w="1004" w:type="dxa"/>
          </w:tcPr>
          <w:p w14:paraId="7AF1A593"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0.107</w:t>
            </w:r>
          </w:p>
        </w:tc>
      </w:tr>
      <w:tr w:rsidR="002745B6" w:rsidRPr="00A151A5" w14:paraId="2E769B26" w14:textId="77777777" w:rsidTr="007B4FF2">
        <w:trPr>
          <w:trHeight w:val="754"/>
        </w:trPr>
        <w:tc>
          <w:tcPr>
            <w:tcW w:w="9010" w:type="dxa"/>
            <w:gridSpan w:val="9"/>
          </w:tcPr>
          <w:p w14:paraId="30E0E1BF" w14:textId="77777777" w:rsidR="002745B6" w:rsidRPr="00A151A5" w:rsidRDefault="002745B6" w:rsidP="00141231">
            <w:pPr>
              <w:pStyle w:val="NoSpacing"/>
              <w:rPr>
                <w:rFonts w:ascii="Times New Roman" w:hAnsi="Times New Roman" w:cs="Times New Roman"/>
                <w:sz w:val="20"/>
                <w:szCs w:val="20"/>
              </w:rPr>
            </w:pPr>
            <w:r w:rsidRPr="00A151A5">
              <w:rPr>
                <w:rFonts w:ascii="Times New Roman" w:hAnsi="Times New Roman" w:cs="Times New Roman"/>
                <w:sz w:val="20"/>
                <w:szCs w:val="20"/>
              </w:rPr>
              <w:t xml:space="preserve">M2: </w:t>
            </w:r>
          </w:p>
          <w:p w14:paraId="3E41345A"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Factor 1(</w:t>
            </w:r>
            <w:r>
              <w:rPr>
                <w:rFonts w:ascii="Times New Roman" w:hAnsi="Times New Roman" w:cs="Times New Roman"/>
                <w:sz w:val="20"/>
                <w:szCs w:val="20"/>
              </w:rPr>
              <w:t>Technology Transfer Strategic Priority</w:t>
            </w:r>
            <w:r w:rsidRPr="00F97854">
              <w:rPr>
                <w:rFonts w:ascii="Times New Roman" w:hAnsi="Times New Roman" w:cs="Times New Roman"/>
                <w:sz w:val="20"/>
                <w:szCs w:val="20"/>
              </w:rPr>
              <w:t xml:space="preserve"> - Mediator): 3 items, Cronbach α = 0.62; composite reliability = 0.692; AVE = 0.49</w:t>
            </w:r>
          </w:p>
          <w:p w14:paraId="668243F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Factor 2 (Technology Transfer Effectiveness – Outcome): 3 items, Cronbach α = 0.83; composite reliability = 0.91; AVE = 7.1 </w:t>
            </w:r>
          </w:p>
        </w:tc>
      </w:tr>
    </w:tbl>
    <w:p w14:paraId="172AC5AB" w14:textId="77777777" w:rsidR="002745B6" w:rsidRPr="009C79C2" w:rsidRDefault="002745B6" w:rsidP="00141231">
      <w:pPr>
        <w:pStyle w:val="FootnoteText"/>
        <w:rPr>
          <w:rFonts w:ascii="Times New Roman" w:hAnsi="Times New Roman" w:cs="Times New Roman"/>
        </w:rPr>
      </w:pPr>
      <w:r w:rsidRPr="009C79C2">
        <w:rPr>
          <w:rFonts w:ascii="Times New Roman" w:hAnsi="Times New Roman" w:cs="Times New Roman"/>
        </w:rPr>
        <w:t xml:space="preserve">Common method variance – as all items in the SEM model were not collected from the same source, common method variance is not a major problem in this study. However, we used the nested modelling to test any potential common method variance following </w:t>
      </w:r>
      <w:r w:rsidRPr="009C79C2">
        <w:rPr>
          <w:rFonts w:ascii="Times New Roman" w:hAnsi="Times New Roman" w:cs="Times New Roman"/>
          <w:color w:val="000000"/>
        </w:rPr>
        <w:t>Malhotra et al’s recommendations. Here all items in the SEM model are recoded to allow similar scaling across measures and used a single latent variable model as the base model in our nested modelling (model 1). The fit indexes indicated that the model consisting of a single latent variable has a very poor fit.</w:t>
      </w:r>
    </w:p>
    <w:p w14:paraId="5EEDE1D3" w14:textId="77777777" w:rsidR="002745B6" w:rsidRPr="005A4025" w:rsidRDefault="002745B6" w:rsidP="00141231">
      <w:pPr>
        <w:widowControl w:val="0"/>
        <w:autoSpaceDE w:val="0"/>
        <w:autoSpaceDN w:val="0"/>
        <w:adjustRightInd w:val="0"/>
        <w:spacing w:line="360" w:lineRule="auto"/>
        <w:ind w:left="480" w:hanging="480"/>
        <w:rPr>
          <w:rFonts w:ascii="Times New Roman" w:hAnsi="Times New Roman" w:cs="Times New Roman"/>
          <w:noProof/>
        </w:rPr>
      </w:pPr>
    </w:p>
    <w:p w14:paraId="66FD3809" w14:textId="5DB902AB" w:rsidR="002745B6" w:rsidRDefault="002745B6" w:rsidP="00141231">
      <w:pPr>
        <w:autoSpaceDE w:val="0"/>
        <w:autoSpaceDN w:val="0"/>
        <w:adjustRightInd w:val="0"/>
        <w:spacing w:line="360" w:lineRule="auto"/>
        <w:outlineLvl w:val="0"/>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t>Appendix 2: Structural Equation Model: nested models</w:t>
      </w:r>
    </w:p>
    <w:p w14:paraId="1B5BB00D" w14:textId="77777777" w:rsidR="002745B6" w:rsidRPr="00D21852" w:rsidRDefault="002745B6" w:rsidP="00141231">
      <w:pPr>
        <w:pStyle w:val="FootnoteText"/>
        <w:spacing w:line="360" w:lineRule="auto"/>
        <w:rPr>
          <w:rFonts w:ascii="Times New Roman" w:hAnsi="Times New Roman" w:cs="Times New Roman"/>
          <w:sz w:val="22"/>
          <w:szCs w:val="22"/>
        </w:rPr>
      </w:pPr>
      <w:r w:rsidRPr="00D21852">
        <w:rPr>
          <w:rFonts w:ascii="Times New Roman" w:hAnsi="Times New Roman" w:cs="Times New Roman"/>
          <w:sz w:val="22"/>
          <w:szCs w:val="22"/>
        </w:rPr>
        <w:t xml:space="preserve"> In the null model (Model 1)no relationships are posited; in the direct model (Model 2) the direct effects of the two exogenous variables and the direct effect of the mediator on the output variable are tested; the partial mediation model (Model 3) includes both direct and mediated effects of the TTO support and the provision of incentives; the hypothesised full mediation model (Model 4) includes indirect effects of the TTO support on TT effectiveness (H1) and the indirect effects of the provision of incentives and TT effectiveness (H2).</w:t>
      </w:r>
    </w:p>
    <w:p w14:paraId="277DA316" w14:textId="77777777" w:rsidR="002745B6" w:rsidRPr="00EF66BB" w:rsidRDefault="002745B6" w:rsidP="00141231">
      <w:pPr>
        <w:autoSpaceDE w:val="0"/>
        <w:autoSpaceDN w:val="0"/>
        <w:adjustRightInd w:val="0"/>
        <w:spacing w:line="360" w:lineRule="auto"/>
        <w:outlineLvl w:val="0"/>
        <w:rPr>
          <w:rFonts w:ascii="Times New Roman" w:hAnsi="Times New Roman" w:cs="Times New Roman"/>
        </w:rPr>
      </w:pPr>
    </w:p>
    <w:p w14:paraId="6EFB325F" w14:textId="77777777" w:rsidR="00BA1F27" w:rsidRDefault="00BA1F27" w:rsidP="00141231">
      <w:pPr>
        <w:autoSpaceDE w:val="0"/>
        <w:autoSpaceDN w:val="0"/>
        <w:adjustRightInd w:val="0"/>
        <w:spacing w:line="360" w:lineRule="auto"/>
        <w:outlineLvl w:val="0"/>
        <w:rPr>
          <w:rFonts w:ascii="Times New Roman" w:hAnsi="Times New Roman" w:cs="Times New Roman"/>
        </w:rPr>
      </w:pPr>
    </w:p>
    <w:p w14:paraId="64D703B1" w14:textId="77777777" w:rsidR="00BA1F27" w:rsidRDefault="00BA1F27" w:rsidP="00141231">
      <w:pPr>
        <w:autoSpaceDE w:val="0"/>
        <w:autoSpaceDN w:val="0"/>
        <w:adjustRightInd w:val="0"/>
        <w:spacing w:line="360" w:lineRule="auto"/>
        <w:outlineLvl w:val="0"/>
        <w:rPr>
          <w:rFonts w:ascii="Times New Roman" w:hAnsi="Times New Roman" w:cs="Times New Roman"/>
        </w:rPr>
      </w:pPr>
    </w:p>
    <w:p w14:paraId="781E4C72" w14:textId="77777777" w:rsidR="00BA1F27" w:rsidRDefault="00BA1F27" w:rsidP="00141231">
      <w:pPr>
        <w:autoSpaceDE w:val="0"/>
        <w:autoSpaceDN w:val="0"/>
        <w:adjustRightInd w:val="0"/>
        <w:spacing w:line="360" w:lineRule="auto"/>
        <w:outlineLvl w:val="0"/>
        <w:rPr>
          <w:rFonts w:ascii="Times New Roman" w:hAnsi="Times New Roman" w:cs="Times New Roman"/>
        </w:rPr>
      </w:pPr>
    </w:p>
    <w:p w14:paraId="4BB187C4" w14:textId="77777777" w:rsidR="00BA1F27" w:rsidRDefault="00BA1F27" w:rsidP="00141231">
      <w:pPr>
        <w:autoSpaceDE w:val="0"/>
        <w:autoSpaceDN w:val="0"/>
        <w:adjustRightInd w:val="0"/>
        <w:spacing w:line="360" w:lineRule="auto"/>
        <w:outlineLvl w:val="0"/>
        <w:rPr>
          <w:rFonts w:ascii="Times New Roman" w:hAnsi="Times New Roman" w:cs="Times New Roman"/>
        </w:rPr>
      </w:pPr>
    </w:p>
    <w:p w14:paraId="773F3C46" w14:textId="77777777" w:rsidR="00BA1F27" w:rsidRDefault="00BA1F27" w:rsidP="00141231">
      <w:pPr>
        <w:autoSpaceDE w:val="0"/>
        <w:autoSpaceDN w:val="0"/>
        <w:adjustRightInd w:val="0"/>
        <w:spacing w:line="360" w:lineRule="auto"/>
        <w:outlineLvl w:val="0"/>
        <w:rPr>
          <w:rFonts w:ascii="Times New Roman" w:hAnsi="Times New Roman" w:cs="Times New Roman"/>
        </w:rPr>
      </w:pPr>
    </w:p>
    <w:p w14:paraId="19E65DF5" w14:textId="74B24CF5" w:rsidR="002745B6" w:rsidRPr="00EF66BB" w:rsidRDefault="002745B6" w:rsidP="00141231">
      <w:pPr>
        <w:autoSpaceDE w:val="0"/>
        <w:autoSpaceDN w:val="0"/>
        <w:adjustRightInd w:val="0"/>
        <w:spacing w:line="360" w:lineRule="auto"/>
        <w:outlineLvl w:val="0"/>
        <w:rPr>
          <w:rFonts w:ascii="Times New Roman" w:hAnsi="Times New Roman" w:cs="Times New Roman"/>
        </w:rPr>
      </w:pPr>
      <w:r w:rsidRPr="00EF66BB">
        <w:rPr>
          <w:rFonts w:ascii="Times New Roman" w:hAnsi="Times New Roman" w:cs="Times New Roman"/>
        </w:rPr>
        <w:lastRenderedPageBreak/>
        <w:t xml:space="preserve">Table </w:t>
      </w:r>
      <w:r>
        <w:rPr>
          <w:rFonts w:ascii="Times New Roman" w:hAnsi="Times New Roman" w:cs="Times New Roman"/>
        </w:rPr>
        <w:t>B</w:t>
      </w:r>
      <w:r w:rsidRPr="00EF66BB">
        <w:rPr>
          <w:rFonts w:ascii="Times New Roman" w:hAnsi="Times New Roman" w:cs="Times New Roman"/>
        </w:rPr>
        <w:t xml:space="preserve">: Structural Equation model: nested modelling </w:t>
      </w:r>
    </w:p>
    <w:tbl>
      <w:tblPr>
        <w:tblStyle w:val="TableGrid"/>
        <w:tblW w:w="0" w:type="auto"/>
        <w:tblLook w:val="04A0" w:firstRow="1" w:lastRow="0" w:firstColumn="1" w:lastColumn="0" w:noHBand="0" w:noVBand="1"/>
      </w:tblPr>
      <w:tblGrid>
        <w:gridCol w:w="1825"/>
        <w:gridCol w:w="1168"/>
        <w:gridCol w:w="795"/>
        <w:gridCol w:w="796"/>
        <w:gridCol w:w="842"/>
        <w:gridCol w:w="842"/>
        <w:gridCol w:w="843"/>
        <w:gridCol w:w="830"/>
        <w:gridCol w:w="1075"/>
      </w:tblGrid>
      <w:tr w:rsidR="002745B6" w:rsidRPr="00813ACC" w14:paraId="4D24CC07" w14:textId="77777777" w:rsidTr="007B4FF2">
        <w:tc>
          <w:tcPr>
            <w:tcW w:w="1825" w:type="dxa"/>
          </w:tcPr>
          <w:p w14:paraId="35AF471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Model </w:t>
            </w:r>
          </w:p>
        </w:tc>
        <w:tc>
          <w:tcPr>
            <w:tcW w:w="1168" w:type="dxa"/>
          </w:tcPr>
          <w:p w14:paraId="2047E57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eastAsia="TimesNewRoman" w:hAnsi="Times New Roman" w:cs="Times New Roman"/>
                <w:sz w:val="20"/>
                <w:szCs w:val="20"/>
              </w:rPr>
              <w:t>χ</w:t>
            </w:r>
            <w:r w:rsidRPr="00F97854">
              <w:rPr>
                <w:rFonts w:ascii="Times New Roman" w:eastAsia="TimesNewRoman" w:hAnsi="Times New Roman" w:cs="Times New Roman"/>
                <w:sz w:val="20"/>
                <w:szCs w:val="20"/>
                <w:vertAlign w:val="superscript"/>
              </w:rPr>
              <w:t xml:space="preserve">2 </w:t>
            </w:r>
            <w:r w:rsidRPr="00F97854">
              <w:rPr>
                <w:rFonts w:ascii="Times New Roman" w:eastAsia="TimesNewRoman" w:hAnsi="Times New Roman" w:cs="Times New Roman"/>
                <w:sz w:val="20"/>
                <w:szCs w:val="20"/>
              </w:rPr>
              <w:t>(</w:t>
            </w:r>
            <w:proofErr w:type="spellStart"/>
            <w:r w:rsidRPr="00F97854">
              <w:rPr>
                <w:rFonts w:ascii="Times New Roman" w:eastAsia="TimesNewRoman" w:hAnsi="Times New Roman" w:cs="Times New Roman"/>
                <w:i/>
                <w:sz w:val="20"/>
                <w:szCs w:val="20"/>
              </w:rPr>
              <w:t>df</w:t>
            </w:r>
            <w:proofErr w:type="spellEnd"/>
            <w:r w:rsidRPr="00F97854">
              <w:rPr>
                <w:rFonts w:ascii="Times New Roman" w:eastAsia="TimesNewRoman" w:hAnsi="Times New Roman" w:cs="Times New Roman"/>
                <w:sz w:val="20"/>
                <w:szCs w:val="20"/>
              </w:rPr>
              <w:t>)</w:t>
            </w:r>
          </w:p>
        </w:tc>
        <w:tc>
          <w:tcPr>
            <w:tcW w:w="795" w:type="dxa"/>
          </w:tcPr>
          <w:p w14:paraId="013B26CE"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eastAsia="TimesNewRoman" w:hAnsi="Times New Roman" w:cs="Times New Roman"/>
                <w:sz w:val="20"/>
                <w:szCs w:val="20"/>
              </w:rPr>
              <w:t>χ</w:t>
            </w:r>
            <w:r w:rsidRPr="00F97854">
              <w:rPr>
                <w:rFonts w:ascii="Times New Roman" w:eastAsia="TimesNewRoman" w:hAnsi="Times New Roman" w:cs="Times New Roman"/>
                <w:sz w:val="20"/>
                <w:szCs w:val="20"/>
                <w:vertAlign w:val="superscript"/>
              </w:rPr>
              <w:t>2</w:t>
            </w:r>
            <w:r w:rsidRPr="00F97854">
              <w:rPr>
                <w:rFonts w:ascii="Times New Roman" w:eastAsia="TimesNewRoman" w:hAnsi="Times New Roman" w:cs="Times New Roman"/>
                <w:sz w:val="20"/>
                <w:szCs w:val="20"/>
              </w:rPr>
              <w:t>/</w:t>
            </w:r>
            <w:r w:rsidRPr="00F97854">
              <w:rPr>
                <w:rFonts w:ascii="Times New Roman" w:eastAsia="TimesNewRoman" w:hAnsi="Times New Roman" w:cs="Times New Roman"/>
                <w:i/>
                <w:sz w:val="20"/>
                <w:szCs w:val="20"/>
              </w:rPr>
              <w:t xml:space="preserve"> </w:t>
            </w:r>
            <w:proofErr w:type="spellStart"/>
            <w:r w:rsidRPr="00F97854">
              <w:rPr>
                <w:rFonts w:ascii="Times New Roman" w:eastAsia="TimesNewRoman" w:hAnsi="Times New Roman" w:cs="Times New Roman"/>
                <w:i/>
                <w:sz w:val="20"/>
                <w:szCs w:val="20"/>
              </w:rPr>
              <w:t>df</w:t>
            </w:r>
            <w:proofErr w:type="spellEnd"/>
          </w:p>
        </w:tc>
        <w:tc>
          <w:tcPr>
            <w:tcW w:w="796" w:type="dxa"/>
          </w:tcPr>
          <w:p w14:paraId="554C6A20" w14:textId="77777777" w:rsidR="002745B6" w:rsidRPr="00F97854" w:rsidRDefault="002745B6" w:rsidP="00141231">
            <w:pPr>
              <w:pStyle w:val="NoSpacing"/>
              <w:rPr>
                <w:rFonts w:ascii="Times New Roman" w:hAnsi="Times New Roman" w:cs="Times New Roman"/>
                <w:i/>
                <w:sz w:val="20"/>
                <w:szCs w:val="20"/>
              </w:rPr>
            </w:pPr>
            <w:r w:rsidRPr="00F97854">
              <w:rPr>
                <w:rFonts w:ascii="Times New Roman" w:hAnsi="Times New Roman" w:cs="Times New Roman"/>
                <w:i/>
                <w:sz w:val="20"/>
                <w:szCs w:val="20"/>
              </w:rPr>
              <w:t>p</w:t>
            </w:r>
          </w:p>
        </w:tc>
        <w:tc>
          <w:tcPr>
            <w:tcW w:w="842" w:type="dxa"/>
          </w:tcPr>
          <w:p w14:paraId="6F903DCB"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CFI</w:t>
            </w:r>
          </w:p>
        </w:tc>
        <w:tc>
          <w:tcPr>
            <w:tcW w:w="842" w:type="dxa"/>
          </w:tcPr>
          <w:p w14:paraId="0B9F76D5"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IFI</w:t>
            </w:r>
          </w:p>
        </w:tc>
        <w:tc>
          <w:tcPr>
            <w:tcW w:w="843" w:type="dxa"/>
          </w:tcPr>
          <w:p w14:paraId="7F9E7402"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TLI</w:t>
            </w:r>
          </w:p>
        </w:tc>
        <w:tc>
          <w:tcPr>
            <w:tcW w:w="830" w:type="dxa"/>
          </w:tcPr>
          <w:p w14:paraId="7CD57E7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GFI</w:t>
            </w:r>
          </w:p>
        </w:tc>
        <w:tc>
          <w:tcPr>
            <w:tcW w:w="1075" w:type="dxa"/>
          </w:tcPr>
          <w:p w14:paraId="256274BA"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RMSEA</w:t>
            </w:r>
          </w:p>
        </w:tc>
      </w:tr>
      <w:tr w:rsidR="002745B6" w:rsidRPr="00813ACC" w14:paraId="7DBC1C7A" w14:textId="77777777" w:rsidTr="007B4FF2">
        <w:tc>
          <w:tcPr>
            <w:tcW w:w="1825" w:type="dxa"/>
          </w:tcPr>
          <w:p w14:paraId="17B3F4D3"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M1: Null model</w:t>
            </w:r>
          </w:p>
        </w:tc>
        <w:tc>
          <w:tcPr>
            <w:tcW w:w="1168" w:type="dxa"/>
          </w:tcPr>
          <w:p w14:paraId="6DC3F2AE"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109.09(37)</w:t>
            </w:r>
          </w:p>
        </w:tc>
        <w:tc>
          <w:tcPr>
            <w:tcW w:w="795" w:type="dxa"/>
          </w:tcPr>
          <w:p w14:paraId="1141E79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2.948</w:t>
            </w:r>
          </w:p>
        </w:tc>
        <w:tc>
          <w:tcPr>
            <w:tcW w:w="796" w:type="dxa"/>
          </w:tcPr>
          <w:p w14:paraId="285F22D1"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0.000</w:t>
            </w:r>
          </w:p>
        </w:tc>
        <w:tc>
          <w:tcPr>
            <w:tcW w:w="842" w:type="dxa"/>
          </w:tcPr>
          <w:p w14:paraId="64C768EA"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.678</w:t>
            </w:r>
          </w:p>
        </w:tc>
        <w:tc>
          <w:tcPr>
            <w:tcW w:w="842" w:type="dxa"/>
          </w:tcPr>
          <w:p w14:paraId="5110D3AA"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.689</w:t>
            </w:r>
          </w:p>
        </w:tc>
        <w:tc>
          <w:tcPr>
            <w:tcW w:w="843" w:type="dxa"/>
          </w:tcPr>
          <w:p w14:paraId="0D9507D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.608</w:t>
            </w:r>
          </w:p>
        </w:tc>
        <w:tc>
          <w:tcPr>
            <w:tcW w:w="830" w:type="dxa"/>
          </w:tcPr>
          <w:p w14:paraId="295B5A5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.830</w:t>
            </w:r>
          </w:p>
        </w:tc>
        <w:tc>
          <w:tcPr>
            <w:tcW w:w="1075" w:type="dxa"/>
          </w:tcPr>
          <w:p w14:paraId="30A67AA7"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0.127</w:t>
            </w:r>
          </w:p>
        </w:tc>
      </w:tr>
      <w:tr w:rsidR="002745B6" w:rsidRPr="00813ACC" w14:paraId="78FD3059" w14:textId="77777777" w:rsidTr="007B4FF2">
        <w:tc>
          <w:tcPr>
            <w:tcW w:w="1825" w:type="dxa"/>
          </w:tcPr>
          <w:p w14:paraId="349D5CEC"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M2: Direct model</w:t>
            </w:r>
          </w:p>
        </w:tc>
        <w:tc>
          <w:tcPr>
            <w:tcW w:w="1168" w:type="dxa"/>
          </w:tcPr>
          <w:p w14:paraId="14029318"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60.57(32)</w:t>
            </w:r>
          </w:p>
        </w:tc>
        <w:tc>
          <w:tcPr>
            <w:tcW w:w="795" w:type="dxa"/>
          </w:tcPr>
          <w:p w14:paraId="41D1AC87"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1.893</w:t>
            </w:r>
          </w:p>
        </w:tc>
        <w:tc>
          <w:tcPr>
            <w:tcW w:w="796" w:type="dxa"/>
          </w:tcPr>
          <w:p w14:paraId="23D4825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0.002</w:t>
            </w:r>
          </w:p>
        </w:tc>
        <w:tc>
          <w:tcPr>
            <w:tcW w:w="842" w:type="dxa"/>
          </w:tcPr>
          <w:p w14:paraId="2A9958D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.872</w:t>
            </w:r>
          </w:p>
        </w:tc>
        <w:tc>
          <w:tcPr>
            <w:tcW w:w="842" w:type="dxa"/>
          </w:tcPr>
          <w:p w14:paraId="57F2E988"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.879</w:t>
            </w:r>
          </w:p>
        </w:tc>
        <w:tc>
          <w:tcPr>
            <w:tcW w:w="843" w:type="dxa"/>
          </w:tcPr>
          <w:p w14:paraId="1CF5D8AE"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.820</w:t>
            </w:r>
          </w:p>
        </w:tc>
        <w:tc>
          <w:tcPr>
            <w:tcW w:w="830" w:type="dxa"/>
          </w:tcPr>
          <w:p w14:paraId="1E864F9F"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.914</w:t>
            </w:r>
          </w:p>
        </w:tc>
        <w:tc>
          <w:tcPr>
            <w:tcW w:w="1075" w:type="dxa"/>
          </w:tcPr>
          <w:p w14:paraId="21A95A62"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0.086</w:t>
            </w:r>
          </w:p>
        </w:tc>
      </w:tr>
      <w:tr w:rsidR="002745B6" w:rsidRPr="00813ACC" w14:paraId="3D7588DA" w14:textId="77777777" w:rsidTr="007B4FF2">
        <w:tc>
          <w:tcPr>
            <w:tcW w:w="1825" w:type="dxa"/>
          </w:tcPr>
          <w:p w14:paraId="2434C2DD"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M3: Partial mediation </w:t>
            </w:r>
          </w:p>
        </w:tc>
        <w:tc>
          <w:tcPr>
            <w:tcW w:w="1168" w:type="dxa"/>
          </w:tcPr>
          <w:p w14:paraId="17246DEE"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35.06(29)</w:t>
            </w:r>
          </w:p>
        </w:tc>
        <w:tc>
          <w:tcPr>
            <w:tcW w:w="795" w:type="dxa"/>
          </w:tcPr>
          <w:p w14:paraId="6B9A0E8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1.209</w:t>
            </w:r>
          </w:p>
        </w:tc>
        <w:tc>
          <w:tcPr>
            <w:tcW w:w="796" w:type="dxa"/>
          </w:tcPr>
          <w:p w14:paraId="102C9E20"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0.203</w:t>
            </w:r>
          </w:p>
        </w:tc>
        <w:tc>
          <w:tcPr>
            <w:tcW w:w="842" w:type="dxa"/>
          </w:tcPr>
          <w:p w14:paraId="1ABAEAF3"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.973</w:t>
            </w:r>
          </w:p>
        </w:tc>
        <w:tc>
          <w:tcPr>
            <w:tcW w:w="842" w:type="dxa"/>
          </w:tcPr>
          <w:p w14:paraId="0FD41E08"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.975</w:t>
            </w:r>
          </w:p>
        </w:tc>
        <w:tc>
          <w:tcPr>
            <w:tcW w:w="843" w:type="dxa"/>
          </w:tcPr>
          <w:p w14:paraId="5790E3C2"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.958</w:t>
            </w:r>
          </w:p>
        </w:tc>
        <w:tc>
          <w:tcPr>
            <w:tcW w:w="830" w:type="dxa"/>
          </w:tcPr>
          <w:p w14:paraId="6C7E74EC"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.948</w:t>
            </w:r>
          </w:p>
        </w:tc>
        <w:tc>
          <w:tcPr>
            <w:tcW w:w="1075" w:type="dxa"/>
          </w:tcPr>
          <w:p w14:paraId="4A586DB5"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0.042</w:t>
            </w:r>
          </w:p>
        </w:tc>
      </w:tr>
      <w:tr w:rsidR="002745B6" w:rsidRPr="00813ACC" w14:paraId="52BC542A" w14:textId="77777777" w:rsidTr="007B4FF2">
        <w:tc>
          <w:tcPr>
            <w:tcW w:w="1825" w:type="dxa"/>
          </w:tcPr>
          <w:p w14:paraId="610FF3B4"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M4: Full mediation</w:t>
            </w:r>
          </w:p>
        </w:tc>
        <w:tc>
          <w:tcPr>
            <w:tcW w:w="1168" w:type="dxa"/>
          </w:tcPr>
          <w:p w14:paraId="3C05186F"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36.37(31)</w:t>
            </w:r>
          </w:p>
        </w:tc>
        <w:tc>
          <w:tcPr>
            <w:tcW w:w="795" w:type="dxa"/>
          </w:tcPr>
          <w:p w14:paraId="2A871E36"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1.173</w:t>
            </w:r>
          </w:p>
        </w:tc>
        <w:tc>
          <w:tcPr>
            <w:tcW w:w="796" w:type="dxa"/>
          </w:tcPr>
          <w:p w14:paraId="1C9EC6D3"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0.233</w:t>
            </w:r>
          </w:p>
        </w:tc>
        <w:tc>
          <w:tcPr>
            <w:tcW w:w="842" w:type="dxa"/>
          </w:tcPr>
          <w:p w14:paraId="123E51E4"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.976</w:t>
            </w:r>
          </w:p>
        </w:tc>
        <w:tc>
          <w:tcPr>
            <w:tcW w:w="842" w:type="dxa"/>
          </w:tcPr>
          <w:p w14:paraId="7BD84502"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.977</w:t>
            </w:r>
          </w:p>
        </w:tc>
        <w:tc>
          <w:tcPr>
            <w:tcW w:w="843" w:type="dxa"/>
          </w:tcPr>
          <w:p w14:paraId="32DC4BDF"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.965</w:t>
            </w:r>
          </w:p>
        </w:tc>
        <w:tc>
          <w:tcPr>
            <w:tcW w:w="830" w:type="dxa"/>
          </w:tcPr>
          <w:p w14:paraId="48578473"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.946</w:t>
            </w:r>
          </w:p>
        </w:tc>
        <w:tc>
          <w:tcPr>
            <w:tcW w:w="1075" w:type="dxa"/>
          </w:tcPr>
          <w:p w14:paraId="608112D5"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0.038</w:t>
            </w:r>
          </w:p>
        </w:tc>
      </w:tr>
      <w:tr w:rsidR="002745B6" w:rsidRPr="00813ACC" w14:paraId="3104B3BA" w14:textId="77777777" w:rsidTr="007B4FF2">
        <w:tc>
          <w:tcPr>
            <w:tcW w:w="1825" w:type="dxa"/>
          </w:tcPr>
          <w:p w14:paraId="1DF5A07C"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M5: H1- full &amp; H2: partial mediation </w:t>
            </w:r>
          </w:p>
        </w:tc>
        <w:tc>
          <w:tcPr>
            <w:tcW w:w="1168" w:type="dxa"/>
          </w:tcPr>
          <w:p w14:paraId="731A64A0"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35.28(30)</w:t>
            </w:r>
          </w:p>
        </w:tc>
        <w:tc>
          <w:tcPr>
            <w:tcW w:w="795" w:type="dxa"/>
          </w:tcPr>
          <w:p w14:paraId="56933513"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1.176</w:t>
            </w:r>
          </w:p>
        </w:tc>
        <w:tc>
          <w:tcPr>
            <w:tcW w:w="796" w:type="dxa"/>
          </w:tcPr>
          <w:p w14:paraId="686809EB"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0.233</w:t>
            </w:r>
          </w:p>
        </w:tc>
        <w:tc>
          <w:tcPr>
            <w:tcW w:w="842" w:type="dxa"/>
          </w:tcPr>
          <w:p w14:paraId="7A516B6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.976</w:t>
            </w:r>
          </w:p>
        </w:tc>
        <w:tc>
          <w:tcPr>
            <w:tcW w:w="842" w:type="dxa"/>
          </w:tcPr>
          <w:p w14:paraId="2092A2B1"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.978</w:t>
            </w:r>
          </w:p>
        </w:tc>
        <w:tc>
          <w:tcPr>
            <w:tcW w:w="843" w:type="dxa"/>
          </w:tcPr>
          <w:p w14:paraId="34782A68"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.965</w:t>
            </w:r>
          </w:p>
        </w:tc>
        <w:tc>
          <w:tcPr>
            <w:tcW w:w="830" w:type="dxa"/>
          </w:tcPr>
          <w:p w14:paraId="00FFA3EA"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.948</w:t>
            </w:r>
          </w:p>
        </w:tc>
        <w:tc>
          <w:tcPr>
            <w:tcW w:w="1075" w:type="dxa"/>
          </w:tcPr>
          <w:p w14:paraId="6A3FEA1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0.038</w:t>
            </w:r>
          </w:p>
        </w:tc>
      </w:tr>
      <w:tr w:rsidR="002745B6" w:rsidRPr="00813ACC" w14:paraId="738147A9" w14:textId="77777777" w:rsidTr="007B4FF2">
        <w:tc>
          <w:tcPr>
            <w:tcW w:w="1825" w:type="dxa"/>
          </w:tcPr>
          <w:p w14:paraId="1C6FA211"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 xml:space="preserve">M6: H1- partial &amp; H2: full mediation </w:t>
            </w:r>
          </w:p>
        </w:tc>
        <w:tc>
          <w:tcPr>
            <w:tcW w:w="1168" w:type="dxa"/>
          </w:tcPr>
          <w:p w14:paraId="01A92233"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36.29(30)</w:t>
            </w:r>
          </w:p>
        </w:tc>
        <w:tc>
          <w:tcPr>
            <w:tcW w:w="795" w:type="dxa"/>
          </w:tcPr>
          <w:p w14:paraId="50919E99"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1.210</w:t>
            </w:r>
          </w:p>
        </w:tc>
        <w:tc>
          <w:tcPr>
            <w:tcW w:w="796" w:type="dxa"/>
          </w:tcPr>
          <w:p w14:paraId="7D7E2387"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0.198</w:t>
            </w:r>
          </w:p>
        </w:tc>
        <w:tc>
          <w:tcPr>
            <w:tcW w:w="842" w:type="dxa"/>
          </w:tcPr>
          <w:p w14:paraId="6B25F670"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.972</w:t>
            </w:r>
          </w:p>
        </w:tc>
        <w:tc>
          <w:tcPr>
            <w:tcW w:w="842" w:type="dxa"/>
          </w:tcPr>
          <w:p w14:paraId="2A6C2565"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.974</w:t>
            </w:r>
          </w:p>
        </w:tc>
        <w:tc>
          <w:tcPr>
            <w:tcW w:w="843" w:type="dxa"/>
          </w:tcPr>
          <w:p w14:paraId="11E34D2A"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.958</w:t>
            </w:r>
          </w:p>
        </w:tc>
        <w:tc>
          <w:tcPr>
            <w:tcW w:w="830" w:type="dxa"/>
          </w:tcPr>
          <w:p w14:paraId="581403F2"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.946</w:t>
            </w:r>
          </w:p>
        </w:tc>
        <w:tc>
          <w:tcPr>
            <w:tcW w:w="1075" w:type="dxa"/>
          </w:tcPr>
          <w:p w14:paraId="12E843E4" w14:textId="77777777" w:rsidR="002745B6" w:rsidRPr="00F97854" w:rsidRDefault="002745B6" w:rsidP="00141231">
            <w:pPr>
              <w:pStyle w:val="NoSpacing"/>
              <w:rPr>
                <w:rFonts w:ascii="Times New Roman" w:hAnsi="Times New Roman" w:cs="Times New Roman"/>
                <w:sz w:val="20"/>
                <w:szCs w:val="20"/>
              </w:rPr>
            </w:pPr>
            <w:r w:rsidRPr="00F97854">
              <w:rPr>
                <w:rFonts w:ascii="Times New Roman" w:hAnsi="Times New Roman" w:cs="Times New Roman"/>
                <w:sz w:val="20"/>
                <w:szCs w:val="20"/>
              </w:rPr>
              <w:t>0.042</w:t>
            </w:r>
          </w:p>
        </w:tc>
      </w:tr>
    </w:tbl>
    <w:p w14:paraId="41A70353" w14:textId="77777777" w:rsidR="002745B6" w:rsidRPr="00EF66BB" w:rsidRDefault="002745B6" w:rsidP="00141231">
      <w:pPr>
        <w:autoSpaceDE w:val="0"/>
        <w:autoSpaceDN w:val="0"/>
        <w:adjustRightInd w:val="0"/>
        <w:spacing w:line="360" w:lineRule="auto"/>
        <w:rPr>
          <w:rFonts w:ascii="Times New Roman" w:hAnsi="Times New Roman" w:cs="Times New Roman"/>
          <w:b/>
          <w:u w:val="single"/>
        </w:rPr>
      </w:pPr>
    </w:p>
    <w:p w14:paraId="3F375467" w14:textId="77777777" w:rsidR="002745B6" w:rsidRPr="00EF66BB" w:rsidRDefault="002745B6" w:rsidP="00141231">
      <w:pPr>
        <w:widowControl w:val="0"/>
        <w:autoSpaceDE w:val="0"/>
        <w:autoSpaceDN w:val="0"/>
        <w:adjustRightInd w:val="0"/>
        <w:spacing w:line="360" w:lineRule="auto"/>
        <w:ind w:left="480" w:hanging="480"/>
        <w:rPr>
          <w:rFonts w:ascii="Times New Roman" w:hAnsi="Times New Roman" w:cs="Times New Roman"/>
        </w:rPr>
      </w:pPr>
    </w:p>
    <w:p w14:paraId="204B84EB" w14:textId="77777777" w:rsidR="002745B6" w:rsidRDefault="002745B6" w:rsidP="00141231">
      <w:pPr>
        <w:widowControl w:val="0"/>
        <w:autoSpaceDE w:val="0"/>
        <w:autoSpaceDN w:val="0"/>
        <w:adjustRightInd w:val="0"/>
        <w:spacing w:line="360" w:lineRule="auto"/>
        <w:ind w:left="480" w:hanging="480"/>
        <w:rPr>
          <w:rFonts w:ascii="Times New Roman" w:hAnsi="Times New Roman" w:cs="Times New Roman"/>
        </w:rPr>
      </w:pPr>
    </w:p>
    <w:sectPr w:rsidR="002745B6" w:rsidSect="00E45B28">
      <w:footerReference w:type="even" r:id="rId15"/>
      <w:footerReference w:type="default" r:id="rId16"/>
      <w:pgSz w:w="11900" w:h="16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79CC47" w14:textId="77777777" w:rsidR="00B92CF2" w:rsidRDefault="00B92CF2" w:rsidP="001A3E4C">
      <w:r>
        <w:separator/>
      </w:r>
    </w:p>
  </w:endnote>
  <w:endnote w:type="continuationSeparator" w:id="0">
    <w:p w14:paraId="0C420FFC" w14:textId="77777777" w:rsidR="00B92CF2" w:rsidRDefault="00B92CF2" w:rsidP="001A3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dvTNR_RM">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TimesNewRoman">
    <w:panose1 w:val="020B0604020202020204"/>
    <w:charset w:val="80"/>
    <w:family w:val="auto"/>
    <w:notTrueType/>
    <w:pitch w:val="default"/>
    <w:sig w:usb0="00000001" w:usb1="08070000" w:usb2="00000010" w:usb3="00000000" w:csb0="00020000" w:csb1="00000000"/>
  </w:font>
  <w:font w:name="Bell MT">
    <w:panose1 w:val="020205030603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03366895"/>
      <w:docPartObj>
        <w:docPartGallery w:val="Page Numbers (Bottom of Page)"/>
        <w:docPartUnique/>
      </w:docPartObj>
    </w:sdtPr>
    <w:sdtEndPr>
      <w:rPr>
        <w:rStyle w:val="PageNumber"/>
      </w:rPr>
    </w:sdtEndPr>
    <w:sdtContent>
      <w:p w14:paraId="65A73C57" w14:textId="77777777" w:rsidR="007B4FF2" w:rsidRDefault="007B4FF2" w:rsidP="006852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C2C612" w14:textId="77777777" w:rsidR="007B4FF2" w:rsidRDefault="007B4FF2" w:rsidP="007B68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7740593"/>
      <w:docPartObj>
        <w:docPartGallery w:val="Page Numbers (Bottom of Page)"/>
        <w:docPartUnique/>
      </w:docPartObj>
    </w:sdtPr>
    <w:sdtEndPr>
      <w:rPr>
        <w:noProof/>
      </w:rPr>
    </w:sdtEndPr>
    <w:sdtContent>
      <w:p w14:paraId="3DB53875" w14:textId="4C54082C" w:rsidR="007B4FF2" w:rsidRDefault="007B4FF2">
        <w:pPr>
          <w:pStyle w:val="Footer"/>
          <w:jc w:val="center"/>
        </w:pPr>
        <w:r>
          <w:fldChar w:fldCharType="begin"/>
        </w:r>
        <w:r>
          <w:instrText xml:space="preserve"> PAGE   \* MERGEFORMAT </w:instrText>
        </w:r>
        <w:r>
          <w:fldChar w:fldCharType="separate"/>
        </w:r>
        <w:r w:rsidR="00AA436D">
          <w:rPr>
            <w:noProof/>
          </w:rPr>
          <w:t>22</w:t>
        </w:r>
        <w:r>
          <w:rPr>
            <w:noProof/>
          </w:rPr>
          <w:fldChar w:fldCharType="end"/>
        </w:r>
      </w:p>
    </w:sdtContent>
  </w:sdt>
  <w:p w14:paraId="11085611" w14:textId="4EA90B43" w:rsidR="007B4FF2" w:rsidRDefault="007B4FF2" w:rsidP="00141231">
    <w:pPr>
      <w:pStyle w:val="Footer"/>
      <w:tabs>
        <w:tab w:val="clear" w:pos="4513"/>
        <w:tab w:val="clear" w:pos="9026"/>
        <w:tab w:val="left" w:pos="934"/>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8F0A6" w14:textId="77777777" w:rsidR="00B92CF2" w:rsidRDefault="00B92CF2" w:rsidP="001A3E4C">
      <w:r>
        <w:separator/>
      </w:r>
    </w:p>
  </w:footnote>
  <w:footnote w:type="continuationSeparator" w:id="0">
    <w:p w14:paraId="32E7127F" w14:textId="77777777" w:rsidR="00B92CF2" w:rsidRDefault="00B92CF2" w:rsidP="001A3E4C">
      <w:r>
        <w:continuationSeparator/>
      </w:r>
    </w:p>
  </w:footnote>
  <w:footnote w:id="1">
    <w:p w14:paraId="73AED320" w14:textId="4C240150" w:rsidR="007B4FF2" w:rsidRPr="00A65A21" w:rsidRDefault="007B4FF2" w:rsidP="00844C46">
      <w:pPr>
        <w:pStyle w:val="FootnoteText"/>
        <w:rPr>
          <w:rFonts w:ascii="Times New Roman" w:hAnsi="Times New Roman" w:cs="Times New Roman"/>
        </w:rPr>
      </w:pPr>
      <w:r w:rsidRPr="00CD0532">
        <w:rPr>
          <w:rStyle w:val="FootnoteReference"/>
          <w:rFonts w:ascii="Times New Roman" w:hAnsi="Times New Roman" w:cs="Times New Roman"/>
        </w:rPr>
        <w:footnoteRef/>
      </w:r>
      <w:r w:rsidRPr="00A65A21">
        <w:rPr>
          <w:rFonts w:ascii="Times New Roman" w:hAnsi="Times New Roman" w:cs="Times New Roman"/>
        </w:rPr>
        <w:t xml:space="preserve"> Child uses the term objectives whereas we refer to priorities. </w:t>
      </w:r>
    </w:p>
  </w:footnote>
  <w:footnote w:id="2">
    <w:p w14:paraId="09DBCE1A" w14:textId="298A9B13" w:rsidR="007B4FF2" w:rsidRDefault="007B4FF2">
      <w:pPr>
        <w:pStyle w:val="FootnoteText"/>
      </w:pPr>
      <w:r>
        <w:rPr>
          <w:rStyle w:val="FootnoteReference"/>
        </w:rPr>
        <w:footnoteRef/>
      </w:r>
      <w:r>
        <w:t xml:space="preserve"> </w:t>
      </w:r>
      <w:r w:rsidRPr="004D0066">
        <w:rPr>
          <w:rFonts w:ascii="Times New Roman" w:hAnsi="Times New Roman" w:cs="Times New Roman"/>
          <w:sz w:val="18"/>
          <w:szCs w:val="18"/>
        </w:rPr>
        <w:t>In this study the measurements were collected at four time points, giving a reasonable time lag between exogenous variables, mediator, moderator and the outcome variables. This was done to overcome the potential measurement errors due to simultaneity bias often associated with cross sectional estimates.</w:t>
      </w:r>
    </w:p>
  </w:footnote>
  <w:footnote w:id="3">
    <w:p w14:paraId="4EEE6440" w14:textId="13F6F38F" w:rsidR="007B4FF2" w:rsidRPr="000A2247" w:rsidRDefault="007B4FF2" w:rsidP="007B7879">
      <w:pPr>
        <w:autoSpaceDE w:val="0"/>
        <w:autoSpaceDN w:val="0"/>
        <w:adjustRightInd w:val="0"/>
        <w:rPr>
          <w:rFonts w:ascii="Times New Roman" w:eastAsia="Times New Roman" w:hAnsi="Times New Roman" w:cs="Times New Roman"/>
          <w:color w:val="000000"/>
          <w:sz w:val="18"/>
          <w:szCs w:val="18"/>
        </w:rPr>
      </w:pPr>
      <w:r>
        <w:rPr>
          <w:rStyle w:val="FootnoteReference"/>
        </w:rPr>
        <w:footnoteRef/>
      </w:r>
      <w:r>
        <w:t xml:space="preserve"> </w:t>
      </w:r>
      <w:r w:rsidRPr="0041026D">
        <w:rPr>
          <w:rFonts w:ascii="Times New Roman" w:hAnsi="Times New Roman" w:cs="Times New Roman"/>
          <w:sz w:val="18"/>
          <w:szCs w:val="18"/>
        </w:rPr>
        <w:t>Accepting the fact that overfitting could produce unreliable results (Babyak, 2004)</w:t>
      </w:r>
      <w:r w:rsidRPr="0041026D">
        <w:rPr>
          <w:rFonts w:ascii="Times New Roman" w:eastAsia="Times New Roman" w:hAnsi="Times New Roman" w:cs="Times New Roman"/>
          <w:color w:val="000000"/>
          <w:sz w:val="18"/>
          <w:szCs w:val="18"/>
        </w:rPr>
        <w:t xml:space="preserve"> and that performing EFA and CFA on the same data set often results in model overfitting </w:t>
      </w:r>
      <w:r w:rsidRPr="0041026D">
        <w:rPr>
          <w:rFonts w:ascii="Times New Roman" w:hAnsi="Times New Roman" w:cs="Times New Roman"/>
          <w:sz w:val="18"/>
          <w:szCs w:val="18"/>
        </w:rPr>
        <w:t>(</w:t>
      </w:r>
      <w:r w:rsidRPr="0041026D">
        <w:rPr>
          <w:rFonts w:ascii="Times New Roman" w:eastAsia="Times New Roman" w:hAnsi="Times New Roman" w:cs="Times New Roman"/>
          <w:color w:val="000000"/>
          <w:sz w:val="18"/>
          <w:szCs w:val="18"/>
        </w:rPr>
        <w:t xml:space="preserve">Fokkema and Greiff, 2017), as a robustness test, we split the sample into two groups on a random basis and performed EFA on one set and CFA on the other. We repeated the same analysis by switching the samples. Although the factor loadings did not show an exact match, the items loaded on to each factor remained same in the two instances. Model fit statistics and validity and reliability criteria (using factor loadings, factor covariances and associated standard errors) followed as part of the CFA were also found to be very close in values in the two models tested. Furthermore, </w:t>
      </w:r>
      <w:r w:rsidRPr="0041026D">
        <w:rPr>
          <w:rFonts w:ascii="Times New Roman" w:hAnsi="Times New Roman" w:cs="Times New Roman"/>
          <w:sz w:val="18"/>
          <w:szCs w:val="18"/>
        </w:rPr>
        <w:t xml:space="preserve">prior to formulating the hypotheses, we were unsure of what items to be loaded together as both strategic choice and the TT effectiveness  items were selected from a range of items included in the questionnaire, some of which are theoretically related while others are not so but hold valid given the broader definitions to technology transfer used in the literature. As suggested by Fokkema and Greiff, (2017), “an exploratory approach is appropriate when the number of factors and the allocation of items to factors are unknown”. Taken together, we are confident that </w:t>
      </w:r>
      <w:r w:rsidRPr="0041026D">
        <w:rPr>
          <w:rFonts w:ascii="Times New Roman" w:eastAsia="Times New Roman" w:hAnsi="Times New Roman" w:cs="Times New Roman"/>
          <w:color w:val="000000"/>
          <w:sz w:val="18"/>
          <w:szCs w:val="18"/>
        </w:rPr>
        <w:t>utilising EFA and CFA on the same sample has in fact not inflated our results.</w:t>
      </w:r>
    </w:p>
    <w:p w14:paraId="2A0AC714" w14:textId="0AFE0ABB" w:rsidR="007B4FF2" w:rsidRPr="00D01C80" w:rsidRDefault="007B4FF2" w:rsidP="00D01C80">
      <w:pPr>
        <w:autoSpaceDE w:val="0"/>
        <w:autoSpaceDN w:val="0"/>
        <w:adjustRightInd w:val="0"/>
        <w:rPr>
          <w:rFonts w:ascii="Times New Roman" w:hAnsi="Times New Roman" w:cs="Times New Roman"/>
          <w:sz w:val="20"/>
          <w:szCs w:val="20"/>
        </w:rPr>
      </w:pPr>
    </w:p>
    <w:p w14:paraId="604AE7BB" w14:textId="202DA6BF" w:rsidR="007B4FF2" w:rsidRDefault="007B4FF2" w:rsidP="00742C6B">
      <w:pPr>
        <w:autoSpaceDE w:val="0"/>
        <w:autoSpaceDN w:val="0"/>
        <w:adjustRightInd w:val="0"/>
        <w:rPr>
          <w:rFonts w:ascii="AdvTNR_RM" w:hAnsi="AdvTNR_RM" w:cs="AdvTNR_RM"/>
          <w:sz w:val="20"/>
          <w:szCs w:val="20"/>
        </w:rPr>
      </w:pPr>
    </w:p>
    <w:p w14:paraId="0208A012" w14:textId="10AEED9F" w:rsidR="007B4FF2" w:rsidRDefault="007B4FF2">
      <w:pPr>
        <w:pStyle w:val="FootnoteText"/>
      </w:pPr>
    </w:p>
  </w:footnote>
  <w:footnote w:id="4">
    <w:p w14:paraId="4E341B6C" w14:textId="77777777" w:rsidR="007B4FF2" w:rsidRPr="006E0FED" w:rsidRDefault="007B4FF2" w:rsidP="00EF16DD">
      <w:pPr>
        <w:pStyle w:val="FootnoteText"/>
        <w:rPr>
          <w:rFonts w:ascii="Candara" w:hAnsi="Candara" w:cs="Times New Roman"/>
          <w:sz w:val="24"/>
          <w:szCs w:val="24"/>
        </w:rPr>
      </w:pPr>
      <w:r w:rsidRPr="008F29B6">
        <w:rPr>
          <w:rStyle w:val="FootnoteReference"/>
          <w:rFonts w:ascii="Times New Roman" w:hAnsi="Times New Roman" w:cs="Times New Roman"/>
          <w:sz w:val="18"/>
          <w:szCs w:val="18"/>
        </w:rPr>
        <w:footnoteRef/>
      </w:r>
      <w:r w:rsidRPr="008F29B6">
        <w:rPr>
          <w:rFonts w:ascii="Times New Roman" w:hAnsi="Times New Roman" w:cs="Times New Roman"/>
          <w:sz w:val="18"/>
          <w:szCs w:val="18"/>
        </w:rPr>
        <w:t xml:space="preserve"> </w:t>
      </w:r>
      <w:r w:rsidRPr="00EF16DD">
        <w:rPr>
          <w:rFonts w:ascii="Times New Roman" w:hAnsi="Times New Roman" w:cs="Times New Roman"/>
          <w:sz w:val="18"/>
          <w:szCs w:val="18"/>
        </w:rPr>
        <w:t>the latent variable approach where a group of individual measures represent each latent variable (as is the case with our mediation models) was not appropriate for testing moderated mediation when estimand plug-in in AMOS 24 is used due to the set restrictions in degrees of freedom and the sample size . The relatively small sample size in relation to the number of study variables in our models required that weighted composites of the measured indicators to be used as observed variables rather than individual measurements representing latent constructs in the moderated mediation SEM analysis using the estimand plug-in in AMOS 24. The estimand plug-in in AMOS is recommended as the most reliable technique to test moderated mediation even though it sets limits to the data structure when using smaller samples in SEM analysis.</w:t>
      </w:r>
      <w:r w:rsidRPr="006E0FED">
        <w:rPr>
          <w:rFonts w:ascii="Candara" w:hAnsi="Candara" w:cs="Times New Roman"/>
          <w:sz w:val="24"/>
          <w:szCs w:val="24"/>
        </w:rPr>
        <w:t xml:space="preserve"> </w:t>
      </w:r>
    </w:p>
    <w:p w14:paraId="01177907" w14:textId="2288515B" w:rsidR="007B4FF2" w:rsidRPr="008F29B6" w:rsidRDefault="007B4FF2" w:rsidP="001A3E4C">
      <w:pPr>
        <w:pStyle w:val="FootnoteText"/>
        <w:rPr>
          <w:rFonts w:ascii="Times New Roman" w:hAnsi="Times New Roman" w:cs="Times New Roman"/>
          <w:sz w:val="18"/>
          <w:szCs w:val="18"/>
        </w:rPr>
      </w:pPr>
      <w:r w:rsidRPr="008F29B6">
        <w:rPr>
          <w:rFonts w:ascii="Times New Roman" w:hAnsi="Times New Roman" w:cs="Times New Roman"/>
          <w:sz w:val="18"/>
          <w:szCs w:val="18"/>
        </w:rPr>
        <w:t xml:space="preserve"> </w:t>
      </w:r>
    </w:p>
  </w:footnote>
  <w:footnote w:id="5">
    <w:p w14:paraId="1500378A" w14:textId="18332936" w:rsidR="007B4FF2" w:rsidRPr="001D1B15" w:rsidRDefault="007B4FF2" w:rsidP="001D1B15">
      <w:pPr>
        <w:pStyle w:val="NoSpacing"/>
        <w:rPr>
          <w:rFonts w:ascii="Times New Roman" w:hAnsi="Times New Roman" w:cs="Times New Roman"/>
          <w:i/>
          <w:iCs/>
          <w:sz w:val="20"/>
          <w:szCs w:val="20"/>
        </w:rPr>
      </w:pPr>
      <w:r w:rsidRPr="001D1B15">
        <w:rPr>
          <w:rStyle w:val="FootnoteReference"/>
          <w:rFonts w:ascii="Times New Roman" w:hAnsi="Times New Roman" w:cs="Times New Roman"/>
          <w:sz w:val="20"/>
          <w:szCs w:val="20"/>
        </w:rPr>
        <w:footnoteRef/>
      </w:r>
      <w:r w:rsidRPr="001D1B15">
        <w:rPr>
          <w:rFonts w:ascii="Times New Roman" w:hAnsi="Times New Roman" w:cs="Times New Roman"/>
          <w:sz w:val="20"/>
          <w:szCs w:val="20"/>
        </w:rPr>
        <w:t xml:space="preserve"> Additionally, for discriminant validity, we followed </w:t>
      </w:r>
      <w:r w:rsidRPr="001D1B15">
        <w:rPr>
          <w:rFonts w:ascii="Times New Roman" w:hAnsi="Times New Roman" w:cs="Times New Roman"/>
          <w:sz w:val="20"/>
          <w:szCs w:val="20"/>
        </w:rPr>
        <w:fldChar w:fldCharType="begin" w:fldLock="1"/>
      </w:r>
      <w:r w:rsidRPr="001D1B15">
        <w:rPr>
          <w:rFonts w:ascii="Times New Roman" w:hAnsi="Times New Roman" w:cs="Times New Roman"/>
          <w:sz w:val="20"/>
          <w:szCs w:val="20"/>
        </w:rPr>
        <w:instrText>ADDIN CSL_CITATION {"citationItems":[{"id":"ITEM-1","itemData":{"DOI":"10.1007/s11747-015-0455-4","ISBN":"0092-0703","ISSN":"00920703","abstract":"The results of this research suggest a new mandate for discriminant validity testing in marketing. Specifically, the authors demonstrate that the AVE-SV comparison (Fornell and Larcker 1981) and HTMT ratio (Henseler et al. 2015) with 0.85 cutoff provide the best assessment of discriminant validity and should be the standard for publication in marketing. These conclusions are based on a thorough assessment of the literature and the results of a Monte Carlo simulation. First, based on a content analysis of articles published in seven leading marketing journals from 1996 to 2012, the authors demonstrate that three tests—the constrained phi (Jöreskog 1971), AVE-SV (Fornell and Larcker 1981), and overlapping confidence intervals (Anderson and Gerbing 1988)—are by far most common. Further review reveals that (1) more than 20% of survey-based and over 80% of non-survey-based marketing studies fail to document tests for discriminant validity, (2) there is wide variance across journals and research streams in terms of whether discriminant validity tests are performed, (3) conclusions have already been drawn about the relative stringency of the three most common methods, and (4) the method that is generally perceived to be most generous is being consistently misapplied in a way that erodes its stringency. Second, a Monte Carlo simulation is conducted to assess the relative rigor of the three most common tests, as well as an emerging technique (HTMT). Results reveal that (1) on average, the four discriminant validity testing methods detect violations approximately 50% of the time, (2) the constrained phi and overlapping confidence interval approaches perform very poorly in detecting violations whereas the AVE-SV test and HTMT (with a ratio cutoff of 0.85) methods perform well, and (3) the HTMT&lt;inf&gt;.85&lt;/inf&gt; method offers the best balance between high detection and low arbitrary violation (i.e., false positive) rates.","author":[{"dropping-particle":"","family":"Voorhees","given":"Clay M.","non-dropping-particle":"","parse-names":false,"suffix":""},{"dropping-particle":"","family":"Brady","given":"Michael K.","non-dropping-particle":"","parse-names":false,"suffix":""},{"dropping-particle":"","family":"Calantone","given":"Roger","non-dropping-particle":"","parse-names":false,"suffix":""},{"dropping-particle":"","family":"Ramirez","given":"Edward","non-dropping-particle":"","parse-names":false,"suffix":""}],"container-title":"Journal of the Academy of Marketing Science","id":"ITEM-1","issue":"1","issued":{"date-parts":[["2016"]]},"page":"119-134","title":"Discriminant validity testing in marketing: an analysis, causes for concern, and proposed remedies","type":"article-journal","volume":"44"},"uris":["http://www.mendeley.com/documents/?uuid=7d5e2f3a-d069-4e7d-93d0-337d1b316f89"]}],"mendeley":{"formattedCitation":"(Voorhees et al., 2016)","manualFormatting":"Voorhees et al's (2016)","plainTextFormattedCitation":"(Voorhees et al., 2016)","previouslyFormattedCitation":"(Voorhees et al., 2016)"},"properties":{"noteIndex":0},"schema":"https://github.com/citation-style-language/schema/raw/master/csl-citation.json"}</w:instrText>
      </w:r>
      <w:r w:rsidRPr="001D1B15">
        <w:rPr>
          <w:rFonts w:ascii="Times New Roman" w:hAnsi="Times New Roman" w:cs="Times New Roman"/>
          <w:sz w:val="20"/>
          <w:szCs w:val="20"/>
        </w:rPr>
        <w:fldChar w:fldCharType="separate"/>
      </w:r>
      <w:r w:rsidRPr="001D1B15">
        <w:rPr>
          <w:rFonts w:ascii="Times New Roman" w:hAnsi="Times New Roman" w:cs="Times New Roman"/>
          <w:noProof/>
          <w:sz w:val="20"/>
          <w:szCs w:val="20"/>
        </w:rPr>
        <w:t>Voorhees et al's (2016)</w:t>
      </w:r>
      <w:r w:rsidRPr="001D1B15">
        <w:rPr>
          <w:rFonts w:ascii="Times New Roman" w:hAnsi="Times New Roman" w:cs="Times New Roman"/>
          <w:sz w:val="20"/>
          <w:szCs w:val="20"/>
        </w:rPr>
        <w:fldChar w:fldCharType="end"/>
      </w:r>
      <w:r w:rsidRPr="001D1B15">
        <w:rPr>
          <w:rFonts w:ascii="Times New Roman" w:hAnsi="Times New Roman" w:cs="Times New Roman"/>
          <w:sz w:val="20"/>
          <w:szCs w:val="20"/>
        </w:rPr>
        <w:t xml:space="preserve"> recommendations and employed the AVE-shared variance comparison </w:t>
      </w:r>
      <w:r w:rsidRPr="001D1B15">
        <w:rPr>
          <w:rFonts w:ascii="Times New Roman" w:hAnsi="Times New Roman" w:cs="Times New Roman"/>
          <w:sz w:val="20"/>
          <w:szCs w:val="20"/>
        </w:rPr>
        <w:fldChar w:fldCharType="begin" w:fldLock="1"/>
      </w:r>
      <w:r w:rsidRPr="001D1B15">
        <w:rPr>
          <w:rFonts w:ascii="Times New Roman" w:hAnsi="Times New Roman" w:cs="Times New Roman"/>
          <w:sz w:val="20"/>
          <w:szCs w:val="20"/>
        </w:rPr>
        <w:instrText>ADDIN CSL_CITATION {"citationItems":[{"id":"ITEM-1","itemData":{"DOI":"10.2307/3151312","ISBN":"00222437","ISSN":"0022-2437","PMID":"5015357","abstract":"The statistical tests used in the analysis of structural equation models with unobservable variables and measurement error are examined. A drawback of the commonly applied chi square test, in addition to the known problems related to sample size and power, is that it may indicate an increasing correspondence between the hypothesized model and the observed data as both the measurement properties and the relationship between constructs decline. Further, and contrary to common assertion, the risk of making a Type II error can be substantial even when the sample size is large. Moreover, the present testing methods are unable to assess a model's explanatory power. To overcome these problems, the authors develop and apply a testing system based on measures of shared variance within the structural model, measurement model, and overall model.","author":[{"dropping-particle":"","family":"Fornell","given":"Claes","non-dropping-particle":"","parse-names":false,"suffix":""},{"dropping-particle":"","family":"Larcker","given":"DF","non-dropping-particle":"","parse-names":false,"suffix":""}],"container-title":"Journal of marketing research","id":"ITEM-1","issue":"3","issued":{"date-parts":[["1981"]]},"page":"39-50","title":"Evaluating structural equation models with unobservable variables and measurement error","type":"article-journal","volume":"18"},"uris":["http://www.mendeley.com/documents/?uuid=e06e88cd-08d1-4b3b-af26-5d011aaed5a8"]}],"mendeley":{"formattedCitation":"(Fornell and Larcker, 1981)","plainTextFormattedCitation":"(Fornell and Larcker, 1981)","previouslyFormattedCitation":"(Fornell and Larcker, 1981)"},"properties":{"noteIndex":0},"schema":"https://github.com/citation-style-language/schema/raw/master/csl-citation.json"}</w:instrText>
      </w:r>
      <w:r w:rsidRPr="001D1B15">
        <w:rPr>
          <w:rFonts w:ascii="Times New Roman" w:hAnsi="Times New Roman" w:cs="Times New Roman"/>
          <w:sz w:val="20"/>
          <w:szCs w:val="20"/>
        </w:rPr>
        <w:fldChar w:fldCharType="separate"/>
      </w:r>
      <w:r w:rsidRPr="001D1B15">
        <w:rPr>
          <w:rFonts w:ascii="Times New Roman" w:hAnsi="Times New Roman" w:cs="Times New Roman"/>
          <w:noProof/>
          <w:sz w:val="20"/>
          <w:szCs w:val="20"/>
        </w:rPr>
        <w:t>(Fornell and Larcker, 1981)</w:t>
      </w:r>
      <w:r w:rsidRPr="001D1B15">
        <w:rPr>
          <w:rFonts w:ascii="Times New Roman" w:hAnsi="Times New Roman" w:cs="Times New Roman"/>
          <w:sz w:val="20"/>
          <w:szCs w:val="20"/>
        </w:rPr>
        <w:fldChar w:fldCharType="end"/>
      </w:r>
      <w:r w:rsidRPr="001D1B15">
        <w:rPr>
          <w:rFonts w:ascii="Times New Roman" w:hAnsi="Times New Roman" w:cs="Times New Roman"/>
          <w:sz w:val="20"/>
          <w:szCs w:val="20"/>
        </w:rPr>
        <w:t xml:space="preserve">, and found that, on average, each construct relates more strongly to its own measures than to others. </w:t>
      </w:r>
    </w:p>
    <w:p w14:paraId="445F65D3" w14:textId="77777777" w:rsidR="007B4FF2" w:rsidRPr="00EF66BB" w:rsidRDefault="007B4FF2" w:rsidP="009C79C2">
      <w:pPr>
        <w:autoSpaceDE w:val="0"/>
        <w:autoSpaceDN w:val="0"/>
        <w:adjustRightInd w:val="0"/>
        <w:spacing w:line="360" w:lineRule="auto"/>
        <w:jc w:val="both"/>
        <w:rPr>
          <w:rFonts w:ascii="Times New Roman" w:hAnsi="Times New Roman" w:cs="Times New Roman"/>
        </w:rPr>
      </w:pPr>
    </w:p>
    <w:p w14:paraId="17DDA77D" w14:textId="1BB3BA75" w:rsidR="007B4FF2" w:rsidRDefault="007B4FF2">
      <w:pPr>
        <w:pStyle w:val="FootnoteText"/>
      </w:pPr>
    </w:p>
  </w:footnote>
  <w:footnote w:id="6">
    <w:p w14:paraId="71BC6210" w14:textId="733035A7" w:rsidR="007B4FF2" w:rsidRPr="00BE2F03" w:rsidRDefault="007B4FF2" w:rsidP="001A3E4C">
      <w:pPr>
        <w:pStyle w:val="FootnoteText"/>
      </w:pPr>
      <w:r w:rsidRPr="00BE2F03">
        <w:rPr>
          <w:rStyle w:val="FootnoteReference"/>
        </w:rPr>
        <w:footnoteRef/>
      </w:r>
      <w:r w:rsidRPr="00BE2F03">
        <w:t xml:space="preserve"> </w:t>
      </w:r>
      <w:r w:rsidRPr="008F29B6">
        <w:rPr>
          <w:rFonts w:ascii="Times New Roman" w:eastAsia="TimesNewRoman" w:hAnsi="Times New Roman" w:cs="Times New Roman"/>
          <w:color w:val="000000"/>
          <w:sz w:val="18"/>
          <w:szCs w:val="18"/>
        </w:rPr>
        <w:t>To exclude a potential reverse causality argument on the basis of a competing argument that the pr</w:t>
      </w:r>
      <w:r>
        <w:rPr>
          <w:rFonts w:ascii="Times New Roman" w:eastAsia="TimesNewRoman" w:hAnsi="Times New Roman" w:cs="Times New Roman"/>
          <w:color w:val="000000"/>
          <w:sz w:val="18"/>
          <w:szCs w:val="18"/>
        </w:rPr>
        <w:t>ioritisation of technology transfer</w:t>
      </w:r>
      <w:r w:rsidRPr="008F29B6">
        <w:rPr>
          <w:rFonts w:ascii="Times New Roman" w:eastAsia="TimesNewRoman" w:hAnsi="Times New Roman" w:cs="Times New Roman"/>
          <w:color w:val="000000"/>
          <w:sz w:val="18"/>
          <w:szCs w:val="18"/>
        </w:rPr>
        <w:t xml:space="preserve"> may cause universities to build their technology transfer capabilities, including provision of more human resource in the technology transfer office and provision of more incentives to drive technology transfer performance. To counter this contention, we modelled technology transfer </w:t>
      </w:r>
      <w:r>
        <w:rPr>
          <w:rFonts w:ascii="Times New Roman" w:eastAsia="TimesNewRoman" w:hAnsi="Times New Roman" w:cs="Times New Roman"/>
          <w:color w:val="000000"/>
          <w:sz w:val="18"/>
          <w:szCs w:val="18"/>
        </w:rPr>
        <w:t>prioritisation</w:t>
      </w:r>
      <w:r w:rsidRPr="008F29B6">
        <w:rPr>
          <w:rFonts w:ascii="Times New Roman" w:eastAsia="TimesNewRoman" w:hAnsi="Times New Roman" w:cs="Times New Roman"/>
          <w:color w:val="000000"/>
          <w:sz w:val="18"/>
          <w:szCs w:val="18"/>
        </w:rPr>
        <w:t xml:space="preserve"> as an antecedent variable impacting on TTO support and provision of incentives, and with strategy directly linked to technology transfer effectiveness. The overall fit indices show that this alternative model is significantly worse than our proposed conceptual model</w:t>
      </w:r>
      <w:r w:rsidRPr="00BE2F03">
        <w:rPr>
          <w:rFonts w:ascii="Bell MT" w:eastAsia="TimesNewRoman" w:hAnsi="Bell MT" w:cs="TimesNewRoman"/>
          <w:color w:val="000000"/>
        </w:rPr>
        <w:t>.</w:t>
      </w:r>
    </w:p>
  </w:footnote>
  <w:footnote w:id="7">
    <w:p w14:paraId="7280FA9D" w14:textId="1F38BAEF" w:rsidR="007B4FF2" w:rsidRDefault="007B4FF2" w:rsidP="00F43D3D">
      <w:pPr>
        <w:pStyle w:val="FootnoteText"/>
      </w:pPr>
      <w:r>
        <w:rPr>
          <w:rStyle w:val="FootnoteReference"/>
        </w:rPr>
        <w:footnoteRef/>
      </w:r>
      <w:r>
        <w:t xml:space="preserve"> </w:t>
      </w:r>
      <w:r>
        <w:rPr>
          <w:rFonts w:ascii="Times New Roman" w:hAnsi="Times New Roman" w:cs="Times New Roman"/>
        </w:rPr>
        <w:t xml:space="preserve">Bootstrapping follows </w:t>
      </w:r>
      <w:r w:rsidRPr="00EF66BB">
        <w:rPr>
          <w:rFonts w:ascii="Times New Roman" w:hAnsi="Times New Roman" w:cs="Times New Roman"/>
        </w:rPr>
        <w:t xml:space="preserve">a non-parametric resampling procedure that does not impose the assumption of normality on the sampling distribution. </w:t>
      </w:r>
      <w:r>
        <w:rPr>
          <w:rFonts w:ascii="Times New Roman" w:hAnsi="Times New Roman" w:cs="Times New Roman"/>
        </w:rPr>
        <w:t xml:space="preserve">We used </w:t>
      </w:r>
      <w:r w:rsidRPr="00EF66BB">
        <w:rPr>
          <w:rFonts w:ascii="Times New Roman" w:hAnsi="Times New Roman" w:cs="Times New Roman"/>
        </w:rPr>
        <w:t xml:space="preserve">95% confidence intervals for the indirect effects, drawing 2,000 random samples with replacement from the full sample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{"citationItems":[{"id":"ITEM-1","itemData":{"DOI":"10.1037/0033-2909.105.1.147","ISSN":"00332909","abstract":"Stevens (1946) asserted that (a) consistency between the scale of measurement that generates a data set and the statistical/mathematical treatment that the data receive is necessary for interpretable results and (b) scale-analysis consistency is achievable by using techniques that are invariant with respect to admissible transformations. A number of individuals have argued for an alternative view that implies little or no relationship between scale of measurement and proper analytical techniques. These counterarguments are criticized. Stevens' original thesis is then reexamined in light of recent work on meaningfulness issues in measurement. The importance of measurement issues for an interpretable analysis is confirmed. However, the invariance criterion for selecting analytical techniques has severe problems, even though it is usually the only practicable criterion available. (PsycINFO Database Record (c) 2016 APA, all rights reserved)","author":[{"dropping-particle":"","family":"Stine","given":"Wm Wren","non-dropping-particle":"","parse-names":false,"suffix":""}],"container-title":"Psychological Bulletin","id":"ITEM-1","issue":"1","issued":{"date-parts":[["1989"]]},"page":"147-155","title":"Meaningful Inference: The Role of Measurement in Statistics","type":"article-journal","volume":"105"},"uris":["http://www.mendeley.com/documents/?uuid=9f8da2db-2fcf-41c6-9aa6-c69913dfd590"]}],"mendeley":{"formattedCitation":"(Stine, 1989)","plainTextFormattedCitation":"(Stine, 1989)","previouslyFormattedCitation":"(Stine, 1989)"},"properties":{"noteIndex":0},"schema":"https://github.com/citation-style-language/schema/raw/master/csl-citation.json"}</w:instrText>
      </w:r>
      <w:r>
        <w:rPr>
          <w:rFonts w:ascii="Times New Roman" w:hAnsi="Times New Roman" w:cs="Times New Roman"/>
        </w:rPr>
        <w:fldChar w:fldCharType="separate"/>
      </w:r>
      <w:r w:rsidRPr="007F03FF">
        <w:rPr>
          <w:rFonts w:ascii="Times New Roman" w:hAnsi="Times New Roman" w:cs="Times New Roman"/>
          <w:noProof/>
        </w:rPr>
        <w:t>(Stine, 1989)</w:t>
      </w:r>
      <w:r>
        <w:rPr>
          <w:rFonts w:ascii="Times New Roman" w:hAnsi="Times New Roman" w:cs="Times New Roman"/>
        </w:rPr>
        <w:fldChar w:fldCharType="end"/>
      </w:r>
      <w:r w:rsidRPr="00EF66BB">
        <w:rPr>
          <w:rFonts w:ascii="Times New Roman" w:hAnsi="Times New Roman" w:cs="Times New Roman"/>
        </w:rPr>
        <w:t>.</w:t>
      </w:r>
    </w:p>
  </w:footnote>
  <w:footnote w:id="8">
    <w:p w14:paraId="7045B393" w14:textId="059466A1" w:rsidR="007B4FF2" w:rsidRDefault="007B4FF2" w:rsidP="005D3317">
      <w:pPr>
        <w:pStyle w:val="FootnoteText"/>
      </w:pPr>
      <w:r>
        <w:rPr>
          <w:rStyle w:val="FootnoteReference"/>
        </w:rPr>
        <w:footnoteRef/>
      </w:r>
      <w:r>
        <w:rPr>
          <w:rFonts w:ascii="Times New Roman" w:hAnsi="Times New Roman" w:cs="Times New Roman"/>
          <w:color w:val="000000"/>
        </w:rPr>
        <w:t>T</w:t>
      </w:r>
      <w:r w:rsidRPr="00EF66BB">
        <w:rPr>
          <w:rFonts w:ascii="Times New Roman" w:hAnsi="Times New Roman" w:cs="Times New Roman"/>
          <w:color w:val="000000"/>
        </w:rPr>
        <w:t>o determine the values of the moderator at which the conditional indirect effect was significant</w:t>
      </w:r>
      <w:r>
        <w:rPr>
          <w:rFonts w:ascii="Times New Roman" w:hAnsi="Times New Roman" w:cs="Times New Roman"/>
          <w:color w:val="000000"/>
        </w:rPr>
        <w:t>, m</w:t>
      </w:r>
      <w:r w:rsidRPr="00EF66BB">
        <w:rPr>
          <w:rFonts w:ascii="Times New Roman" w:hAnsi="Times New Roman" w:cs="Times New Roman"/>
        </w:rPr>
        <w:t xml:space="preserve">ultiple group SEM analysis using MyModMed estimand plug-in in AMOS 24 </w:t>
      </w:r>
      <w:r>
        <w:rPr>
          <w:rFonts w:ascii="Times New Roman" w:hAnsi="Times New Roman" w:cs="Times New Roman"/>
        </w:rPr>
        <w:t xml:space="preserve">was used. This method provides </w:t>
      </w:r>
      <w:r w:rsidRPr="00EF66BB">
        <w:rPr>
          <w:rFonts w:ascii="Times New Roman" w:hAnsi="Times New Roman" w:cs="Times New Roman"/>
        </w:rPr>
        <w:t xml:space="preserve">effect sizes and bias-corrected </w:t>
      </w:r>
      <w:r w:rsidRPr="00EF66BB">
        <w:rPr>
          <w:rFonts w:ascii="Times New Roman" w:hAnsi="Times New Roman" w:cs="Times New Roman"/>
          <w:color w:val="000000"/>
        </w:rPr>
        <w:t xml:space="preserve">95% confidence interval with 2000 bootstrapping samples </w:t>
      </w:r>
      <w:r>
        <w:rPr>
          <w:rFonts w:ascii="Times New Roman" w:hAnsi="Times New Roman" w:cs="Times New Roman"/>
          <w:color w:val="000000"/>
        </w:rPr>
        <w:fldChar w:fldCharType="begin" w:fldLock="1"/>
      </w:r>
      <w:r>
        <w:rPr>
          <w:rFonts w:ascii="Times New Roman" w:hAnsi="Times New Roman" w:cs="Times New Roman"/>
          <w:color w:val="000000"/>
        </w:rPr>
        <w:instrText>ADDIN CSL_CITATION {"citationItems":[{"id":"ITEM-1","itemData":{"author":[{"dropping-particle":"","family":"Selig","given":"J.P","non-dropping-particle":"","parse-names":false,"suffix":""},{"dropping-particle":"","family":"Preacher","given":"K.J","non-dropping-particle":"","parse-names":false,"suffix":""}],"id":"ITEM-1","issued":{"date-parts":[["2008"]]},"title":"Monte Carlo method for assessing mediation: An interactive tool for creating confidence intervals for indirect effects","type":"article"},"uris":["http://www.mendeley.com/documents/?uuid=e85bd942-0f9c-4acf-a0d2-e1488701afef"]}],"mendeley":{"formattedCitation":"(Selig and Preacher, 2008)","plainTextFormattedCitation":"(Selig and Preacher, 2008)","previouslyFormattedCitation":"(Selig and Preacher, 2008)"},"properties":{"noteIndex":0},"schema":"https://github.com/citation-style-language/schema/raw/master/csl-citation.json"}</w:instrText>
      </w:r>
      <w:r>
        <w:rPr>
          <w:rFonts w:ascii="Times New Roman" w:hAnsi="Times New Roman" w:cs="Times New Roman"/>
          <w:color w:val="000000"/>
        </w:rPr>
        <w:fldChar w:fldCharType="separate"/>
      </w:r>
      <w:r w:rsidRPr="007F03FF">
        <w:rPr>
          <w:rFonts w:ascii="Times New Roman" w:hAnsi="Times New Roman" w:cs="Times New Roman"/>
          <w:noProof/>
          <w:color w:val="000000"/>
        </w:rPr>
        <w:t>(Selig and Preacher, 2008)</w:t>
      </w:r>
      <w:r>
        <w:rPr>
          <w:rFonts w:ascii="Times New Roman" w:hAnsi="Times New Roman" w:cs="Times New Roman"/>
          <w:color w:val="000000"/>
        </w:rPr>
        <w:fldChar w:fldCharType="end"/>
      </w:r>
      <w:r w:rsidRPr="00EF66BB">
        <w:rPr>
          <w:rFonts w:ascii="Times New Roman" w:hAnsi="Times New Roman" w:cs="Times New Roman"/>
          <w:color w:val="000000"/>
        </w:rPr>
        <w:t xml:space="preserve"> </w:t>
      </w:r>
    </w:p>
  </w:footnote>
  <w:footnote w:id="9">
    <w:p w14:paraId="6623F5D7" w14:textId="7C97B999" w:rsidR="007B4FF2" w:rsidRPr="00EF66BB" w:rsidRDefault="007B4FF2" w:rsidP="00687AE1">
      <w:pPr>
        <w:pStyle w:val="NoSpacing"/>
      </w:pPr>
      <w:r>
        <w:rPr>
          <w:rStyle w:val="FootnoteReference"/>
        </w:rPr>
        <w:footnoteRef/>
      </w:r>
      <w:r>
        <w:t xml:space="preserve"> </w:t>
      </w:r>
      <w:r w:rsidRPr="00687AE1">
        <w:rPr>
          <w:rFonts w:ascii="Times New Roman" w:hAnsi="Times New Roman" w:cs="Times New Roman"/>
          <w:sz w:val="18"/>
          <w:szCs w:val="18"/>
        </w:rPr>
        <w:t xml:space="preserve"> </w:t>
      </w:r>
      <w:r>
        <w:rPr>
          <w:rFonts w:ascii="Times New Roman" w:hAnsi="Times New Roman" w:cs="Times New Roman"/>
          <w:sz w:val="18"/>
          <w:szCs w:val="18"/>
        </w:rPr>
        <w:t>A</w:t>
      </w:r>
      <w:r w:rsidRPr="00687AE1">
        <w:rPr>
          <w:rFonts w:ascii="Times New Roman" w:hAnsi="Times New Roman" w:cs="Times New Roman"/>
          <w:sz w:val="18"/>
          <w:szCs w:val="18"/>
        </w:rPr>
        <w:t xml:space="preserve"> reduction in the estimated path coefficients between sub- samples evidenced by the CI in bootstrapping tests would verify a significant difference between two models: high breadth planning versus low breadth planning.</w:t>
      </w:r>
      <w:r w:rsidRPr="00EF66BB">
        <w:t xml:space="preserve"> </w:t>
      </w:r>
    </w:p>
    <w:p w14:paraId="4A03D37C" w14:textId="7D67AF1D" w:rsidR="007B4FF2" w:rsidRDefault="007B4FF2">
      <w:pPr>
        <w:pStyle w:val="FootnoteText"/>
      </w:pPr>
    </w:p>
  </w:footnote>
  <w:footnote w:id="10">
    <w:p w14:paraId="3F6266CA" w14:textId="5526AC07" w:rsidR="007B4FF2" w:rsidRPr="007B4FF2" w:rsidRDefault="007B4FF2">
      <w:pPr>
        <w:pStyle w:val="FootnoteText"/>
        <w:rPr>
          <w:rFonts w:ascii="Times New Roman" w:hAnsi="Times New Roman" w:cs="Times New Roman"/>
          <w:sz w:val="18"/>
          <w:szCs w:val="18"/>
        </w:rPr>
      </w:pPr>
      <w:r w:rsidRPr="007B4FF2">
        <w:rPr>
          <w:rStyle w:val="FootnoteReference"/>
          <w:rFonts w:ascii="Times New Roman" w:hAnsi="Times New Roman" w:cs="Times New Roman"/>
          <w:sz w:val="18"/>
          <w:szCs w:val="18"/>
        </w:rPr>
        <w:footnoteRef/>
      </w:r>
      <w:r w:rsidRPr="007B4FF2">
        <w:rPr>
          <w:rFonts w:ascii="Times New Roman" w:hAnsi="Times New Roman" w:cs="Times New Roman"/>
          <w:sz w:val="18"/>
          <w:szCs w:val="18"/>
        </w:rPr>
        <w:t xml:space="preserve"> The start and end points of the two lines represent the lowest and the highest scores for technology transfer effectiveness measure in logarithmic scale.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97621"/>
    <w:multiLevelType w:val="hybridMultilevel"/>
    <w:tmpl w:val="68307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2B7113"/>
    <w:multiLevelType w:val="hybridMultilevel"/>
    <w:tmpl w:val="AF469394"/>
    <w:lvl w:ilvl="0" w:tplc="1488F72A">
      <w:start w:val="1"/>
      <w:numFmt w:val="bullet"/>
      <w:lvlText w:val=""/>
      <w:lvlJc w:val="left"/>
      <w:pPr>
        <w:ind w:left="1300" w:hanging="360"/>
      </w:pPr>
      <w:rPr>
        <w:rFonts w:ascii="Symbol" w:eastAsiaTheme="minorHAnsi" w:hAnsi="Symbol" w:cstheme="minorBidi"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2" w15:restartNumberingAfterBreak="0">
    <w:nsid w:val="62AE7CAB"/>
    <w:multiLevelType w:val="hybridMultilevel"/>
    <w:tmpl w:val="14EA95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E6F37BF"/>
    <w:multiLevelType w:val="multilevel"/>
    <w:tmpl w:val="A620AE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E4C"/>
    <w:rsid w:val="000035D2"/>
    <w:rsid w:val="0000678C"/>
    <w:rsid w:val="00014374"/>
    <w:rsid w:val="00023628"/>
    <w:rsid w:val="000246A7"/>
    <w:rsid w:val="000445A8"/>
    <w:rsid w:val="00051EBF"/>
    <w:rsid w:val="000539CE"/>
    <w:rsid w:val="00054641"/>
    <w:rsid w:val="00055EE7"/>
    <w:rsid w:val="000676BB"/>
    <w:rsid w:val="00073C0F"/>
    <w:rsid w:val="00082A02"/>
    <w:rsid w:val="00086A92"/>
    <w:rsid w:val="00086C13"/>
    <w:rsid w:val="000A1691"/>
    <w:rsid w:val="000A2247"/>
    <w:rsid w:val="000A4B60"/>
    <w:rsid w:val="000A56DC"/>
    <w:rsid w:val="000A6454"/>
    <w:rsid w:val="000A6673"/>
    <w:rsid w:val="000B325D"/>
    <w:rsid w:val="000B4B60"/>
    <w:rsid w:val="000C0557"/>
    <w:rsid w:val="000C0C13"/>
    <w:rsid w:val="000C1A49"/>
    <w:rsid w:val="000D3673"/>
    <w:rsid w:val="000D57A9"/>
    <w:rsid w:val="000E3CB6"/>
    <w:rsid w:val="000F3CAC"/>
    <w:rsid w:val="000F4749"/>
    <w:rsid w:val="000F5C9A"/>
    <w:rsid w:val="0011158B"/>
    <w:rsid w:val="00112F1D"/>
    <w:rsid w:val="001174AC"/>
    <w:rsid w:val="001225D2"/>
    <w:rsid w:val="00123EF6"/>
    <w:rsid w:val="001254A1"/>
    <w:rsid w:val="00130700"/>
    <w:rsid w:val="00132A14"/>
    <w:rsid w:val="00141231"/>
    <w:rsid w:val="00142284"/>
    <w:rsid w:val="00145115"/>
    <w:rsid w:val="00150162"/>
    <w:rsid w:val="00155FCE"/>
    <w:rsid w:val="001617E6"/>
    <w:rsid w:val="00162790"/>
    <w:rsid w:val="00180617"/>
    <w:rsid w:val="00187681"/>
    <w:rsid w:val="001A1012"/>
    <w:rsid w:val="001A25F9"/>
    <w:rsid w:val="001A2659"/>
    <w:rsid w:val="001A3E4C"/>
    <w:rsid w:val="001B367E"/>
    <w:rsid w:val="001B788A"/>
    <w:rsid w:val="001C1750"/>
    <w:rsid w:val="001C1CBC"/>
    <w:rsid w:val="001C5569"/>
    <w:rsid w:val="001C6094"/>
    <w:rsid w:val="001D1B15"/>
    <w:rsid w:val="001E1706"/>
    <w:rsid w:val="001E1E6D"/>
    <w:rsid w:val="001E5F2C"/>
    <w:rsid w:val="001E6098"/>
    <w:rsid w:val="001E7A1E"/>
    <w:rsid w:val="001F0D94"/>
    <w:rsid w:val="002008FC"/>
    <w:rsid w:val="00205047"/>
    <w:rsid w:val="00206E5D"/>
    <w:rsid w:val="0020748E"/>
    <w:rsid w:val="00221A86"/>
    <w:rsid w:val="00223D3E"/>
    <w:rsid w:val="0022614E"/>
    <w:rsid w:val="00226E24"/>
    <w:rsid w:val="00232282"/>
    <w:rsid w:val="00241550"/>
    <w:rsid w:val="00244071"/>
    <w:rsid w:val="00250E46"/>
    <w:rsid w:val="00253CDC"/>
    <w:rsid w:val="002542A9"/>
    <w:rsid w:val="00263721"/>
    <w:rsid w:val="002701F0"/>
    <w:rsid w:val="00274166"/>
    <w:rsid w:val="002745B6"/>
    <w:rsid w:val="002748CF"/>
    <w:rsid w:val="0027541D"/>
    <w:rsid w:val="00275EBD"/>
    <w:rsid w:val="002773F5"/>
    <w:rsid w:val="00281046"/>
    <w:rsid w:val="0028160A"/>
    <w:rsid w:val="002834AD"/>
    <w:rsid w:val="0029751C"/>
    <w:rsid w:val="002A09F7"/>
    <w:rsid w:val="002A3BBA"/>
    <w:rsid w:val="002A5769"/>
    <w:rsid w:val="002A5B36"/>
    <w:rsid w:val="002B1D58"/>
    <w:rsid w:val="002D0426"/>
    <w:rsid w:val="002D61A3"/>
    <w:rsid w:val="002D793C"/>
    <w:rsid w:val="002E12F1"/>
    <w:rsid w:val="002E3FE4"/>
    <w:rsid w:val="002F3B21"/>
    <w:rsid w:val="00300C55"/>
    <w:rsid w:val="0030131C"/>
    <w:rsid w:val="00311DAE"/>
    <w:rsid w:val="00311E6D"/>
    <w:rsid w:val="003167C8"/>
    <w:rsid w:val="0031770D"/>
    <w:rsid w:val="00327EC8"/>
    <w:rsid w:val="0033458D"/>
    <w:rsid w:val="003355CA"/>
    <w:rsid w:val="00337A8A"/>
    <w:rsid w:val="00345FFC"/>
    <w:rsid w:val="00350DB9"/>
    <w:rsid w:val="0036108B"/>
    <w:rsid w:val="00365000"/>
    <w:rsid w:val="003701D1"/>
    <w:rsid w:val="0037282A"/>
    <w:rsid w:val="00374E45"/>
    <w:rsid w:val="00385EB1"/>
    <w:rsid w:val="0039180B"/>
    <w:rsid w:val="003A343A"/>
    <w:rsid w:val="003B0737"/>
    <w:rsid w:val="003B0C4A"/>
    <w:rsid w:val="003B16AA"/>
    <w:rsid w:val="003B1FDA"/>
    <w:rsid w:val="003B2BF7"/>
    <w:rsid w:val="003C30BB"/>
    <w:rsid w:val="003C3573"/>
    <w:rsid w:val="003C6758"/>
    <w:rsid w:val="003E306B"/>
    <w:rsid w:val="003E4093"/>
    <w:rsid w:val="004019B2"/>
    <w:rsid w:val="0040350D"/>
    <w:rsid w:val="0040433E"/>
    <w:rsid w:val="00404E1B"/>
    <w:rsid w:val="00406296"/>
    <w:rsid w:val="0041026D"/>
    <w:rsid w:val="00414FA4"/>
    <w:rsid w:val="00415A9F"/>
    <w:rsid w:val="0042472C"/>
    <w:rsid w:val="00432AEA"/>
    <w:rsid w:val="004339CF"/>
    <w:rsid w:val="00434FA2"/>
    <w:rsid w:val="00437B5E"/>
    <w:rsid w:val="00441181"/>
    <w:rsid w:val="00450A76"/>
    <w:rsid w:val="00456D06"/>
    <w:rsid w:val="00456DD6"/>
    <w:rsid w:val="00457FA5"/>
    <w:rsid w:val="004629DB"/>
    <w:rsid w:val="0046708F"/>
    <w:rsid w:val="00467186"/>
    <w:rsid w:val="004802FF"/>
    <w:rsid w:val="004832EA"/>
    <w:rsid w:val="00487BE5"/>
    <w:rsid w:val="004915EA"/>
    <w:rsid w:val="00491749"/>
    <w:rsid w:val="00495D9E"/>
    <w:rsid w:val="004960E6"/>
    <w:rsid w:val="004A3A5B"/>
    <w:rsid w:val="004A7BC7"/>
    <w:rsid w:val="004C3863"/>
    <w:rsid w:val="004D0066"/>
    <w:rsid w:val="004E08FB"/>
    <w:rsid w:val="004E4B50"/>
    <w:rsid w:val="004F2A73"/>
    <w:rsid w:val="004F4801"/>
    <w:rsid w:val="004F58F9"/>
    <w:rsid w:val="00504EBA"/>
    <w:rsid w:val="00515564"/>
    <w:rsid w:val="00523C1E"/>
    <w:rsid w:val="00531AB4"/>
    <w:rsid w:val="00531DE7"/>
    <w:rsid w:val="00546D45"/>
    <w:rsid w:val="00546E19"/>
    <w:rsid w:val="0055220B"/>
    <w:rsid w:val="0055392B"/>
    <w:rsid w:val="00556782"/>
    <w:rsid w:val="00556873"/>
    <w:rsid w:val="0055761B"/>
    <w:rsid w:val="005605F1"/>
    <w:rsid w:val="0056327E"/>
    <w:rsid w:val="00565426"/>
    <w:rsid w:val="005710B8"/>
    <w:rsid w:val="00574152"/>
    <w:rsid w:val="005753E4"/>
    <w:rsid w:val="00576A34"/>
    <w:rsid w:val="00577636"/>
    <w:rsid w:val="00581790"/>
    <w:rsid w:val="00593123"/>
    <w:rsid w:val="005A4025"/>
    <w:rsid w:val="005B0778"/>
    <w:rsid w:val="005B213A"/>
    <w:rsid w:val="005C0C62"/>
    <w:rsid w:val="005C76D1"/>
    <w:rsid w:val="005D3317"/>
    <w:rsid w:val="005F0F73"/>
    <w:rsid w:val="005F1251"/>
    <w:rsid w:val="005F2294"/>
    <w:rsid w:val="005F47D8"/>
    <w:rsid w:val="005F604E"/>
    <w:rsid w:val="00602978"/>
    <w:rsid w:val="006039F6"/>
    <w:rsid w:val="006109AC"/>
    <w:rsid w:val="00620BF0"/>
    <w:rsid w:val="006374EC"/>
    <w:rsid w:val="00637EA0"/>
    <w:rsid w:val="00637FD4"/>
    <w:rsid w:val="006516A8"/>
    <w:rsid w:val="00653188"/>
    <w:rsid w:val="006620C9"/>
    <w:rsid w:val="00664635"/>
    <w:rsid w:val="006651B0"/>
    <w:rsid w:val="006732A7"/>
    <w:rsid w:val="00674302"/>
    <w:rsid w:val="0067657F"/>
    <w:rsid w:val="00677415"/>
    <w:rsid w:val="006852D0"/>
    <w:rsid w:val="00686F77"/>
    <w:rsid w:val="00687AE1"/>
    <w:rsid w:val="006B7623"/>
    <w:rsid w:val="006C481D"/>
    <w:rsid w:val="006C6209"/>
    <w:rsid w:val="006D1AF6"/>
    <w:rsid w:val="006D2AB4"/>
    <w:rsid w:val="006D4C29"/>
    <w:rsid w:val="006D75BF"/>
    <w:rsid w:val="006E45CA"/>
    <w:rsid w:val="006E6D78"/>
    <w:rsid w:val="006F51E3"/>
    <w:rsid w:val="006F57B4"/>
    <w:rsid w:val="007043EE"/>
    <w:rsid w:val="00706A40"/>
    <w:rsid w:val="00722979"/>
    <w:rsid w:val="00725933"/>
    <w:rsid w:val="007323BF"/>
    <w:rsid w:val="00732CB8"/>
    <w:rsid w:val="00733D35"/>
    <w:rsid w:val="00736664"/>
    <w:rsid w:val="00737078"/>
    <w:rsid w:val="0073737A"/>
    <w:rsid w:val="00742C6B"/>
    <w:rsid w:val="0074357A"/>
    <w:rsid w:val="007515AB"/>
    <w:rsid w:val="00765A66"/>
    <w:rsid w:val="0077155B"/>
    <w:rsid w:val="007740D7"/>
    <w:rsid w:val="007746C0"/>
    <w:rsid w:val="007836CA"/>
    <w:rsid w:val="00785349"/>
    <w:rsid w:val="00785B57"/>
    <w:rsid w:val="007926D7"/>
    <w:rsid w:val="007A0E5B"/>
    <w:rsid w:val="007A1C70"/>
    <w:rsid w:val="007A2BD1"/>
    <w:rsid w:val="007A6850"/>
    <w:rsid w:val="007B31FD"/>
    <w:rsid w:val="007B4FF2"/>
    <w:rsid w:val="007B68D1"/>
    <w:rsid w:val="007B7879"/>
    <w:rsid w:val="007C06EA"/>
    <w:rsid w:val="007C21F4"/>
    <w:rsid w:val="007C4C85"/>
    <w:rsid w:val="007C78E0"/>
    <w:rsid w:val="007E5C20"/>
    <w:rsid w:val="007F03FF"/>
    <w:rsid w:val="007F0539"/>
    <w:rsid w:val="008039B9"/>
    <w:rsid w:val="0080772B"/>
    <w:rsid w:val="00812451"/>
    <w:rsid w:val="00812E3B"/>
    <w:rsid w:val="00813ACC"/>
    <w:rsid w:val="00843ADB"/>
    <w:rsid w:val="00844C46"/>
    <w:rsid w:val="008747C5"/>
    <w:rsid w:val="00877F8E"/>
    <w:rsid w:val="00881526"/>
    <w:rsid w:val="00886CC2"/>
    <w:rsid w:val="008A298F"/>
    <w:rsid w:val="008A3D34"/>
    <w:rsid w:val="008C656A"/>
    <w:rsid w:val="008C6AC6"/>
    <w:rsid w:val="008C73A7"/>
    <w:rsid w:val="008D1FDB"/>
    <w:rsid w:val="008D27FC"/>
    <w:rsid w:val="008D5F18"/>
    <w:rsid w:val="008E63E5"/>
    <w:rsid w:val="008F2687"/>
    <w:rsid w:val="008F29B6"/>
    <w:rsid w:val="008F5708"/>
    <w:rsid w:val="008F61BC"/>
    <w:rsid w:val="00900B9E"/>
    <w:rsid w:val="00911179"/>
    <w:rsid w:val="0092045A"/>
    <w:rsid w:val="0092418F"/>
    <w:rsid w:val="00927956"/>
    <w:rsid w:val="009350D7"/>
    <w:rsid w:val="0094051E"/>
    <w:rsid w:val="009421FE"/>
    <w:rsid w:val="0094226B"/>
    <w:rsid w:val="00942584"/>
    <w:rsid w:val="0094677F"/>
    <w:rsid w:val="00950DDD"/>
    <w:rsid w:val="00953A49"/>
    <w:rsid w:val="009562AE"/>
    <w:rsid w:val="00957CF9"/>
    <w:rsid w:val="00961459"/>
    <w:rsid w:val="00963B7D"/>
    <w:rsid w:val="00986F6C"/>
    <w:rsid w:val="00994805"/>
    <w:rsid w:val="009963DC"/>
    <w:rsid w:val="0099772D"/>
    <w:rsid w:val="009A5A88"/>
    <w:rsid w:val="009B28DB"/>
    <w:rsid w:val="009C79C2"/>
    <w:rsid w:val="009D3EB7"/>
    <w:rsid w:val="009D53F4"/>
    <w:rsid w:val="009E3DE8"/>
    <w:rsid w:val="009E7EDB"/>
    <w:rsid w:val="00A00152"/>
    <w:rsid w:val="00A01743"/>
    <w:rsid w:val="00A02C96"/>
    <w:rsid w:val="00A05DC7"/>
    <w:rsid w:val="00A1067C"/>
    <w:rsid w:val="00A151A5"/>
    <w:rsid w:val="00A206D7"/>
    <w:rsid w:val="00A246C4"/>
    <w:rsid w:val="00A33DC8"/>
    <w:rsid w:val="00A36192"/>
    <w:rsid w:val="00A3738A"/>
    <w:rsid w:val="00A4592A"/>
    <w:rsid w:val="00A5061E"/>
    <w:rsid w:val="00A63D6E"/>
    <w:rsid w:val="00A65A21"/>
    <w:rsid w:val="00A661B2"/>
    <w:rsid w:val="00A66AB9"/>
    <w:rsid w:val="00A66AE8"/>
    <w:rsid w:val="00A670C9"/>
    <w:rsid w:val="00A700F6"/>
    <w:rsid w:val="00A7137D"/>
    <w:rsid w:val="00A73BFC"/>
    <w:rsid w:val="00A7512E"/>
    <w:rsid w:val="00A76929"/>
    <w:rsid w:val="00A804C1"/>
    <w:rsid w:val="00A81C29"/>
    <w:rsid w:val="00A84782"/>
    <w:rsid w:val="00A87201"/>
    <w:rsid w:val="00A87C06"/>
    <w:rsid w:val="00A96771"/>
    <w:rsid w:val="00A96CB3"/>
    <w:rsid w:val="00A97F69"/>
    <w:rsid w:val="00AA0DA8"/>
    <w:rsid w:val="00AA16A8"/>
    <w:rsid w:val="00AA3A38"/>
    <w:rsid w:val="00AA436D"/>
    <w:rsid w:val="00AB203A"/>
    <w:rsid w:val="00AC11E8"/>
    <w:rsid w:val="00AC38A7"/>
    <w:rsid w:val="00AC5718"/>
    <w:rsid w:val="00AD6070"/>
    <w:rsid w:val="00AD6B4D"/>
    <w:rsid w:val="00AE2F23"/>
    <w:rsid w:val="00AE3A86"/>
    <w:rsid w:val="00AF28AD"/>
    <w:rsid w:val="00B0657A"/>
    <w:rsid w:val="00B16DC9"/>
    <w:rsid w:val="00B20776"/>
    <w:rsid w:val="00B2280B"/>
    <w:rsid w:val="00B24626"/>
    <w:rsid w:val="00B27393"/>
    <w:rsid w:val="00B4456C"/>
    <w:rsid w:val="00B53F90"/>
    <w:rsid w:val="00B5667B"/>
    <w:rsid w:val="00B72A19"/>
    <w:rsid w:val="00B74E02"/>
    <w:rsid w:val="00B81826"/>
    <w:rsid w:val="00B83D7F"/>
    <w:rsid w:val="00B92CF2"/>
    <w:rsid w:val="00BA1441"/>
    <w:rsid w:val="00BA1F27"/>
    <w:rsid w:val="00BA447C"/>
    <w:rsid w:val="00BB0CAD"/>
    <w:rsid w:val="00BB56CB"/>
    <w:rsid w:val="00BC31F7"/>
    <w:rsid w:val="00BC3ED0"/>
    <w:rsid w:val="00BC6862"/>
    <w:rsid w:val="00BE3AB4"/>
    <w:rsid w:val="00BF247C"/>
    <w:rsid w:val="00BF4A32"/>
    <w:rsid w:val="00C039D7"/>
    <w:rsid w:val="00C0401F"/>
    <w:rsid w:val="00C06E51"/>
    <w:rsid w:val="00C1280A"/>
    <w:rsid w:val="00C13F5C"/>
    <w:rsid w:val="00C21A62"/>
    <w:rsid w:val="00C231BC"/>
    <w:rsid w:val="00C25DF7"/>
    <w:rsid w:val="00C30DC1"/>
    <w:rsid w:val="00C36EB0"/>
    <w:rsid w:val="00C46A44"/>
    <w:rsid w:val="00C50B57"/>
    <w:rsid w:val="00C51B52"/>
    <w:rsid w:val="00C61837"/>
    <w:rsid w:val="00C62DF2"/>
    <w:rsid w:val="00C64CDD"/>
    <w:rsid w:val="00C72236"/>
    <w:rsid w:val="00C72BDD"/>
    <w:rsid w:val="00C87C07"/>
    <w:rsid w:val="00C93899"/>
    <w:rsid w:val="00C97E8D"/>
    <w:rsid w:val="00CA76BE"/>
    <w:rsid w:val="00CB4698"/>
    <w:rsid w:val="00CB599F"/>
    <w:rsid w:val="00CD0532"/>
    <w:rsid w:val="00CD3B59"/>
    <w:rsid w:val="00CD6B5E"/>
    <w:rsid w:val="00CD79CD"/>
    <w:rsid w:val="00CE0F15"/>
    <w:rsid w:val="00CE1EC1"/>
    <w:rsid w:val="00D01C80"/>
    <w:rsid w:val="00D02BF3"/>
    <w:rsid w:val="00D0547D"/>
    <w:rsid w:val="00D12023"/>
    <w:rsid w:val="00D17D9A"/>
    <w:rsid w:val="00D213AA"/>
    <w:rsid w:val="00D21852"/>
    <w:rsid w:val="00D35565"/>
    <w:rsid w:val="00D44A2A"/>
    <w:rsid w:val="00D526CA"/>
    <w:rsid w:val="00D528B0"/>
    <w:rsid w:val="00D5780E"/>
    <w:rsid w:val="00D57BC8"/>
    <w:rsid w:val="00D61983"/>
    <w:rsid w:val="00D840D9"/>
    <w:rsid w:val="00D8475F"/>
    <w:rsid w:val="00D84A9D"/>
    <w:rsid w:val="00D930E9"/>
    <w:rsid w:val="00D95C01"/>
    <w:rsid w:val="00D97ACD"/>
    <w:rsid w:val="00DA10CA"/>
    <w:rsid w:val="00DB14AF"/>
    <w:rsid w:val="00DC7939"/>
    <w:rsid w:val="00DD1771"/>
    <w:rsid w:val="00DD43D3"/>
    <w:rsid w:val="00DD4624"/>
    <w:rsid w:val="00DD7DCE"/>
    <w:rsid w:val="00DE16C0"/>
    <w:rsid w:val="00DE1ED4"/>
    <w:rsid w:val="00DE5424"/>
    <w:rsid w:val="00E0042A"/>
    <w:rsid w:val="00E024C4"/>
    <w:rsid w:val="00E0272F"/>
    <w:rsid w:val="00E10EAE"/>
    <w:rsid w:val="00E25426"/>
    <w:rsid w:val="00E275A0"/>
    <w:rsid w:val="00E307C7"/>
    <w:rsid w:val="00E31B56"/>
    <w:rsid w:val="00E31E9F"/>
    <w:rsid w:val="00E360EE"/>
    <w:rsid w:val="00E372F1"/>
    <w:rsid w:val="00E45B28"/>
    <w:rsid w:val="00E5440B"/>
    <w:rsid w:val="00E54547"/>
    <w:rsid w:val="00E73F11"/>
    <w:rsid w:val="00E806AB"/>
    <w:rsid w:val="00E813E9"/>
    <w:rsid w:val="00E83D9A"/>
    <w:rsid w:val="00E90682"/>
    <w:rsid w:val="00E932C1"/>
    <w:rsid w:val="00E9366D"/>
    <w:rsid w:val="00E9682A"/>
    <w:rsid w:val="00EA61D4"/>
    <w:rsid w:val="00EB6ED5"/>
    <w:rsid w:val="00EC2FA0"/>
    <w:rsid w:val="00EC3549"/>
    <w:rsid w:val="00EC71AC"/>
    <w:rsid w:val="00ED2514"/>
    <w:rsid w:val="00ED5223"/>
    <w:rsid w:val="00ED6C6F"/>
    <w:rsid w:val="00EE11BA"/>
    <w:rsid w:val="00EE13E8"/>
    <w:rsid w:val="00EF16DD"/>
    <w:rsid w:val="00EF17B1"/>
    <w:rsid w:val="00EF2ED1"/>
    <w:rsid w:val="00EF66BB"/>
    <w:rsid w:val="00F019FA"/>
    <w:rsid w:val="00F03B4D"/>
    <w:rsid w:val="00F04BF2"/>
    <w:rsid w:val="00F05305"/>
    <w:rsid w:val="00F36172"/>
    <w:rsid w:val="00F377DE"/>
    <w:rsid w:val="00F37B84"/>
    <w:rsid w:val="00F43D3D"/>
    <w:rsid w:val="00F44B59"/>
    <w:rsid w:val="00F55438"/>
    <w:rsid w:val="00F602C0"/>
    <w:rsid w:val="00F60DB9"/>
    <w:rsid w:val="00F75E04"/>
    <w:rsid w:val="00F77BA2"/>
    <w:rsid w:val="00F8702A"/>
    <w:rsid w:val="00F93279"/>
    <w:rsid w:val="00F9530C"/>
    <w:rsid w:val="00F9700F"/>
    <w:rsid w:val="00F97854"/>
    <w:rsid w:val="00FA3951"/>
    <w:rsid w:val="00FA4063"/>
    <w:rsid w:val="00FA521E"/>
    <w:rsid w:val="00FA5EAF"/>
    <w:rsid w:val="00FA6E74"/>
    <w:rsid w:val="00FD5B7C"/>
    <w:rsid w:val="00FD6A52"/>
    <w:rsid w:val="00FD7676"/>
    <w:rsid w:val="00FE13B4"/>
    <w:rsid w:val="00FE552D"/>
    <w:rsid w:val="00FE589D"/>
    <w:rsid w:val="00FE60AB"/>
    <w:rsid w:val="00FE6495"/>
    <w:rsid w:val="00FF1DDB"/>
    <w:rsid w:val="00FF2D2E"/>
    <w:rsid w:val="00FF3A4B"/>
    <w:rsid w:val="00FF3FCA"/>
    <w:rsid w:val="00FF48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373DD"/>
  <w14:defaultImageDpi w14:val="32767"/>
  <w15:chartTrackingRefBased/>
  <w15:docId w15:val="{D69D31B9-ABD9-D745-9135-0984DF44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3E4C"/>
  </w:style>
  <w:style w:type="paragraph" w:styleId="Heading1">
    <w:name w:val="heading 1"/>
    <w:basedOn w:val="Normal"/>
    <w:next w:val="Normal"/>
    <w:link w:val="Heading1Char"/>
    <w:uiPriority w:val="9"/>
    <w:qFormat/>
    <w:rsid w:val="00C039D7"/>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3E4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A3E4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A3E4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3E4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A3E4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1A3E4C"/>
    <w:rPr>
      <w:rFonts w:asciiTheme="majorHAnsi" w:eastAsiaTheme="majorEastAsia" w:hAnsiTheme="majorHAnsi" w:cstheme="majorBidi"/>
      <w:i/>
      <w:iCs/>
      <w:color w:val="2F5496" w:themeColor="accent1" w:themeShade="BF"/>
    </w:rPr>
  </w:style>
  <w:style w:type="paragraph" w:styleId="FootnoteText">
    <w:name w:val="footnote text"/>
    <w:basedOn w:val="Normal"/>
    <w:link w:val="FootnoteTextChar"/>
    <w:uiPriority w:val="99"/>
    <w:unhideWhenUsed/>
    <w:rsid w:val="001A3E4C"/>
    <w:rPr>
      <w:sz w:val="20"/>
      <w:szCs w:val="20"/>
    </w:rPr>
  </w:style>
  <w:style w:type="character" w:customStyle="1" w:styleId="FootnoteTextChar">
    <w:name w:val="Footnote Text Char"/>
    <w:basedOn w:val="DefaultParagraphFont"/>
    <w:link w:val="FootnoteText"/>
    <w:uiPriority w:val="99"/>
    <w:rsid w:val="001A3E4C"/>
    <w:rPr>
      <w:sz w:val="20"/>
      <w:szCs w:val="20"/>
    </w:rPr>
  </w:style>
  <w:style w:type="character" w:styleId="FootnoteReference">
    <w:name w:val="footnote reference"/>
    <w:basedOn w:val="DefaultParagraphFont"/>
    <w:uiPriority w:val="99"/>
    <w:unhideWhenUsed/>
    <w:rsid w:val="001A3E4C"/>
    <w:rPr>
      <w:vertAlign w:val="superscript"/>
    </w:rPr>
  </w:style>
  <w:style w:type="table" w:styleId="TableGrid">
    <w:name w:val="Table Grid"/>
    <w:basedOn w:val="TableNormal"/>
    <w:uiPriority w:val="39"/>
    <w:rsid w:val="001A3E4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3E4C"/>
    <w:rPr>
      <w:sz w:val="22"/>
      <w:szCs w:val="22"/>
    </w:rPr>
  </w:style>
  <w:style w:type="paragraph" w:styleId="BalloonText">
    <w:name w:val="Balloon Text"/>
    <w:basedOn w:val="Normal"/>
    <w:link w:val="BalloonTextChar"/>
    <w:uiPriority w:val="99"/>
    <w:semiHidden/>
    <w:unhideWhenUsed/>
    <w:rsid w:val="00B16DC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16DC9"/>
    <w:rPr>
      <w:rFonts w:ascii="Times New Roman" w:hAnsi="Times New Roman" w:cs="Times New Roman"/>
      <w:sz w:val="18"/>
      <w:szCs w:val="18"/>
    </w:rPr>
  </w:style>
  <w:style w:type="paragraph" w:styleId="Footer">
    <w:name w:val="footer"/>
    <w:basedOn w:val="Normal"/>
    <w:link w:val="FooterChar"/>
    <w:uiPriority w:val="99"/>
    <w:unhideWhenUsed/>
    <w:rsid w:val="00206E5D"/>
    <w:pPr>
      <w:tabs>
        <w:tab w:val="center" w:pos="4513"/>
        <w:tab w:val="right" w:pos="9026"/>
      </w:tabs>
    </w:pPr>
  </w:style>
  <w:style w:type="character" w:customStyle="1" w:styleId="FooterChar">
    <w:name w:val="Footer Char"/>
    <w:basedOn w:val="DefaultParagraphFont"/>
    <w:link w:val="Footer"/>
    <w:uiPriority w:val="99"/>
    <w:rsid w:val="00206E5D"/>
  </w:style>
  <w:style w:type="character" w:styleId="PageNumber">
    <w:name w:val="page number"/>
    <w:basedOn w:val="DefaultParagraphFont"/>
    <w:uiPriority w:val="99"/>
    <w:semiHidden/>
    <w:unhideWhenUsed/>
    <w:rsid w:val="00206E5D"/>
  </w:style>
  <w:style w:type="paragraph" w:styleId="Header">
    <w:name w:val="header"/>
    <w:basedOn w:val="Normal"/>
    <w:link w:val="HeaderChar"/>
    <w:uiPriority w:val="99"/>
    <w:unhideWhenUsed/>
    <w:rsid w:val="007B68D1"/>
    <w:pPr>
      <w:tabs>
        <w:tab w:val="center" w:pos="4513"/>
        <w:tab w:val="right" w:pos="9026"/>
      </w:tabs>
    </w:pPr>
  </w:style>
  <w:style w:type="character" w:customStyle="1" w:styleId="HeaderChar">
    <w:name w:val="Header Char"/>
    <w:basedOn w:val="DefaultParagraphFont"/>
    <w:link w:val="Header"/>
    <w:uiPriority w:val="99"/>
    <w:rsid w:val="007B68D1"/>
  </w:style>
  <w:style w:type="character" w:styleId="CommentReference">
    <w:name w:val="annotation reference"/>
    <w:basedOn w:val="DefaultParagraphFont"/>
    <w:uiPriority w:val="99"/>
    <w:semiHidden/>
    <w:unhideWhenUsed/>
    <w:rsid w:val="00FE6495"/>
    <w:rPr>
      <w:sz w:val="16"/>
      <w:szCs w:val="16"/>
    </w:rPr>
  </w:style>
  <w:style w:type="paragraph" w:styleId="CommentText">
    <w:name w:val="annotation text"/>
    <w:basedOn w:val="Normal"/>
    <w:link w:val="CommentTextChar"/>
    <w:uiPriority w:val="99"/>
    <w:semiHidden/>
    <w:unhideWhenUsed/>
    <w:rsid w:val="00FE6495"/>
    <w:rPr>
      <w:sz w:val="20"/>
      <w:szCs w:val="20"/>
    </w:rPr>
  </w:style>
  <w:style w:type="character" w:customStyle="1" w:styleId="CommentTextChar">
    <w:name w:val="Comment Text Char"/>
    <w:basedOn w:val="DefaultParagraphFont"/>
    <w:link w:val="CommentText"/>
    <w:uiPriority w:val="99"/>
    <w:semiHidden/>
    <w:rsid w:val="00FE6495"/>
    <w:rPr>
      <w:sz w:val="20"/>
      <w:szCs w:val="20"/>
    </w:rPr>
  </w:style>
  <w:style w:type="paragraph" w:styleId="CommentSubject">
    <w:name w:val="annotation subject"/>
    <w:basedOn w:val="CommentText"/>
    <w:next w:val="CommentText"/>
    <w:link w:val="CommentSubjectChar"/>
    <w:uiPriority w:val="99"/>
    <w:semiHidden/>
    <w:unhideWhenUsed/>
    <w:rsid w:val="00FE6495"/>
    <w:rPr>
      <w:b/>
      <w:bCs/>
    </w:rPr>
  </w:style>
  <w:style w:type="character" w:customStyle="1" w:styleId="CommentSubjectChar">
    <w:name w:val="Comment Subject Char"/>
    <w:basedOn w:val="CommentTextChar"/>
    <w:link w:val="CommentSubject"/>
    <w:uiPriority w:val="99"/>
    <w:semiHidden/>
    <w:rsid w:val="00FE6495"/>
    <w:rPr>
      <w:b/>
      <w:bCs/>
      <w:sz w:val="20"/>
      <w:szCs w:val="20"/>
    </w:rPr>
  </w:style>
  <w:style w:type="paragraph" w:styleId="ListParagraph">
    <w:name w:val="List Paragraph"/>
    <w:basedOn w:val="Normal"/>
    <w:uiPriority w:val="34"/>
    <w:qFormat/>
    <w:rsid w:val="00706A40"/>
    <w:pPr>
      <w:ind w:left="720"/>
      <w:contextualSpacing/>
    </w:pPr>
  </w:style>
  <w:style w:type="paragraph" w:styleId="Revision">
    <w:name w:val="Revision"/>
    <w:hidden/>
    <w:uiPriority w:val="99"/>
    <w:semiHidden/>
    <w:rsid w:val="009D53F4"/>
  </w:style>
  <w:style w:type="character" w:customStyle="1" w:styleId="Heading1Char">
    <w:name w:val="Heading 1 Char"/>
    <w:basedOn w:val="DefaultParagraphFont"/>
    <w:link w:val="Heading1"/>
    <w:uiPriority w:val="9"/>
    <w:rsid w:val="00C039D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039D7"/>
    <w:rPr>
      <w:color w:val="0563C1" w:themeColor="hyperlink"/>
      <w:u w:val="single"/>
    </w:rPr>
  </w:style>
  <w:style w:type="character" w:styleId="FollowedHyperlink">
    <w:name w:val="FollowedHyperlink"/>
    <w:basedOn w:val="DefaultParagraphFont"/>
    <w:uiPriority w:val="99"/>
    <w:semiHidden/>
    <w:unhideWhenUsed/>
    <w:rsid w:val="00E45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597274">
      <w:bodyDiv w:val="1"/>
      <w:marLeft w:val="0"/>
      <w:marRight w:val="0"/>
      <w:marTop w:val="0"/>
      <w:marBottom w:val="0"/>
      <w:divBdr>
        <w:top w:val="none" w:sz="0" w:space="0" w:color="auto"/>
        <w:left w:val="none" w:sz="0" w:space="0" w:color="auto"/>
        <w:bottom w:val="none" w:sz="0" w:space="0" w:color="auto"/>
        <w:right w:val="none" w:sz="0" w:space="0" w:color="auto"/>
      </w:divBdr>
      <w:divsChild>
        <w:div w:id="155386351">
          <w:marLeft w:val="0"/>
          <w:marRight w:val="0"/>
          <w:marTop w:val="0"/>
          <w:marBottom w:val="0"/>
          <w:divBdr>
            <w:top w:val="none" w:sz="0" w:space="0" w:color="auto"/>
            <w:left w:val="none" w:sz="0" w:space="0" w:color="auto"/>
            <w:bottom w:val="none" w:sz="0" w:space="0" w:color="auto"/>
            <w:right w:val="none" w:sz="0" w:space="0" w:color="auto"/>
          </w:divBdr>
        </w:div>
        <w:div w:id="788084668">
          <w:marLeft w:val="0"/>
          <w:marRight w:val="0"/>
          <w:marTop w:val="0"/>
          <w:marBottom w:val="0"/>
          <w:divBdr>
            <w:top w:val="none" w:sz="0" w:space="0" w:color="auto"/>
            <w:left w:val="none" w:sz="0" w:space="0" w:color="auto"/>
            <w:bottom w:val="none" w:sz="0" w:space="0" w:color="auto"/>
            <w:right w:val="none" w:sz="0" w:space="0" w:color="auto"/>
          </w:divBdr>
        </w:div>
        <w:div w:id="1233999851">
          <w:marLeft w:val="0"/>
          <w:marRight w:val="0"/>
          <w:marTop w:val="0"/>
          <w:marBottom w:val="0"/>
          <w:divBdr>
            <w:top w:val="none" w:sz="0" w:space="0" w:color="auto"/>
            <w:left w:val="none" w:sz="0" w:space="0" w:color="auto"/>
            <w:bottom w:val="none" w:sz="0" w:space="0" w:color="auto"/>
            <w:right w:val="none" w:sz="0" w:space="0" w:color="auto"/>
          </w:divBdr>
        </w:div>
        <w:div w:id="1664357792">
          <w:marLeft w:val="0"/>
          <w:marRight w:val="0"/>
          <w:marTop w:val="0"/>
          <w:marBottom w:val="0"/>
          <w:divBdr>
            <w:top w:val="none" w:sz="0" w:space="0" w:color="auto"/>
            <w:left w:val="none" w:sz="0" w:space="0" w:color="auto"/>
            <w:bottom w:val="none" w:sz="0" w:space="0" w:color="auto"/>
            <w:right w:val="none" w:sz="0" w:space="0" w:color="auto"/>
          </w:divBdr>
        </w:div>
        <w:div w:id="839002633">
          <w:marLeft w:val="0"/>
          <w:marRight w:val="0"/>
          <w:marTop w:val="0"/>
          <w:marBottom w:val="0"/>
          <w:divBdr>
            <w:top w:val="none" w:sz="0" w:space="0" w:color="auto"/>
            <w:left w:val="none" w:sz="0" w:space="0" w:color="auto"/>
            <w:bottom w:val="none" w:sz="0" w:space="0" w:color="auto"/>
            <w:right w:val="none" w:sz="0" w:space="0" w:color="auto"/>
          </w:divBdr>
        </w:div>
        <w:div w:id="611129173">
          <w:marLeft w:val="0"/>
          <w:marRight w:val="0"/>
          <w:marTop w:val="0"/>
          <w:marBottom w:val="0"/>
          <w:divBdr>
            <w:top w:val="none" w:sz="0" w:space="0" w:color="auto"/>
            <w:left w:val="none" w:sz="0" w:space="0" w:color="auto"/>
            <w:bottom w:val="none" w:sz="0" w:space="0" w:color="auto"/>
            <w:right w:val="none" w:sz="0" w:space="0" w:color="auto"/>
          </w:divBdr>
        </w:div>
        <w:div w:id="649676726">
          <w:marLeft w:val="0"/>
          <w:marRight w:val="0"/>
          <w:marTop w:val="0"/>
          <w:marBottom w:val="0"/>
          <w:divBdr>
            <w:top w:val="none" w:sz="0" w:space="0" w:color="auto"/>
            <w:left w:val="none" w:sz="0" w:space="0" w:color="auto"/>
            <w:bottom w:val="none" w:sz="0" w:space="0" w:color="auto"/>
            <w:right w:val="none" w:sz="0" w:space="0" w:color="auto"/>
          </w:divBdr>
        </w:div>
        <w:div w:id="1087307908">
          <w:marLeft w:val="0"/>
          <w:marRight w:val="0"/>
          <w:marTop w:val="0"/>
          <w:marBottom w:val="0"/>
          <w:divBdr>
            <w:top w:val="none" w:sz="0" w:space="0" w:color="auto"/>
            <w:left w:val="none" w:sz="0" w:space="0" w:color="auto"/>
            <w:bottom w:val="none" w:sz="0" w:space="0" w:color="auto"/>
            <w:right w:val="none" w:sz="0" w:space="0" w:color="auto"/>
          </w:divBdr>
        </w:div>
        <w:div w:id="1420908201">
          <w:marLeft w:val="0"/>
          <w:marRight w:val="0"/>
          <w:marTop w:val="0"/>
          <w:marBottom w:val="0"/>
          <w:divBdr>
            <w:top w:val="none" w:sz="0" w:space="0" w:color="auto"/>
            <w:left w:val="none" w:sz="0" w:space="0" w:color="auto"/>
            <w:bottom w:val="none" w:sz="0" w:space="0" w:color="auto"/>
            <w:right w:val="none" w:sz="0" w:space="0" w:color="auto"/>
          </w:divBdr>
        </w:div>
        <w:div w:id="627400231">
          <w:marLeft w:val="0"/>
          <w:marRight w:val="0"/>
          <w:marTop w:val="0"/>
          <w:marBottom w:val="0"/>
          <w:divBdr>
            <w:top w:val="none" w:sz="0" w:space="0" w:color="auto"/>
            <w:left w:val="none" w:sz="0" w:space="0" w:color="auto"/>
            <w:bottom w:val="none" w:sz="0" w:space="0" w:color="auto"/>
            <w:right w:val="none" w:sz="0" w:space="0" w:color="auto"/>
          </w:divBdr>
        </w:div>
      </w:divsChild>
    </w:div>
    <w:div w:id="569585242">
      <w:bodyDiv w:val="1"/>
      <w:marLeft w:val="0"/>
      <w:marRight w:val="0"/>
      <w:marTop w:val="0"/>
      <w:marBottom w:val="0"/>
      <w:divBdr>
        <w:top w:val="none" w:sz="0" w:space="0" w:color="auto"/>
        <w:left w:val="none" w:sz="0" w:space="0" w:color="auto"/>
        <w:bottom w:val="none" w:sz="0" w:space="0" w:color="auto"/>
        <w:right w:val="none" w:sz="0" w:space="0" w:color="auto"/>
      </w:divBdr>
      <w:divsChild>
        <w:div w:id="274797358">
          <w:marLeft w:val="0"/>
          <w:marRight w:val="0"/>
          <w:marTop w:val="0"/>
          <w:marBottom w:val="0"/>
          <w:divBdr>
            <w:top w:val="none" w:sz="0" w:space="0" w:color="auto"/>
            <w:left w:val="none" w:sz="0" w:space="0" w:color="auto"/>
            <w:bottom w:val="none" w:sz="0" w:space="0" w:color="auto"/>
            <w:right w:val="none" w:sz="0" w:space="0" w:color="auto"/>
          </w:divBdr>
        </w:div>
        <w:div w:id="1810633875">
          <w:marLeft w:val="0"/>
          <w:marRight w:val="0"/>
          <w:marTop w:val="0"/>
          <w:marBottom w:val="0"/>
          <w:divBdr>
            <w:top w:val="none" w:sz="0" w:space="0" w:color="auto"/>
            <w:left w:val="none" w:sz="0" w:space="0" w:color="auto"/>
            <w:bottom w:val="none" w:sz="0" w:space="0" w:color="auto"/>
            <w:right w:val="none" w:sz="0" w:space="0" w:color="auto"/>
          </w:divBdr>
        </w:div>
        <w:div w:id="1292901884">
          <w:marLeft w:val="0"/>
          <w:marRight w:val="0"/>
          <w:marTop w:val="0"/>
          <w:marBottom w:val="0"/>
          <w:divBdr>
            <w:top w:val="none" w:sz="0" w:space="0" w:color="auto"/>
            <w:left w:val="none" w:sz="0" w:space="0" w:color="auto"/>
            <w:bottom w:val="none" w:sz="0" w:space="0" w:color="auto"/>
            <w:right w:val="none" w:sz="0" w:space="0" w:color="auto"/>
          </w:divBdr>
        </w:div>
        <w:div w:id="1710566062">
          <w:marLeft w:val="0"/>
          <w:marRight w:val="0"/>
          <w:marTop w:val="0"/>
          <w:marBottom w:val="0"/>
          <w:divBdr>
            <w:top w:val="none" w:sz="0" w:space="0" w:color="auto"/>
            <w:left w:val="none" w:sz="0" w:space="0" w:color="auto"/>
            <w:bottom w:val="none" w:sz="0" w:space="0" w:color="auto"/>
            <w:right w:val="none" w:sz="0" w:space="0" w:color="auto"/>
          </w:divBdr>
        </w:div>
        <w:div w:id="1560437978">
          <w:marLeft w:val="0"/>
          <w:marRight w:val="0"/>
          <w:marTop w:val="0"/>
          <w:marBottom w:val="0"/>
          <w:divBdr>
            <w:top w:val="none" w:sz="0" w:space="0" w:color="auto"/>
            <w:left w:val="none" w:sz="0" w:space="0" w:color="auto"/>
            <w:bottom w:val="none" w:sz="0" w:space="0" w:color="auto"/>
            <w:right w:val="none" w:sz="0" w:space="0" w:color="auto"/>
          </w:divBdr>
        </w:div>
      </w:divsChild>
    </w:div>
    <w:div w:id="1419255419">
      <w:bodyDiv w:val="1"/>
      <w:marLeft w:val="0"/>
      <w:marRight w:val="0"/>
      <w:marTop w:val="0"/>
      <w:marBottom w:val="0"/>
      <w:divBdr>
        <w:top w:val="none" w:sz="0" w:space="0" w:color="auto"/>
        <w:left w:val="none" w:sz="0" w:space="0" w:color="auto"/>
        <w:bottom w:val="none" w:sz="0" w:space="0" w:color="auto"/>
        <w:right w:val="none" w:sz="0" w:space="0" w:color="auto"/>
      </w:divBdr>
      <w:divsChild>
        <w:div w:id="1872645445">
          <w:marLeft w:val="0"/>
          <w:marRight w:val="0"/>
          <w:marTop w:val="0"/>
          <w:marBottom w:val="0"/>
          <w:divBdr>
            <w:top w:val="none" w:sz="0" w:space="0" w:color="auto"/>
            <w:left w:val="none" w:sz="0" w:space="0" w:color="auto"/>
            <w:bottom w:val="none" w:sz="0" w:space="0" w:color="auto"/>
            <w:right w:val="none" w:sz="0" w:space="0" w:color="auto"/>
          </w:divBdr>
        </w:div>
        <w:div w:id="1974672349">
          <w:marLeft w:val="0"/>
          <w:marRight w:val="0"/>
          <w:marTop w:val="0"/>
          <w:marBottom w:val="0"/>
          <w:divBdr>
            <w:top w:val="none" w:sz="0" w:space="0" w:color="auto"/>
            <w:left w:val="none" w:sz="0" w:space="0" w:color="auto"/>
            <w:bottom w:val="none" w:sz="0" w:space="0" w:color="auto"/>
            <w:right w:val="none" w:sz="0" w:space="0" w:color="auto"/>
          </w:divBdr>
        </w:div>
        <w:div w:id="1886137167">
          <w:marLeft w:val="0"/>
          <w:marRight w:val="0"/>
          <w:marTop w:val="0"/>
          <w:marBottom w:val="0"/>
          <w:divBdr>
            <w:top w:val="none" w:sz="0" w:space="0" w:color="auto"/>
            <w:left w:val="none" w:sz="0" w:space="0" w:color="auto"/>
            <w:bottom w:val="none" w:sz="0" w:space="0" w:color="auto"/>
            <w:right w:val="none" w:sz="0" w:space="0" w:color="auto"/>
          </w:divBdr>
        </w:div>
        <w:div w:id="249169351">
          <w:marLeft w:val="0"/>
          <w:marRight w:val="0"/>
          <w:marTop w:val="0"/>
          <w:marBottom w:val="0"/>
          <w:divBdr>
            <w:top w:val="none" w:sz="0" w:space="0" w:color="auto"/>
            <w:left w:val="none" w:sz="0" w:space="0" w:color="auto"/>
            <w:bottom w:val="none" w:sz="0" w:space="0" w:color="auto"/>
            <w:right w:val="none" w:sz="0" w:space="0" w:color="auto"/>
          </w:divBdr>
        </w:div>
        <w:div w:id="452673332">
          <w:marLeft w:val="0"/>
          <w:marRight w:val="0"/>
          <w:marTop w:val="0"/>
          <w:marBottom w:val="0"/>
          <w:divBdr>
            <w:top w:val="none" w:sz="0" w:space="0" w:color="auto"/>
            <w:left w:val="none" w:sz="0" w:space="0" w:color="auto"/>
            <w:bottom w:val="none" w:sz="0" w:space="0" w:color="auto"/>
            <w:right w:val="none" w:sz="0" w:space="0" w:color="auto"/>
          </w:divBdr>
        </w:div>
        <w:div w:id="1452237591">
          <w:marLeft w:val="0"/>
          <w:marRight w:val="0"/>
          <w:marTop w:val="0"/>
          <w:marBottom w:val="0"/>
          <w:divBdr>
            <w:top w:val="none" w:sz="0" w:space="0" w:color="auto"/>
            <w:left w:val="none" w:sz="0" w:space="0" w:color="auto"/>
            <w:bottom w:val="none" w:sz="0" w:space="0" w:color="auto"/>
            <w:right w:val="none" w:sz="0" w:space="0" w:color="auto"/>
          </w:divBdr>
        </w:div>
        <w:div w:id="414593975">
          <w:marLeft w:val="0"/>
          <w:marRight w:val="0"/>
          <w:marTop w:val="0"/>
          <w:marBottom w:val="0"/>
          <w:divBdr>
            <w:top w:val="none" w:sz="0" w:space="0" w:color="auto"/>
            <w:left w:val="none" w:sz="0" w:space="0" w:color="auto"/>
            <w:bottom w:val="none" w:sz="0" w:space="0" w:color="auto"/>
            <w:right w:val="none" w:sz="0" w:space="0" w:color="auto"/>
          </w:divBdr>
        </w:div>
        <w:div w:id="2033989464">
          <w:marLeft w:val="0"/>
          <w:marRight w:val="0"/>
          <w:marTop w:val="0"/>
          <w:marBottom w:val="0"/>
          <w:divBdr>
            <w:top w:val="none" w:sz="0" w:space="0" w:color="auto"/>
            <w:left w:val="none" w:sz="0" w:space="0" w:color="auto"/>
            <w:bottom w:val="none" w:sz="0" w:space="0" w:color="auto"/>
            <w:right w:val="none" w:sz="0" w:space="0" w:color="auto"/>
          </w:divBdr>
        </w:div>
        <w:div w:id="1414351242">
          <w:marLeft w:val="0"/>
          <w:marRight w:val="0"/>
          <w:marTop w:val="0"/>
          <w:marBottom w:val="0"/>
          <w:divBdr>
            <w:top w:val="none" w:sz="0" w:space="0" w:color="auto"/>
            <w:left w:val="none" w:sz="0" w:space="0" w:color="auto"/>
            <w:bottom w:val="none" w:sz="0" w:space="0" w:color="auto"/>
            <w:right w:val="none" w:sz="0" w:space="0" w:color="auto"/>
          </w:divBdr>
        </w:div>
        <w:div w:id="1254437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orner@liverpool.ac.uk" TargetMode="External"/><Relationship Id="rId13" Type="http://schemas.openxmlformats.org/officeDocument/2006/relationships/image" Target="media/image10.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Jones@liverpool.ac.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Giordano@liverpool.ac.uk" TargetMode="External"/><Relationship Id="rId4" Type="http://schemas.openxmlformats.org/officeDocument/2006/relationships/settings" Target="settings.xml"/><Relationship Id="rId9" Type="http://schemas.openxmlformats.org/officeDocument/2006/relationships/hyperlink" Target="mailto:D.Jayawarna@liverpool.ac.uk" TargetMode="Externa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Dilani\PAPERS%20IN%20DEVELOPMENT\sam%20paper\moderation%20graph%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Moderated</a:t>
            </a:r>
            <a:r>
              <a:rPr lang="en-GB" baseline="0"/>
              <a:t> Mediation effect on Technology Transfer outcomes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Sheet1!$A$2</c:f>
              <c:strCache>
                <c:ptCount val="1"/>
                <c:pt idx="0">
                  <c:v>Direct </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28575" cap="rnd">
                <a:solidFill>
                  <a:schemeClr val="tx1"/>
                </a:solidFill>
                <a:prstDash val="sysDot"/>
              </a:ln>
              <a:effectLst/>
            </c:spPr>
            <c:trendlineType val="linear"/>
            <c:dispRSqr val="0"/>
            <c:dispEq val="0"/>
          </c:trendline>
          <c:xVal>
            <c:strRef>
              <c:f>Sheet1!$B$1:$C$1</c:f>
              <c:strCache>
                <c:ptCount val="2"/>
                <c:pt idx="0">
                  <c:v>Direct </c:v>
                </c:pt>
                <c:pt idx="1">
                  <c:v>Indirect </c:v>
                </c:pt>
              </c:strCache>
            </c:strRef>
          </c:xVal>
          <c:yVal>
            <c:numRef>
              <c:f>Sheet1!$B$2:$C$2</c:f>
              <c:numCache>
                <c:formatCode>General</c:formatCode>
                <c:ptCount val="2"/>
                <c:pt idx="0">
                  <c:v>0.14000000000000001</c:v>
                </c:pt>
                <c:pt idx="1">
                  <c:v>0.15</c:v>
                </c:pt>
              </c:numCache>
            </c:numRef>
          </c:yVal>
          <c:smooth val="0"/>
          <c:extLst>
            <c:ext xmlns:c16="http://schemas.microsoft.com/office/drawing/2014/chart" uri="{C3380CC4-5D6E-409C-BE32-E72D297353CC}">
              <c16:uniqueId val="{00000000-7847-4F22-B921-EDF2900C0A83}"/>
            </c:ext>
          </c:extLst>
        </c:ser>
        <c:ser>
          <c:idx val="1"/>
          <c:order val="1"/>
          <c:tx>
            <c:strRef>
              <c:f>Sheet1!$A$3</c:f>
              <c:strCache>
                <c:ptCount val="1"/>
                <c:pt idx="0">
                  <c:v>Indirect </c:v>
                </c:pt>
              </c:strCache>
            </c:strRef>
          </c:tx>
          <c:spPr>
            <a:ln w="19050" cap="rnd">
              <a:noFill/>
              <a:round/>
            </a:ln>
            <a:effectLst/>
          </c:spPr>
          <c:marker>
            <c:symbol val="circle"/>
            <c:size val="5"/>
            <c:spPr>
              <a:solidFill>
                <a:schemeClr val="accent2"/>
              </a:solidFill>
              <a:ln w="15875">
                <a:solidFill>
                  <a:schemeClr val="tx1"/>
                </a:solidFill>
              </a:ln>
              <a:effectLst/>
            </c:spPr>
          </c:marker>
          <c:trendline>
            <c:spPr>
              <a:ln w="25400" cap="sq">
                <a:solidFill>
                  <a:schemeClr val="tx1"/>
                </a:solidFill>
                <a:prstDash val="solid"/>
              </a:ln>
              <a:effectLst/>
            </c:spPr>
            <c:trendlineType val="linear"/>
            <c:dispRSqr val="0"/>
            <c:dispEq val="0"/>
          </c:trendline>
          <c:xVal>
            <c:strRef>
              <c:f>Sheet1!$B$1:$C$1</c:f>
              <c:strCache>
                <c:ptCount val="2"/>
                <c:pt idx="0">
                  <c:v>Direct </c:v>
                </c:pt>
                <c:pt idx="1">
                  <c:v>Indirect </c:v>
                </c:pt>
              </c:strCache>
            </c:strRef>
          </c:xVal>
          <c:yVal>
            <c:numRef>
              <c:f>Sheet1!$B$3:$C$3</c:f>
              <c:numCache>
                <c:formatCode>General</c:formatCode>
                <c:ptCount val="2"/>
                <c:pt idx="0">
                  <c:v>0.27</c:v>
                </c:pt>
                <c:pt idx="1">
                  <c:v>0.46</c:v>
                </c:pt>
              </c:numCache>
            </c:numRef>
          </c:yVal>
          <c:smooth val="0"/>
          <c:extLst>
            <c:ext xmlns:c16="http://schemas.microsoft.com/office/drawing/2014/chart" uri="{C3380CC4-5D6E-409C-BE32-E72D297353CC}">
              <c16:uniqueId val="{00000001-7847-4F22-B921-EDF2900C0A83}"/>
            </c:ext>
          </c:extLst>
        </c:ser>
        <c:dLbls>
          <c:showLegendKey val="0"/>
          <c:showVal val="0"/>
          <c:showCatName val="0"/>
          <c:showSerName val="0"/>
          <c:showPercent val="0"/>
          <c:showBubbleSize val="0"/>
        </c:dLbls>
        <c:axId val="-1879822000"/>
        <c:axId val="-1825269728"/>
      </c:scatterChart>
      <c:valAx>
        <c:axId val="-1879822000"/>
        <c:scaling>
          <c:orientation val="minMax"/>
          <c:min val="0.7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Difference</a:t>
                </a:r>
                <a:r>
                  <a:rPr lang="en-GB" baseline="0"/>
                  <a:t> in Technology transfer outcomes between higher level of TTO Support vs.  lower level of TTO  Support</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269728"/>
        <c:crosses val="autoZero"/>
        <c:crossBetween val="midCat"/>
      </c:valAx>
      <c:valAx>
        <c:axId val="-1825269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effect on Technology transfer</a:t>
                </a:r>
                <a:r>
                  <a:rPr lang="en-GB" baseline="0"/>
                  <a:t> outcomes </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98220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BA9A0-4D78-EF4F-9E6C-FB52BCE88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73771</Words>
  <Characters>420496</Characters>
  <Application>Microsoft Office Word</Application>
  <DocSecurity>0</DocSecurity>
  <Lines>3504</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Horner, Samuel</dc:creator>
  <cp:keywords/>
  <dc:description/>
  <cp:lastModifiedBy>Horner, Samuel</cp:lastModifiedBy>
  <cp:revision>2</cp:revision>
  <cp:lastPrinted>2018-07-31T12:09:00Z</cp:lastPrinted>
  <dcterms:created xsi:type="dcterms:W3CDTF">2019-01-18T11:44:00Z</dcterms:created>
  <dcterms:modified xsi:type="dcterms:W3CDTF">2019-01-18T11:44:00Z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1a77f3f6-1e14-3be2-aa0b-951d1b43e86d</vt:lpwstr>
  </property>
  <property fmtid="{D5CDD505-2E9C-101B-9397-08002B2CF9AE}" pid="4" name="Mendeley Citation Style_1">
    <vt:lpwstr>http://www.zotero.org/styles/research-policy</vt:lpwstr>
  </property>
  <property fmtid="{D5CDD505-2E9C-101B-9397-08002B2CF9AE}" pid="5" name="Mendeley Recent Style Id 0_1">
    <vt:lpwstr>http://www.zotero.org/styles/academy-of-management-journal</vt:lpwstr>
  </property>
  <property fmtid="{D5CDD505-2E9C-101B-9397-08002B2CF9AE}" pid="6" name="Mendeley Recent Style Name 0_1">
    <vt:lpwstr>Academy of Management Journal</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6th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16th edition (author-date)</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http://www.zotero.org/styles/organization-studies</vt:lpwstr>
  </property>
  <property fmtid="{D5CDD505-2E9C-101B-9397-08002B2CF9AE}" pid="22" name="Mendeley Recent Style Name 8_1">
    <vt:lpwstr>Organization Studies</vt:lpwstr>
  </property>
  <property fmtid="{D5CDD505-2E9C-101B-9397-08002B2CF9AE}" pid="23" name="Mendeley Recent Style Id 9_1">
    <vt:lpwstr>http://www.zotero.org/styles/research-policy</vt:lpwstr>
  </property>
  <property fmtid="{D5CDD505-2E9C-101B-9397-08002B2CF9AE}" pid="24" name="Mendeley Recent Style Name 9_1">
    <vt:lpwstr>Research Policy</vt:lpwstr>
  </property>
</Properties>
</file>