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9F278A">
      <w:pPr>
        <w:pStyle w:val="3"/>
        <w:bidi w:val="0"/>
        <w:rPr>
          <w:rFonts w:hint="eastAsia"/>
          <w:lang w:val="en-US" w:eastAsia="zh-CN"/>
        </w:rPr>
      </w:pPr>
      <w:r>
        <w:rPr>
          <w:rFonts w:hint="eastAsia"/>
          <w:lang w:val="en-US" w:eastAsia="zh-CN"/>
        </w:rPr>
        <w:t>分类思路</w:t>
      </w:r>
    </w:p>
    <w:p w14:paraId="3C1A416D">
      <w:pPr>
        <w:bidi w:val="0"/>
        <w:rPr>
          <w:rFonts w:hint="eastAsia"/>
          <w:lang w:val="en-US" w:eastAsia="zh-CN"/>
        </w:rPr>
      </w:pPr>
      <w:r>
        <w:rPr>
          <w:rFonts w:hint="eastAsia"/>
          <w:lang w:val="en-US" w:eastAsia="zh-CN"/>
        </w:rPr>
        <w:t>基于此，重新分类遵循属性同质性、层级一致性、指标独立性和过程连续性四项原则。第一，属性同质性要求同一一级类别下的二级指标具有相近的测量对象，即回答同一类实质性问题。例如，原创性和激进性均考察既有知识如何被跨领域组合，因此归入“知识重组特征”；前沿性、技术吸收质量和后向引用次数分别从时间、质量和规模角度描述焦点专利吸收的既有知识，因此归入“知识吸收特征”。第二，层级一致性要求一级类别均按照“专利具有何种属性”进行划分，而不再将理论阶段、数据表类型和具体变量并列。第三，指标独立性要求删除或合并在概念和计算方法上高度重叠的指标。例如，技术周期时间TCT与前沿性的计算逻辑相同，不再重复设置；前向引用次数与扩散强度实质上均反映后续引用规模，也不再并列作为独立指标。原始指标表中亦已明确指出TCT与前沿性不宜重复使用，并指出部分主体历史专利数量指标之间存在重叠。第四，过程连续性强调指标排列应尽可能反映专利从技术知识形成、知识传播到制度保护和后续运用的逻辑关系，使指标体系不仅具有横向分类的一致性，也具有纵向组织上的连贯性。</w:t>
      </w:r>
    </w:p>
    <w:p w14:paraId="4F3F61E4">
      <w:pPr>
        <w:bidi w:val="0"/>
        <w:rPr>
          <w:rFonts w:hint="eastAsia"/>
          <w:lang w:val="en-US" w:eastAsia="zh-CN"/>
        </w:rPr>
      </w:pPr>
      <w:r>
        <w:rPr>
          <w:rFonts w:hint="eastAsia"/>
          <w:lang w:val="en-US" w:eastAsia="zh-CN"/>
        </w:rPr>
        <w:t>本研究按照技术知识形成与传播、文本与技术表征、权利与主体属性以及市场与法律表现等逻辑重新组织指标。具体而言，前端依次从技术新颖性、知识重组、知识吸收、知识扩散和知识网络结构刻画专利的</w:t>
      </w:r>
      <w:r>
        <w:rPr>
          <w:rFonts w:hint="eastAsia"/>
          <w:b/>
          <w:bCs/>
          <w:lang w:val="en-US" w:eastAsia="zh-CN"/>
        </w:rPr>
        <w:t>知识属性</w:t>
      </w:r>
      <w:r>
        <w:rPr>
          <w:rFonts w:hint="eastAsia"/>
          <w:lang w:val="en-US" w:eastAsia="zh-CN"/>
        </w:rPr>
        <w:t>，中间以文本控制和技术范围描述</w:t>
      </w:r>
      <w:r>
        <w:rPr>
          <w:rFonts w:hint="eastAsia"/>
          <w:b/>
          <w:bCs/>
          <w:lang w:val="en-US" w:eastAsia="zh-CN"/>
        </w:rPr>
        <w:t>专利自身特征</w:t>
      </w:r>
      <w:r>
        <w:rPr>
          <w:rFonts w:hint="eastAsia"/>
          <w:lang w:val="en-US" w:eastAsia="zh-CN"/>
        </w:rPr>
        <w:t>，后端则从权利保护与申请布局、创新主体与团队、市场运用以及法律状态与稳定性反映</w:t>
      </w:r>
      <w:r>
        <w:rPr>
          <w:rFonts w:hint="eastAsia"/>
          <w:b/>
          <w:bCs/>
          <w:lang w:val="en-US" w:eastAsia="zh-CN"/>
        </w:rPr>
        <w:t>专利的制度与应用表现</w:t>
      </w:r>
      <w:r>
        <w:rPr>
          <w:rFonts w:hint="eastAsia"/>
          <w:lang w:val="en-US" w:eastAsia="zh-CN"/>
        </w:rPr>
        <w:t>。该分类强调同一一级类别下指标在测量对象上的一致性，并对TCT与前沿性、前向引用次数与扩散强度等重复或高度相近指标进行合并，从而减少原有体系中的交叉、重复和层级错位，使指标体系在概念上更加统一、结构上更加清晰。</w:t>
      </w:r>
    </w:p>
    <w:p w14:paraId="1930FAD8">
      <w:pPr>
        <w:ind w:left="0" w:leftChars="0" w:firstLine="0" w:firstLineChars="0"/>
        <w:rPr>
          <w:rFonts w:hint="eastAsia" w:eastAsia="宋体"/>
          <w:lang w:val="en-US" w:eastAsia="zh-CN"/>
        </w:rPr>
      </w:pPr>
    </w:p>
    <w:p w14:paraId="4DDDADA7">
      <w:pPr>
        <w:pStyle w:val="3"/>
        <w:bidi w:val="0"/>
        <w:rPr>
          <w:rFonts w:hint="eastAsia"/>
          <w:lang w:val="en-US" w:eastAsia="zh-CN"/>
        </w:rPr>
      </w:pPr>
      <w:r>
        <w:rPr>
          <w:rFonts w:hint="eastAsia"/>
          <w:lang w:val="en-US" w:eastAsia="zh-CN"/>
        </w:rPr>
        <w:t>指标体系</w:t>
      </w:r>
    </w:p>
    <w:p w14:paraId="35E33A72">
      <w:pPr>
        <w:keepNext w:val="0"/>
        <w:keepLines w:val="0"/>
        <w:pageBreakBefore w:val="0"/>
        <w:widowControl/>
        <w:wordWrap/>
        <w:overflowPunct/>
        <w:topLinePunct w:val="0"/>
        <w:bidi w:val="0"/>
        <w:ind w:firstLine="0" w:firstLineChars="0"/>
        <w:rPr>
          <w:rFonts w:hint="eastAsia" w:eastAsia="宋体"/>
          <w:lang w:val="en-US" w:eastAsia="zh-CN"/>
        </w:rPr>
      </w:pPr>
    </w:p>
    <w:tbl>
      <w:tblPr>
        <w:tblW w:w="964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13"/>
        <w:gridCol w:w="2122"/>
        <w:gridCol w:w="6005"/>
      </w:tblGrid>
      <w:tr w14:paraId="6E0E05B2">
        <w:trPr>
          <w:trHeight w:val="340" w:hRule="atLeast"/>
        </w:trPr>
        <w:tc>
          <w:tcPr>
            <w:tcW w:w="1513" w:type="dxa"/>
            <w:tcBorders>
              <w:top w:val="single" w:color="000000" w:sz="12" w:space="0"/>
              <w:left w:val="nil"/>
              <w:bottom w:val="single" w:color="000000" w:sz="4" w:space="0"/>
              <w:right w:val="nil"/>
              <w:tl2br w:val="nil"/>
            </w:tcBorders>
            <w:shd w:val="clear" w:color="auto" w:fill="FFFFFF"/>
            <w:vAlign w:val="center"/>
          </w:tcPr>
          <w:p w14:paraId="70E3B622">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snapToGrid w:val="0"/>
                <w:color w:val="000000"/>
                <w:kern w:val="0"/>
                <w:sz w:val="22"/>
                <w:szCs w:val="22"/>
                <w:u w:val="none"/>
                <w:bdr w:val="none" w:color="auto" w:sz="0" w:space="0"/>
                <w:lang w:val="en-US" w:eastAsia="zh-CN" w:bidi="ar"/>
              </w:rPr>
              <w:t>一级指标</w:t>
            </w:r>
          </w:p>
        </w:tc>
        <w:tc>
          <w:tcPr>
            <w:tcW w:w="2122" w:type="dxa"/>
            <w:tcBorders>
              <w:top w:val="single" w:color="000000" w:sz="12" w:space="0"/>
              <w:left w:val="nil"/>
              <w:bottom w:val="single" w:color="000000" w:sz="4" w:space="0"/>
              <w:right w:val="nil"/>
            </w:tcBorders>
            <w:shd w:val="clear" w:color="auto" w:fill="FFFFFF"/>
            <w:vAlign w:val="center"/>
          </w:tcPr>
          <w:p w14:paraId="06BA3489">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snapToGrid w:val="0"/>
                <w:color w:val="000000"/>
                <w:kern w:val="0"/>
                <w:sz w:val="22"/>
                <w:szCs w:val="22"/>
                <w:u w:val="none"/>
                <w:bdr w:val="none" w:color="auto" w:sz="0" w:space="0"/>
                <w:lang w:val="en-US" w:eastAsia="zh-CN" w:bidi="ar"/>
              </w:rPr>
              <w:t>二级指标</w:t>
            </w:r>
          </w:p>
        </w:tc>
        <w:tc>
          <w:tcPr>
            <w:tcW w:w="6005" w:type="dxa"/>
            <w:tcBorders>
              <w:top w:val="single" w:color="000000" w:sz="12" w:space="0"/>
              <w:left w:val="nil"/>
              <w:bottom w:val="single" w:color="000000" w:sz="4" w:space="0"/>
              <w:right w:val="nil"/>
            </w:tcBorders>
            <w:shd w:val="clear" w:color="auto" w:fill="FFFFFF"/>
            <w:vAlign w:val="center"/>
          </w:tcPr>
          <w:p w14:paraId="7598C551">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bCs w:val="0"/>
                <w:i w:val="0"/>
                <w:iCs w:val="0"/>
                <w:color w:val="000000"/>
                <w:sz w:val="22"/>
                <w:szCs w:val="22"/>
                <w:u w:val="none"/>
              </w:rPr>
            </w:pPr>
            <w:r>
              <w:rPr>
                <w:rFonts w:hint="eastAsia" w:ascii="宋体" w:hAnsi="宋体" w:eastAsia="宋体" w:cs="宋体"/>
                <w:b/>
                <w:bCs w:val="0"/>
                <w:i w:val="0"/>
                <w:iCs w:val="0"/>
                <w:snapToGrid w:val="0"/>
                <w:color w:val="000000"/>
                <w:kern w:val="0"/>
                <w:sz w:val="22"/>
                <w:szCs w:val="22"/>
                <w:u w:val="none"/>
                <w:bdr w:val="none" w:color="auto" w:sz="0" w:space="0"/>
                <w:lang w:val="en-US" w:eastAsia="zh-CN" w:bidi="ar"/>
              </w:rPr>
              <w:t>二级指标含义</w:t>
            </w:r>
          </w:p>
        </w:tc>
      </w:tr>
      <w:tr w14:paraId="1056535E">
        <w:trPr>
          <w:trHeight w:val="1020" w:hRule="atLeast"/>
        </w:trPr>
        <w:tc>
          <w:tcPr>
            <w:tcW w:w="1513" w:type="dxa"/>
            <w:tcBorders>
              <w:top w:val="single" w:color="000000" w:sz="4" w:space="0"/>
              <w:left w:val="nil"/>
              <w:bottom w:val="nil"/>
              <w:right w:val="nil"/>
            </w:tcBorders>
            <w:shd w:val="clear" w:color="auto" w:fill="FFFFFF"/>
            <w:vAlign w:val="center"/>
          </w:tcPr>
          <w:p w14:paraId="69FFC9F6">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一、技术新颖性特征</w:t>
            </w:r>
          </w:p>
        </w:tc>
        <w:tc>
          <w:tcPr>
            <w:tcW w:w="2122" w:type="dxa"/>
            <w:tcBorders>
              <w:top w:val="single" w:color="000000" w:sz="4" w:space="0"/>
              <w:left w:val="nil"/>
              <w:bottom w:val="nil"/>
              <w:right w:val="nil"/>
            </w:tcBorders>
            <w:shd w:val="clear" w:color="auto" w:fill="FFFFFF"/>
            <w:vAlign w:val="center"/>
          </w:tcPr>
          <w:p w14:paraId="0D7CD01B">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语义新颖性</w:t>
            </w:r>
          </w:p>
        </w:tc>
        <w:tc>
          <w:tcPr>
            <w:tcW w:w="6005" w:type="dxa"/>
            <w:tcBorders>
              <w:top w:val="single" w:color="000000" w:sz="4" w:space="0"/>
              <w:left w:val="nil"/>
              <w:bottom w:val="nil"/>
              <w:right w:val="nil"/>
            </w:tcBorders>
            <w:shd w:val="clear" w:color="auto" w:fill="FFFFFF"/>
            <w:vAlign w:val="center"/>
          </w:tcPr>
          <w:p w14:paraId="20B43C1D">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衡量焦点专利标题与摘要所表达的技术内容相对于申请日前历史专利的语义差异程度。与既有专利越不相似，说明技术内容的新颖程度越高。</w:t>
            </w:r>
          </w:p>
        </w:tc>
      </w:tr>
      <w:tr w14:paraId="1AF93AB9">
        <w:trPr>
          <w:trHeight w:val="1020" w:hRule="atLeast"/>
        </w:trPr>
        <w:tc>
          <w:tcPr>
            <w:tcW w:w="1513" w:type="dxa"/>
            <w:vMerge w:val="restart"/>
            <w:tcBorders>
              <w:top w:val="nil"/>
              <w:left w:val="nil"/>
              <w:right w:val="nil"/>
            </w:tcBorders>
            <w:shd w:val="clear" w:color="auto" w:fill="FFFFFF"/>
            <w:vAlign w:val="center"/>
          </w:tcPr>
          <w:p w14:paraId="018BF510">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二、知识重组特征</w:t>
            </w:r>
          </w:p>
        </w:tc>
        <w:tc>
          <w:tcPr>
            <w:tcW w:w="2122" w:type="dxa"/>
            <w:tcBorders>
              <w:top w:val="nil"/>
              <w:left w:val="nil"/>
              <w:bottom w:val="nil"/>
              <w:right w:val="nil"/>
            </w:tcBorders>
            <w:shd w:val="clear" w:color="auto" w:fill="FFFFFF"/>
            <w:vAlign w:val="center"/>
          </w:tcPr>
          <w:p w14:paraId="54561231">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原创性</w:t>
            </w:r>
          </w:p>
        </w:tc>
        <w:tc>
          <w:tcPr>
            <w:tcW w:w="6005" w:type="dxa"/>
            <w:tcBorders>
              <w:top w:val="nil"/>
              <w:left w:val="nil"/>
              <w:bottom w:val="nil"/>
              <w:right w:val="nil"/>
            </w:tcBorders>
            <w:shd w:val="clear" w:color="auto" w:fill="FFFFFF"/>
            <w:vAlign w:val="center"/>
          </w:tcPr>
          <w:p w14:paraId="7FCAEAFB">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衡量焦点专利所依赖的在先知识来源是否具有跨技术领域多样性。后向引用覆盖的IPC技术领域越分散，说明知识来源越多元。</w:t>
            </w:r>
          </w:p>
        </w:tc>
      </w:tr>
      <w:tr w14:paraId="62A8D013">
        <w:trPr>
          <w:trHeight w:val="1020" w:hRule="atLeast"/>
        </w:trPr>
        <w:tc>
          <w:tcPr>
            <w:tcW w:w="1513" w:type="dxa"/>
            <w:vMerge w:val="continue"/>
            <w:tcBorders>
              <w:left w:val="nil"/>
              <w:bottom w:val="nil"/>
              <w:right w:val="nil"/>
            </w:tcBorders>
            <w:shd w:val="clear" w:color="auto" w:fill="FFFFFF"/>
            <w:vAlign w:val="center"/>
          </w:tcPr>
          <w:p w14:paraId="1E713A21">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395F980D">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激进性</w:t>
            </w:r>
          </w:p>
        </w:tc>
        <w:tc>
          <w:tcPr>
            <w:tcW w:w="6005" w:type="dxa"/>
            <w:tcBorders>
              <w:top w:val="nil"/>
              <w:left w:val="nil"/>
              <w:bottom w:val="nil"/>
              <w:right w:val="nil"/>
            </w:tcBorders>
            <w:shd w:val="clear" w:color="auto" w:fill="FFFFFF"/>
            <w:vAlign w:val="center"/>
          </w:tcPr>
          <w:p w14:paraId="16D1EBD3">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衡量焦点专利所吸收的在先技术在多大程度上超出自身原有技术领域，即知识组合偏离既有技术轨道的程度。跨出自身技术类别越多，激进性越强。</w:t>
            </w:r>
          </w:p>
        </w:tc>
      </w:tr>
      <w:tr w14:paraId="188516EE">
        <w:trPr>
          <w:trHeight w:val="1020" w:hRule="atLeast"/>
        </w:trPr>
        <w:tc>
          <w:tcPr>
            <w:tcW w:w="1513" w:type="dxa"/>
            <w:vMerge w:val="restart"/>
            <w:tcBorders>
              <w:top w:val="nil"/>
              <w:left w:val="nil"/>
              <w:right w:val="nil"/>
            </w:tcBorders>
            <w:shd w:val="clear" w:color="auto" w:fill="FFFFFF"/>
            <w:vAlign w:val="center"/>
          </w:tcPr>
          <w:p w14:paraId="599D203E">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三、知识吸收特征</w:t>
            </w:r>
          </w:p>
        </w:tc>
        <w:tc>
          <w:tcPr>
            <w:tcW w:w="2122" w:type="dxa"/>
            <w:tcBorders>
              <w:top w:val="nil"/>
              <w:left w:val="nil"/>
              <w:bottom w:val="nil"/>
              <w:right w:val="nil"/>
            </w:tcBorders>
            <w:shd w:val="clear" w:color="auto" w:fill="FFFFFF"/>
            <w:vAlign w:val="center"/>
          </w:tcPr>
          <w:p w14:paraId="148858F3">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前沿性</w:t>
            </w:r>
          </w:p>
        </w:tc>
        <w:tc>
          <w:tcPr>
            <w:tcW w:w="6005" w:type="dxa"/>
            <w:tcBorders>
              <w:top w:val="nil"/>
              <w:left w:val="nil"/>
              <w:bottom w:val="nil"/>
              <w:right w:val="nil"/>
            </w:tcBorders>
            <w:shd w:val="clear" w:color="auto" w:fill="FFFFFF"/>
            <w:vAlign w:val="center"/>
          </w:tcPr>
          <w:p w14:paraId="50A0EFDE">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衡量焦点专利吸收的在先知识是否新近。焦点专利申请日与后向引用专利申请日之间的时间间隔越短，说明其越接近技术前沿。</w:t>
            </w:r>
          </w:p>
        </w:tc>
      </w:tr>
      <w:tr w14:paraId="3EA58E8D">
        <w:trPr>
          <w:trHeight w:val="1020" w:hRule="atLeast"/>
        </w:trPr>
        <w:tc>
          <w:tcPr>
            <w:tcW w:w="1513" w:type="dxa"/>
            <w:vMerge w:val="continue"/>
            <w:tcBorders>
              <w:left w:val="nil"/>
              <w:right w:val="nil"/>
            </w:tcBorders>
            <w:shd w:val="clear" w:color="auto" w:fill="FFFFFF"/>
            <w:vAlign w:val="center"/>
          </w:tcPr>
          <w:p w14:paraId="357FA7C4">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538A095C">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技术吸收质量</w:t>
            </w:r>
          </w:p>
        </w:tc>
        <w:tc>
          <w:tcPr>
            <w:tcW w:w="6005" w:type="dxa"/>
            <w:tcBorders>
              <w:top w:val="nil"/>
              <w:left w:val="nil"/>
              <w:bottom w:val="nil"/>
              <w:right w:val="nil"/>
            </w:tcBorders>
            <w:shd w:val="clear" w:color="auto" w:fill="FFFFFF"/>
            <w:vAlign w:val="center"/>
          </w:tcPr>
          <w:p w14:paraId="1482D593">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w:t>
            </w:r>
            <w:bookmarkStart w:id="0" w:name="_GoBack"/>
            <w:bookmarkEnd w:id="0"/>
            <w:r>
              <w:rPr>
                <w:rFonts w:hint="eastAsia" w:ascii="宋体" w:hAnsi="宋体" w:eastAsia="宋体" w:cs="宋体"/>
                <w:b w:val="0"/>
                <w:i w:val="0"/>
                <w:iCs w:val="0"/>
                <w:snapToGrid w:val="0"/>
                <w:color w:val="000000"/>
                <w:kern w:val="0"/>
                <w:sz w:val="22"/>
                <w:szCs w:val="22"/>
                <w:u w:val="none"/>
                <w:bdr w:val="none" w:color="auto" w:sz="0" w:space="0"/>
                <w:lang w:val="en-US" w:eastAsia="zh-CN" w:bidi="ar"/>
              </w:rPr>
              <w:t>所吸收的在先专利本身具有多高的技术影响或知识质量，强调知识输入的“质量”，而非仅仅引用数量。</w:t>
            </w:r>
          </w:p>
        </w:tc>
      </w:tr>
      <w:tr w14:paraId="6B682A19">
        <w:trPr>
          <w:trHeight w:val="680" w:hRule="atLeast"/>
        </w:trPr>
        <w:tc>
          <w:tcPr>
            <w:tcW w:w="1513" w:type="dxa"/>
            <w:vMerge w:val="continue"/>
            <w:tcBorders>
              <w:left w:val="nil"/>
              <w:bottom w:val="nil"/>
              <w:right w:val="nil"/>
            </w:tcBorders>
            <w:shd w:val="clear" w:color="auto" w:fill="FFFFFF"/>
            <w:vAlign w:val="center"/>
          </w:tcPr>
          <w:p w14:paraId="35700A34">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3A3E43B2">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后向引用次数</w:t>
            </w:r>
          </w:p>
        </w:tc>
        <w:tc>
          <w:tcPr>
            <w:tcW w:w="6005" w:type="dxa"/>
            <w:tcBorders>
              <w:top w:val="nil"/>
              <w:left w:val="nil"/>
              <w:bottom w:val="nil"/>
              <w:right w:val="nil"/>
            </w:tcBorders>
            <w:shd w:val="clear" w:color="auto" w:fill="FFFFFF"/>
            <w:vAlign w:val="center"/>
          </w:tcPr>
          <w:p w14:paraId="0214F2AC">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衡量焦点专利吸收、借鉴在先专利知识的数量规模，反映其显性知识输入的规模。</w:t>
            </w:r>
          </w:p>
        </w:tc>
      </w:tr>
      <w:tr w14:paraId="7285FA34">
        <w:trPr>
          <w:trHeight w:val="1020" w:hRule="atLeast"/>
        </w:trPr>
        <w:tc>
          <w:tcPr>
            <w:tcW w:w="1513" w:type="dxa"/>
            <w:vMerge w:val="restart"/>
            <w:tcBorders>
              <w:top w:val="nil"/>
              <w:left w:val="nil"/>
              <w:right w:val="nil"/>
            </w:tcBorders>
            <w:shd w:val="clear" w:color="auto" w:fill="FFFFFF"/>
            <w:vAlign w:val="center"/>
          </w:tcPr>
          <w:p w14:paraId="7946BB6E">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四、知识扩散特征</w:t>
            </w:r>
          </w:p>
        </w:tc>
        <w:tc>
          <w:tcPr>
            <w:tcW w:w="2122" w:type="dxa"/>
            <w:tcBorders>
              <w:top w:val="nil"/>
              <w:left w:val="nil"/>
              <w:bottom w:val="nil"/>
              <w:right w:val="nil"/>
            </w:tcBorders>
            <w:shd w:val="clear" w:color="auto" w:fill="FFFFFF"/>
            <w:vAlign w:val="center"/>
          </w:tcPr>
          <w:p w14:paraId="7CC6CF6E">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扩散速度</w:t>
            </w:r>
          </w:p>
        </w:tc>
        <w:tc>
          <w:tcPr>
            <w:tcW w:w="6005" w:type="dxa"/>
            <w:tcBorders>
              <w:top w:val="nil"/>
              <w:left w:val="nil"/>
              <w:bottom w:val="nil"/>
              <w:right w:val="nil"/>
            </w:tcBorders>
            <w:shd w:val="clear" w:color="auto" w:fill="FFFFFF"/>
            <w:vAlign w:val="center"/>
          </w:tcPr>
          <w:p w14:paraId="0BC91466">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衡量专利公开后被后续技术吸收和引用的时间效率。引用时滞越短，说明知识扩散越快。</w:t>
            </w:r>
          </w:p>
        </w:tc>
      </w:tr>
      <w:tr w14:paraId="0B3585DB">
        <w:trPr>
          <w:trHeight w:val="680" w:hRule="atLeast"/>
        </w:trPr>
        <w:tc>
          <w:tcPr>
            <w:tcW w:w="1513" w:type="dxa"/>
            <w:vMerge w:val="continue"/>
            <w:tcBorders>
              <w:left w:val="nil"/>
              <w:right w:val="nil"/>
            </w:tcBorders>
            <w:shd w:val="clear" w:color="auto" w:fill="FFFFFF"/>
            <w:vAlign w:val="center"/>
          </w:tcPr>
          <w:p w14:paraId="4A4E11C9">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35DEE32F">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扩散广度</w:t>
            </w:r>
          </w:p>
        </w:tc>
        <w:tc>
          <w:tcPr>
            <w:tcW w:w="6005" w:type="dxa"/>
            <w:tcBorders>
              <w:top w:val="nil"/>
              <w:left w:val="nil"/>
              <w:bottom w:val="nil"/>
              <w:right w:val="nil"/>
            </w:tcBorders>
            <w:shd w:val="clear" w:color="auto" w:fill="FFFFFF"/>
            <w:vAlign w:val="center"/>
          </w:tcPr>
          <w:p w14:paraId="71AE0D3A">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衡量焦点专利被多少不同技术领域的后续专利吸收，反映知识跨技术领域传播的范围和多样性。</w:t>
            </w:r>
          </w:p>
        </w:tc>
      </w:tr>
      <w:tr w14:paraId="33AE7A95">
        <w:trPr>
          <w:trHeight w:val="680" w:hRule="atLeast"/>
        </w:trPr>
        <w:tc>
          <w:tcPr>
            <w:tcW w:w="1513" w:type="dxa"/>
            <w:vMerge w:val="continue"/>
            <w:tcBorders>
              <w:left w:val="nil"/>
              <w:right w:val="nil"/>
            </w:tcBorders>
            <w:shd w:val="clear" w:color="auto" w:fill="FFFFFF"/>
            <w:vAlign w:val="center"/>
          </w:tcPr>
          <w:p w14:paraId="2CE90144">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5685457E">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扩散强度</w:t>
            </w:r>
          </w:p>
        </w:tc>
        <w:tc>
          <w:tcPr>
            <w:tcW w:w="6005" w:type="dxa"/>
            <w:tcBorders>
              <w:top w:val="nil"/>
              <w:left w:val="nil"/>
              <w:bottom w:val="nil"/>
              <w:right w:val="nil"/>
            </w:tcBorders>
            <w:shd w:val="clear" w:color="auto" w:fill="FFFFFF"/>
            <w:vAlign w:val="center"/>
          </w:tcPr>
          <w:p w14:paraId="20C304FD">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衡量焦点专利公开后获得外部前向引用的数量，反映后续技术对该专利知识的吸收和利用强度。</w:t>
            </w:r>
          </w:p>
        </w:tc>
      </w:tr>
      <w:tr w14:paraId="4381B5A9">
        <w:trPr>
          <w:trHeight w:val="680" w:hRule="atLeast"/>
        </w:trPr>
        <w:tc>
          <w:tcPr>
            <w:tcW w:w="1513" w:type="dxa"/>
            <w:vMerge w:val="continue"/>
            <w:tcBorders>
              <w:left w:val="nil"/>
              <w:bottom w:val="nil"/>
              <w:right w:val="nil"/>
            </w:tcBorders>
            <w:shd w:val="clear" w:color="auto" w:fill="FFFFFF"/>
            <w:vAlign w:val="center"/>
          </w:tcPr>
          <w:p w14:paraId="3C71A56C">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7313AFBD">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扩散质量</w:t>
            </w:r>
          </w:p>
        </w:tc>
        <w:tc>
          <w:tcPr>
            <w:tcW w:w="6005" w:type="dxa"/>
            <w:tcBorders>
              <w:top w:val="nil"/>
              <w:left w:val="nil"/>
              <w:bottom w:val="nil"/>
              <w:right w:val="nil"/>
            </w:tcBorders>
            <w:shd w:val="clear" w:color="auto" w:fill="FFFFFF"/>
            <w:vAlign w:val="center"/>
          </w:tcPr>
          <w:p w14:paraId="0B181ECC">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衡量引用焦点专利的后续专利本身质量高低，反映焦点专利是否对高质量后续技术创新产生影响。</w:t>
            </w:r>
          </w:p>
        </w:tc>
      </w:tr>
      <w:tr w14:paraId="29ECEE6D">
        <w:trPr>
          <w:trHeight w:val="1020" w:hRule="atLeast"/>
        </w:trPr>
        <w:tc>
          <w:tcPr>
            <w:tcW w:w="1513" w:type="dxa"/>
            <w:vMerge w:val="restart"/>
            <w:tcBorders>
              <w:top w:val="nil"/>
              <w:left w:val="nil"/>
              <w:right w:val="nil"/>
            </w:tcBorders>
            <w:shd w:val="clear" w:color="auto" w:fill="FFFFFF"/>
            <w:vAlign w:val="center"/>
          </w:tcPr>
          <w:p w14:paraId="22D089C9">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五、知识网络结构特征</w:t>
            </w:r>
          </w:p>
        </w:tc>
        <w:tc>
          <w:tcPr>
            <w:tcW w:w="2122" w:type="dxa"/>
            <w:tcBorders>
              <w:top w:val="nil"/>
              <w:left w:val="nil"/>
              <w:bottom w:val="nil"/>
              <w:right w:val="nil"/>
            </w:tcBorders>
            <w:shd w:val="clear" w:color="auto" w:fill="FFFFFF"/>
            <w:vAlign w:val="center"/>
          </w:tcPr>
          <w:p w14:paraId="4DF5275B">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颠覆性指数（CD）</w:t>
            </w:r>
          </w:p>
        </w:tc>
        <w:tc>
          <w:tcPr>
            <w:tcW w:w="6005" w:type="dxa"/>
            <w:tcBorders>
              <w:top w:val="nil"/>
              <w:left w:val="nil"/>
              <w:bottom w:val="nil"/>
              <w:right w:val="nil"/>
            </w:tcBorders>
            <w:shd w:val="clear" w:color="auto" w:fill="FFFFFF"/>
            <w:vAlign w:val="center"/>
          </w:tcPr>
          <w:p w14:paraId="6ED801DB">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衡量焦点专利是否促使后续技术绕开其所依赖的既有知识基础，进而改变原有技术演进路径。数值反映技术延续与技术颠覆之间的结构差异。</w:t>
            </w:r>
          </w:p>
        </w:tc>
      </w:tr>
      <w:tr w14:paraId="6D8E7FF3">
        <w:trPr>
          <w:trHeight w:val="1020" w:hRule="atLeast"/>
        </w:trPr>
        <w:tc>
          <w:tcPr>
            <w:tcW w:w="1513" w:type="dxa"/>
            <w:vMerge w:val="continue"/>
            <w:tcBorders>
              <w:left w:val="nil"/>
              <w:bottom w:val="nil"/>
              <w:right w:val="nil"/>
            </w:tcBorders>
            <w:shd w:val="clear" w:color="auto" w:fill="FFFFFF"/>
            <w:vAlign w:val="center"/>
          </w:tcPr>
          <w:p w14:paraId="22C17171">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5E4C5231">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搜索路径节点对中心性（SPNP）</w:t>
            </w:r>
          </w:p>
        </w:tc>
        <w:tc>
          <w:tcPr>
            <w:tcW w:w="6005" w:type="dxa"/>
            <w:tcBorders>
              <w:top w:val="nil"/>
              <w:left w:val="nil"/>
              <w:bottom w:val="nil"/>
              <w:right w:val="nil"/>
            </w:tcBorders>
            <w:shd w:val="clear" w:color="auto" w:fill="FFFFFF"/>
            <w:vAlign w:val="center"/>
          </w:tcPr>
          <w:p w14:paraId="0D1AD9A0">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衡量焦点专利在技术知识流动路径中承担连接前序知识和后续知识的枢纽程度，反映其在引文网络中的结构性中介作用。</w:t>
            </w:r>
          </w:p>
        </w:tc>
      </w:tr>
      <w:tr w14:paraId="3B688AA5">
        <w:trPr>
          <w:trHeight w:val="1020" w:hRule="atLeast"/>
        </w:trPr>
        <w:tc>
          <w:tcPr>
            <w:tcW w:w="1513" w:type="dxa"/>
            <w:vMerge w:val="restart"/>
            <w:tcBorders>
              <w:top w:val="nil"/>
              <w:left w:val="nil"/>
              <w:right w:val="nil"/>
            </w:tcBorders>
            <w:shd w:val="clear" w:color="auto" w:fill="FFFFFF"/>
            <w:vAlign w:val="center"/>
          </w:tcPr>
          <w:p w14:paraId="188481AE">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六、文本控制特征</w:t>
            </w:r>
          </w:p>
        </w:tc>
        <w:tc>
          <w:tcPr>
            <w:tcW w:w="2122" w:type="dxa"/>
            <w:tcBorders>
              <w:top w:val="nil"/>
              <w:left w:val="nil"/>
              <w:bottom w:val="nil"/>
              <w:right w:val="nil"/>
            </w:tcBorders>
            <w:shd w:val="clear" w:color="auto" w:fill="FFFFFF"/>
            <w:vAlign w:val="center"/>
          </w:tcPr>
          <w:p w14:paraId="4D952FA7">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标题长度</w:t>
            </w:r>
          </w:p>
        </w:tc>
        <w:tc>
          <w:tcPr>
            <w:tcW w:w="6005" w:type="dxa"/>
            <w:tcBorders>
              <w:top w:val="nil"/>
              <w:left w:val="nil"/>
              <w:bottom w:val="nil"/>
              <w:right w:val="nil"/>
            </w:tcBorders>
            <w:shd w:val="clear" w:color="auto" w:fill="FFFFFF"/>
            <w:vAlign w:val="center"/>
          </w:tcPr>
          <w:p w14:paraId="0C98F265">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衡量专利标题的文本长度，反映技术名称表达的信息规模，可作为文本模型或实证分析的控制变量。</w:t>
            </w:r>
          </w:p>
        </w:tc>
      </w:tr>
      <w:tr w14:paraId="2E968140">
        <w:trPr>
          <w:trHeight w:val="1020" w:hRule="atLeast"/>
        </w:trPr>
        <w:tc>
          <w:tcPr>
            <w:tcW w:w="1513" w:type="dxa"/>
            <w:vMerge w:val="continue"/>
            <w:tcBorders>
              <w:left w:val="nil"/>
              <w:bottom w:val="nil"/>
              <w:right w:val="nil"/>
            </w:tcBorders>
            <w:shd w:val="clear" w:color="auto" w:fill="FFFFFF"/>
            <w:vAlign w:val="center"/>
          </w:tcPr>
          <w:p w14:paraId="00661B38">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68351563">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摘要长度</w:t>
            </w:r>
          </w:p>
        </w:tc>
        <w:tc>
          <w:tcPr>
            <w:tcW w:w="6005" w:type="dxa"/>
            <w:tcBorders>
              <w:top w:val="nil"/>
              <w:left w:val="nil"/>
              <w:bottom w:val="nil"/>
              <w:right w:val="nil"/>
            </w:tcBorders>
            <w:shd w:val="clear" w:color="auto" w:fill="FFFFFF"/>
            <w:vAlign w:val="center"/>
          </w:tcPr>
          <w:p w14:paraId="5C4EA58B">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衡量专利摘要的文本长度，反映技术内容描述的信息规模，可用于控制文本长度对语义测度结果的影响。</w:t>
            </w:r>
          </w:p>
        </w:tc>
      </w:tr>
      <w:tr w14:paraId="3442D4CB">
        <w:trPr>
          <w:trHeight w:val="1020" w:hRule="atLeast"/>
        </w:trPr>
        <w:tc>
          <w:tcPr>
            <w:tcW w:w="1513" w:type="dxa"/>
            <w:tcBorders>
              <w:top w:val="nil"/>
              <w:left w:val="nil"/>
              <w:bottom w:val="nil"/>
              <w:right w:val="nil"/>
            </w:tcBorders>
            <w:shd w:val="clear" w:color="auto" w:fill="FFFFFF"/>
            <w:vAlign w:val="center"/>
          </w:tcPr>
          <w:p w14:paraId="5A580135">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七、技术范围特征</w:t>
            </w:r>
          </w:p>
        </w:tc>
        <w:tc>
          <w:tcPr>
            <w:tcW w:w="2122" w:type="dxa"/>
            <w:tcBorders>
              <w:top w:val="nil"/>
              <w:left w:val="nil"/>
              <w:bottom w:val="nil"/>
              <w:right w:val="nil"/>
            </w:tcBorders>
            <w:shd w:val="clear" w:color="auto" w:fill="FFFFFF"/>
            <w:vAlign w:val="center"/>
          </w:tcPr>
          <w:p w14:paraId="4D7BFCDA">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IPC分类号数量</w:t>
            </w:r>
          </w:p>
        </w:tc>
        <w:tc>
          <w:tcPr>
            <w:tcW w:w="6005" w:type="dxa"/>
            <w:tcBorders>
              <w:top w:val="nil"/>
              <w:left w:val="nil"/>
              <w:bottom w:val="nil"/>
              <w:right w:val="nil"/>
            </w:tcBorders>
            <w:shd w:val="clear" w:color="auto" w:fill="FFFFFF"/>
            <w:vAlign w:val="center"/>
          </w:tcPr>
          <w:p w14:paraId="2B2B45A1">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衡量焦点专利自身覆盖的IPC技术类别数量。技术类别越多，说明该专利自身涉及的技术范围越广。</w:t>
            </w:r>
          </w:p>
        </w:tc>
      </w:tr>
      <w:tr w14:paraId="1E00DDF8">
        <w:trPr>
          <w:trHeight w:val="1020" w:hRule="atLeast"/>
        </w:trPr>
        <w:tc>
          <w:tcPr>
            <w:tcW w:w="1513" w:type="dxa"/>
            <w:vMerge w:val="restart"/>
            <w:tcBorders>
              <w:top w:val="nil"/>
              <w:left w:val="nil"/>
              <w:right w:val="nil"/>
            </w:tcBorders>
            <w:shd w:val="clear" w:color="auto" w:fill="FFFFFF"/>
            <w:vAlign w:val="center"/>
          </w:tcPr>
          <w:p w14:paraId="24661ACC">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八、权利保护与申请布局特征</w:t>
            </w:r>
          </w:p>
        </w:tc>
        <w:tc>
          <w:tcPr>
            <w:tcW w:w="2122" w:type="dxa"/>
            <w:tcBorders>
              <w:top w:val="nil"/>
              <w:left w:val="nil"/>
              <w:bottom w:val="nil"/>
              <w:right w:val="nil"/>
            </w:tcBorders>
            <w:shd w:val="clear" w:color="auto" w:fill="FFFFFF"/>
            <w:vAlign w:val="center"/>
          </w:tcPr>
          <w:p w14:paraId="24F01E36">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权利要求总数</w:t>
            </w:r>
          </w:p>
        </w:tc>
        <w:tc>
          <w:tcPr>
            <w:tcW w:w="6005" w:type="dxa"/>
            <w:tcBorders>
              <w:top w:val="nil"/>
              <w:left w:val="nil"/>
              <w:bottom w:val="nil"/>
              <w:right w:val="nil"/>
            </w:tcBorders>
            <w:shd w:val="clear" w:color="auto" w:fill="FFFFFF"/>
            <w:vAlign w:val="center"/>
          </w:tcPr>
          <w:p w14:paraId="739029B0">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衡量一项专利全部权利要求的数量规模，反映其权利要求结构的复杂程度，而不宜简单等同于法律保护范围大小。</w:t>
            </w:r>
          </w:p>
        </w:tc>
      </w:tr>
      <w:tr w14:paraId="4AD109EA">
        <w:trPr>
          <w:trHeight w:val="680" w:hRule="atLeast"/>
        </w:trPr>
        <w:tc>
          <w:tcPr>
            <w:tcW w:w="1513" w:type="dxa"/>
            <w:vMerge w:val="continue"/>
            <w:tcBorders>
              <w:left w:val="nil"/>
              <w:right w:val="nil"/>
            </w:tcBorders>
            <w:shd w:val="clear" w:color="auto" w:fill="FFFFFF"/>
            <w:vAlign w:val="center"/>
          </w:tcPr>
          <w:p w14:paraId="42BA6C5E">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60B80065">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独立权利要求数</w:t>
            </w:r>
          </w:p>
        </w:tc>
        <w:tc>
          <w:tcPr>
            <w:tcW w:w="6005" w:type="dxa"/>
            <w:tcBorders>
              <w:top w:val="nil"/>
              <w:left w:val="nil"/>
              <w:bottom w:val="nil"/>
              <w:right w:val="nil"/>
            </w:tcBorders>
            <w:shd w:val="clear" w:color="auto" w:fill="FFFFFF"/>
            <w:vAlign w:val="center"/>
          </w:tcPr>
          <w:p w14:paraId="1FD31830">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衡量专利中能够独立界定技术方案的权利要求数量，反映独立保护点的数量和权利结构。</w:t>
            </w:r>
          </w:p>
        </w:tc>
      </w:tr>
      <w:tr w14:paraId="6A0EE9F2">
        <w:trPr>
          <w:trHeight w:val="680" w:hRule="atLeast"/>
        </w:trPr>
        <w:tc>
          <w:tcPr>
            <w:tcW w:w="1513" w:type="dxa"/>
            <w:vMerge w:val="continue"/>
            <w:tcBorders>
              <w:left w:val="nil"/>
              <w:right w:val="nil"/>
            </w:tcBorders>
            <w:shd w:val="clear" w:color="auto" w:fill="FFFFFF"/>
            <w:vAlign w:val="center"/>
          </w:tcPr>
          <w:p w14:paraId="10DE3477">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418B8F7A">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是否PCT/国际途径</w:t>
            </w:r>
          </w:p>
        </w:tc>
        <w:tc>
          <w:tcPr>
            <w:tcW w:w="6005" w:type="dxa"/>
            <w:tcBorders>
              <w:top w:val="nil"/>
              <w:left w:val="nil"/>
              <w:bottom w:val="nil"/>
              <w:right w:val="nil"/>
            </w:tcBorders>
            <w:shd w:val="clear" w:color="auto" w:fill="FFFFFF"/>
            <w:vAlign w:val="center"/>
          </w:tcPr>
          <w:p w14:paraId="6C4D7966">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衡量一项专利是否通过PCT等国际申请途径进行海外专利申请布局，反映申请人的国际化保护意图。</w:t>
            </w:r>
          </w:p>
        </w:tc>
      </w:tr>
      <w:tr w14:paraId="1B2199CF">
        <w:trPr>
          <w:trHeight w:val="1020" w:hRule="atLeast"/>
        </w:trPr>
        <w:tc>
          <w:tcPr>
            <w:tcW w:w="1513" w:type="dxa"/>
            <w:vMerge w:val="continue"/>
            <w:tcBorders>
              <w:left w:val="nil"/>
              <w:bottom w:val="nil"/>
              <w:right w:val="nil"/>
            </w:tcBorders>
            <w:shd w:val="clear" w:color="auto" w:fill="FFFFFF"/>
            <w:vAlign w:val="center"/>
          </w:tcPr>
          <w:p w14:paraId="6740AA70">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2CDB74B7">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专利类型</w:t>
            </w:r>
          </w:p>
        </w:tc>
        <w:tc>
          <w:tcPr>
            <w:tcW w:w="6005" w:type="dxa"/>
            <w:tcBorders>
              <w:top w:val="nil"/>
              <w:left w:val="nil"/>
              <w:bottom w:val="nil"/>
              <w:right w:val="nil"/>
            </w:tcBorders>
            <w:shd w:val="clear" w:color="auto" w:fill="FFFFFF"/>
            <w:vAlign w:val="center"/>
          </w:tcPr>
          <w:p w14:paraId="1971E2BB">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区分发明公布、发明授权、实用新型、外观设计等不同制度类型。若研究样本全部为发明公布专利，则该指标没有变异，可不纳入模型。</w:t>
            </w:r>
          </w:p>
        </w:tc>
      </w:tr>
      <w:tr w14:paraId="30093B40">
        <w:trPr>
          <w:trHeight w:val="1020" w:hRule="atLeast"/>
        </w:trPr>
        <w:tc>
          <w:tcPr>
            <w:tcW w:w="1513" w:type="dxa"/>
            <w:vMerge w:val="restart"/>
            <w:tcBorders>
              <w:top w:val="nil"/>
              <w:left w:val="nil"/>
              <w:right w:val="nil"/>
            </w:tcBorders>
            <w:shd w:val="clear" w:color="auto" w:fill="FFFFFF"/>
            <w:vAlign w:val="center"/>
          </w:tcPr>
          <w:p w14:paraId="27603C15">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九、创新主体与团队特征</w:t>
            </w:r>
          </w:p>
        </w:tc>
        <w:tc>
          <w:tcPr>
            <w:tcW w:w="2122" w:type="dxa"/>
            <w:tcBorders>
              <w:top w:val="nil"/>
              <w:left w:val="nil"/>
              <w:bottom w:val="nil"/>
              <w:right w:val="nil"/>
            </w:tcBorders>
            <w:shd w:val="clear" w:color="auto" w:fill="FFFFFF"/>
            <w:vAlign w:val="center"/>
          </w:tcPr>
          <w:p w14:paraId="02F0348E">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申请人数量</w:t>
            </w:r>
          </w:p>
        </w:tc>
        <w:tc>
          <w:tcPr>
            <w:tcW w:w="6005" w:type="dxa"/>
            <w:tcBorders>
              <w:top w:val="nil"/>
              <w:left w:val="nil"/>
              <w:bottom w:val="nil"/>
              <w:right w:val="nil"/>
            </w:tcBorders>
            <w:shd w:val="clear" w:color="auto" w:fill="FFFFFF"/>
            <w:vAlign w:val="center"/>
          </w:tcPr>
          <w:p w14:paraId="184D6182">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衡量一项专利由多少独立申请主体共同申请，反映创新主体规模及跨主体合作程度。</w:t>
            </w:r>
          </w:p>
        </w:tc>
      </w:tr>
      <w:tr w14:paraId="6BB11B32">
        <w:trPr>
          <w:trHeight w:val="680" w:hRule="atLeast"/>
        </w:trPr>
        <w:tc>
          <w:tcPr>
            <w:tcW w:w="1513" w:type="dxa"/>
            <w:vMerge w:val="continue"/>
            <w:tcBorders>
              <w:left w:val="nil"/>
              <w:right w:val="nil"/>
            </w:tcBorders>
            <w:shd w:val="clear" w:color="auto" w:fill="FFFFFF"/>
            <w:vAlign w:val="center"/>
          </w:tcPr>
          <w:p w14:paraId="46A3AC01">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5D5EFCFB">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发明人数量</w:t>
            </w:r>
          </w:p>
        </w:tc>
        <w:tc>
          <w:tcPr>
            <w:tcW w:w="6005" w:type="dxa"/>
            <w:tcBorders>
              <w:top w:val="nil"/>
              <w:left w:val="nil"/>
              <w:bottom w:val="nil"/>
              <w:right w:val="nil"/>
            </w:tcBorders>
            <w:shd w:val="clear" w:color="auto" w:fill="FFFFFF"/>
            <w:vAlign w:val="center"/>
          </w:tcPr>
          <w:p w14:paraId="27DBA134">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衡量参与专利研发的发明人规模，反映直接研发团队的人力规模。</w:t>
            </w:r>
          </w:p>
        </w:tc>
      </w:tr>
      <w:tr w14:paraId="71ED4120">
        <w:trPr>
          <w:trHeight w:val="680" w:hRule="atLeast"/>
        </w:trPr>
        <w:tc>
          <w:tcPr>
            <w:tcW w:w="1513" w:type="dxa"/>
            <w:vMerge w:val="continue"/>
            <w:tcBorders>
              <w:left w:val="nil"/>
              <w:right w:val="nil"/>
            </w:tcBorders>
            <w:shd w:val="clear" w:color="auto" w:fill="FFFFFF"/>
            <w:vAlign w:val="center"/>
          </w:tcPr>
          <w:p w14:paraId="743E44B6">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6A54FE4D">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发明人历史专利数量</w:t>
            </w:r>
          </w:p>
        </w:tc>
        <w:tc>
          <w:tcPr>
            <w:tcW w:w="6005" w:type="dxa"/>
            <w:tcBorders>
              <w:top w:val="nil"/>
              <w:left w:val="nil"/>
              <w:bottom w:val="nil"/>
              <w:right w:val="nil"/>
            </w:tcBorders>
            <w:shd w:val="clear" w:color="auto" w:fill="FFFFFF"/>
            <w:vAlign w:val="center"/>
          </w:tcPr>
          <w:p w14:paraId="1C6B8DA8">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衡量发明人在焦点专利申请日前已参与的历史专利数量，反映研发团队既有创新经验和技术积累。</w:t>
            </w:r>
          </w:p>
        </w:tc>
      </w:tr>
      <w:tr w14:paraId="6DFDC161">
        <w:trPr>
          <w:trHeight w:val="1020" w:hRule="atLeast"/>
        </w:trPr>
        <w:tc>
          <w:tcPr>
            <w:tcW w:w="1513" w:type="dxa"/>
            <w:vMerge w:val="continue"/>
            <w:tcBorders>
              <w:left w:val="nil"/>
              <w:bottom w:val="nil"/>
              <w:right w:val="nil"/>
            </w:tcBorders>
            <w:shd w:val="clear" w:color="auto" w:fill="FFFFFF"/>
            <w:vAlign w:val="center"/>
          </w:tcPr>
          <w:p w14:paraId="3128C334">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6839E963">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申请人领域历史专利积累</w:t>
            </w:r>
          </w:p>
        </w:tc>
        <w:tc>
          <w:tcPr>
            <w:tcW w:w="6005" w:type="dxa"/>
            <w:tcBorders>
              <w:top w:val="nil"/>
              <w:left w:val="nil"/>
              <w:bottom w:val="nil"/>
              <w:right w:val="nil"/>
            </w:tcBorders>
            <w:shd w:val="clear" w:color="auto" w:fill="FFFFFF"/>
            <w:vAlign w:val="center"/>
          </w:tcPr>
          <w:p w14:paraId="7927A0F6">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衡量申请人在焦点专利所属技术领域中、申请日前已经形成的专利积累，反映申请主体在相关技术方向上的专业化知识基础。</w:t>
            </w:r>
          </w:p>
        </w:tc>
      </w:tr>
      <w:tr w14:paraId="5819CE90">
        <w:trPr>
          <w:trHeight w:val="680" w:hRule="atLeast"/>
        </w:trPr>
        <w:tc>
          <w:tcPr>
            <w:tcW w:w="1513" w:type="dxa"/>
            <w:vMerge w:val="restart"/>
            <w:tcBorders>
              <w:top w:val="nil"/>
              <w:left w:val="nil"/>
              <w:right w:val="nil"/>
            </w:tcBorders>
            <w:shd w:val="clear" w:color="auto" w:fill="FFFFFF"/>
            <w:vAlign w:val="center"/>
          </w:tcPr>
          <w:p w14:paraId="3D993BA4">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十、市场运用特征</w:t>
            </w:r>
          </w:p>
        </w:tc>
        <w:tc>
          <w:tcPr>
            <w:tcW w:w="2122" w:type="dxa"/>
            <w:tcBorders>
              <w:top w:val="nil"/>
              <w:left w:val="nil"/>
              <w:bottom w:val="nil"/>
              <w:right w:val="nil"/>
            </w:tcBorders>
            <w:shd w:val="clear" w:color="auto" w:fill="FFFFFF"/>
            <w:vAlign w:val="center"/>
          </w:tcPr>
          <w:p w14:paraId="6C0B50CD">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转让次数</w:t>
            </w:r>
          </w:p>
        </w:tc>
        <w:tc>
          <w:tcPr>
            <w:tcW w:w="6005" w:type="dxa"/>
            <w:tcBorders>
              <w:top w:val="nil"/>
              <w:left w:val="nil"/>
              <w:bottom w:val="nil"/>
              <w:right w:val="nil"/>
            </w:tcBorders>
            <w:shd w:val="clear" w:color="auto" w:fill="FFFFFF"/>
            <w:vAlign w:val="center"/>
          </w:tcPr>
          <w:p w14:paraId="6B12FE47">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衡量专利所有权发生转移的次数，反映专利在技术产权市场中的流动和交易情况。</w:t>
            </w:r>
          </w:p>
        </w:tc>
      </w:tr>
      <w:tr w14:paraId="39C5AFCA">
        <w:trPr>
          <w:trHeight w:val="1020" w:hRule="atLeast"/>
        </w:trPr>
        <w:tc>
          <w:tcPr>
            <w:tcW w:w="1513" w:type="dxa"/>
            <w:vMerge w:val="continue"/>
            <w:tcBorders>
              <w:left w:val="nil"/>
              <w:bottom w:val="nil"/>
              <w:right w:val="nil"/>
            </w:tcBorders>
            <w:shd w:val="clear" w:color="auto" w:fill="FFFFFF"/>
            <w:vAlign w:val="center"/>
          </w:tcPr>
          <w:p w14:paraId="330A2479">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4B54713A">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许可次数</w:t>
            </w:r>
          </w:p>
        </w:tc>
        <w:tc>
          <w:tcPr>
            <w:tcW w:w="6005" w:type="dxa"/>
            <w:tcBorders>
              <w:top w:val="nil"/>
              <w:left w:val="nil"/>
              <w:bottom w:val="nil"/>
              <w:right w:val="nil"/>
            </w:tcBorders>
            <w:shd w:val="clear" w:color="auto" w:fill="FFFFFF"/>
            <w:vAlign w:val="center"/>
          </w:tcPr>
          <w:p w14:paraId="7FC3ABB9">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衡量专利权人授权其他主体使用该项技术的次数，反映专利技术在不转移所有权条件下的市场化利用程度。</w:t>
            </w:r>
          </w:p>
        </w:tc>
      </w:tr>
      <w:tr w14:paraId="0B156885">
        <w:trPr>
          <w:trHeight w:val="1020" w:hRule="atLeast"/>
        </w:trPr>
        <w:tc>
          <w:tcPr>
            <w:tcW w:w="1513" w:type="dxa"/>
            <w:vMerge w:val="restart"/>
            <w:tcBorders>
              <w:top w:val="nil"/>
              <w:left w:val="nil"/>
              <w:right w:val="nil"/>
            </w:tcBorders>
            <w:shd w:val="clear" w:color="auto" w:fill="FFFFFF"/>
            <w:vAlign w:val="center"/>
          </w:tcPr>
          <w:p w14:paraId="1FA96C76">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十一、法律状态与稳定性特征</w:t>
            </w:r>
          </w:p>
        </w:tc>
        <w:tc>
          <w:tcPr>
            <w:tcW w:w="2122" w:type="dxa"/>
            <w:tcBorders>
              <w:top w:val="nil"/>
              <w:left w:val="nil"/>
              <w:bottom w:val="nil"/>
              <w:right w:val="nil"/>
            </w:tcBorders>
            <w:shd w:val="clear" w:color="auto" w:fill="FFFFFF"/>
            <w:vAlign w:val="center"/>
          </w:tcPr>
          <w:p w14:paraId="5F213E0D">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专利维持时长</w:t>
            </w:r>
          </w:p>
        </w:tc>
        <w:tc>
          <w:tcPr>
            <w:tcW w:w="6005" w:type="dxa"/>
            <w:tcBorders>
              <w:top w:val="nil"/>
              <w:left w:val="nil"/>
              <w:bottom w:val="nil"/>
              <w:right w:val="nil"/>
            </w:tcBorders>
            <w:shd w:val="clear" w:color="auto" w:fill="FFFFFF"/>
            <w:vAlign w:val="center"/>
          </w:tcPr>
          <w:p w14:paraId="4C0BF23F">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衡量专利权在法律上实际保持有效的时间长度，反映权利存续和维持情况。</w:t>
            </w:r>
          </w:p>
        </w:tc>
      </w:tr>
      <w:tr w14:paraId="06464E4D">
        <w:trPr>
          <w:trHeight w:val="680" w:hRule="atLeast"/>
        </w:trPr>
        <w:tc>
          <w:tcPr>
            <w:tcW w:w="1513" w:type="dxa"/>
            <w:vMerge w:val="continue"/>
            <w:tcBorders>
              <w:left w:val="nil"/>
              <w:right w:val="nil"/>
            </w:tcBorders>
            <w:shd w:val="clear" w:color="auto" w:fill="FFFFFF"/>
            <w:vAlign w:val="center"/>
          </w:tcPr>
          <w:p w14:paraId="59118073">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nil"/>
              <w:right w:val="nil"/>
            </w:tcBorders>
            <w:shd w:val="clear" w:color="auto" w:fill="FFFFFF"/>
            <w:vAlign w:val="center"/>
          </w:tcPr>
          <w:p w14:paraId="01F4F833">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专利状态</w:t>
            </w:r>
          </w:p>
        </w:tc>
        <w:tc>
          <w:tcPr>
            <w:tcW w:w="6005" w:type="dxa"/>
            <w:tcBorders>
              <w:top w:val="nil"/>
              <w:left w:val="nil"/>
              <w:bottom w:val="nil"/>
              <w:right w:val="nil"/>
            </w:tcBorders>
            <w:shd w:val="clear" w:color="auto" w:fill="FFFFFF"/>
            <w:vAlign w:val="center"/>
          </w:tcPr>
          <w:p w14:paraId="37F7A7C4">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描述专利在特定观测时点处于申请、授权、有效、终止或失效等何种法律状态。</w:t>
            </w:r>
          </w:p>
        </w:tc>
      </w:tr>
      <w:tr w14:paraId="2FBA1F6D">
        <w:trPr>
          <w:trHeight w:val="1360" w:hRule="atLeast"/>
        </w:trPr>
        <w:tc>
          <w:tcPr>
            <w:tcW w:w="1513" w:type="dxa"/>
            <w:vMerge w:val="continue"/>
            <w:tcBorders>
              <w:left w:val="nil"/>
              <w:bottom w:val="single" w:color="000000" w:sz="12" w:space="0"/>
              <w:right w:val="nil"/>
            </w:tcBorders>
            <w:shd w:val="clear" w:color="auto" w:fill="FFFFFF"/>
            <w:vAlign w:val="center"/>
          </w:tcPr>
          <w:p w14:paraId="37FB2B6F">
            <w:pPr>
              <w:keepNext w:val="0"/>
              <w:keepLines w:val="0"/>
              <w:pageBreakBefore w:val="0"/>
              <w:widowControl/>
              <w:wordWrap/>
              <w:overflowPunct/>
              <w:topLinePunct w:val="0"/>
              <w:bidi w:val="0"/>
              <w:ind w:firstLine="0" w:firstLineChars="0"/>
              <w:jc w:val="center"/>
              <w:rPr>
                <w:rFonts w:hint="eastAsia" w:ascii="宋体" w:hAnsi="宋体" w:eastAsia="宋体" w:cs="宋体"/>
                <w:b w:val="0"/>
                <w:i w:val="0"/>
                <w:iCs w:val="0"/>
                <w:color w:val="000000"/>
                <w:sz w:val="22"/>
                <w:szCs w:val="22"/>
                <w:u w:val="none"/>
              </w:rPr>
            </w:pPr>
          </w:p>
        </w:tc>
        <w:tc>
          <w:tcPr>
            <w:tcW w:w="2122" w:type="dxa"/>
            <w:tcBorders>
              <w:top w:val="nil"/>
              <w:left w:val="nil"/>
              <w:bottom w:val="single" w:color="000000" w:sz="12" w:space="0"/>
              <w:right w:val="nil"/>
            </w:tcBorders>
            <w:shd w:val="clear" w:color="auto" w:fill="FFFFFF"/>
            <w:vAlign w:val="center"/>
          </w:tcPr>
          <w:p w14:paraId="00E5979F">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bCs/>
                <w:i w:val="0"/>
                <w:iCs w:val="0"/>
                <w:color w:val="000000"/>
                <w:sz w:val="22"/>
                <w:szCs w:val="22"/>
                <w:u w:val="none"/>
              </w:rPr>
            </w:pPr>
            <w:r>
              <w:rPr>
                <w:rFonts w:hint="eastAsia" w:ascii="宋体" w:hAnsi="宋体" w:eastAsia="宋体" w:cs="宋体"/>
                <w:b w:val="0"/>
                <w:bCs/>
                <w:i w:val="0"/>
                <w:iCs w:val="0"/>
                <w:snapToGrid w:val="0"/>
                <w:color w:val="000000"/>
                <w:kern w:val="0"/>
                <w:sz w:val="22"/>
                <w:szCs w:val="22"/>
                <w:u w:val="none"/>
                <w:bdr w:val="none" w:color="auto" w:sz="0" w:space="0"/>
                <w:lang w:val="en-US" w:eastAsia="zh-CN" w:bidi="ar"/>
              </w:rPr>
              <w:t>公开时滞</w:t>
            </w:r>
          </w:p>
        </w:tc>
        <w:tc>
          <w:tcPr>
            <w:tcW w:w="6005" w:type="dxa"/>
            <w:tcBorders>
              <w:top w:val="nil"/>
              <w:left w:val="nil"/>
              <w:bottom w:val="single" w:color="000000" w:sz="12" w:space="0"/>
              <w:right w:val="nil"/>
            </w:tcBorders>
            <w:shd w:val="clear" w:color="auto" w:fill="FFFFFF"/>
            <w:vAlign w:val="center"/>
          </w:tcPr>
          <w:p w14:paraId="20DBFB32">
            <w:pPr>
              <w:keepNext w:val="0"/>
              <w:keepLines w:val="0"/>
              <w:pageBreakBefore w:val="0"/>
              <w:widowControl/>
              <w:suppressLineNumbers w:val="0"/>
              <w:wordWrap/>
              <w:overflowPunct/>
              <w:topLinePunct w:val="0"/>
              <w:bidi w:val="0"/>
              <w:ind w:firstLine="0" w:firstLineChars="0"/>
              <w:jc w:val="center"/>
              <w:textAlignment w:val="center"/>
              <w:rPr>
                <w:rFonts w:hint="eastAsia" w:ascii="宋体" w:hAnsi="宋体" w:eastAsia="宋体" w:cs="宋体"/>
                <w:b w:val="0"/>
                <w:i w:val="0"/>
                <w:iCs w:val="0"/>
                <w:color w:val="000000"/>
                <w:sz w:val="22"/>
                <w:szCs w:val="22"/>
                <w:u w:val="none"/>
              </w:rPr>
            </w:pPr>
            <w:r>
              <w:rPr>
                <w:rFonts w:hint="eastAsia" w:ascii="宋体" w:hAnsi="宋体" w:eastAsia="宋体" w:cs="宋体"/>
                <w:b w:val="0"/>
                <w:i w:val="0"/>
                <w:iCs w:val="0"/>
                <w:snapToGrid w:val="0"/>
                <w:color w:val="000000"/>
                <w:kern w:val="0"/>
                <w:sz w:val="22"/>
                <w:szCs w:val="22"/>
                <w:u w:val="none"/>
                <w:bdr w:val="none" w:color="auto" w:sz="0" w:space="0"/>
                <w:lang w:val="en-US" w:eastAsia="zh-CN" w:bidi="ar"/>
              </w:rPr>
              <w:t>衡量专利从申请到首次公开所经历的时间。原表将其称为“审查时长”，但原表给出的计算方法实际为“申请公布日－申请日”，因此若保持原计算方法，使用“公开时滞”更准确。</w:t>
            </w:r>
          </w:p>
        </w:tc>
      </w:tr>
    </w:tbl>
    <w:p w14:paraId="64470897">
      <w:pPr>
        <w:keepNext w:val="0"/>
        <w:keepLines w:val="0"/>
        <w:pageBreakBefore w:val="0"/>
        <w:widowControl/>
        <w:wordWrap/>
        <w:overflowPunct/>
        <w:topLinePunct w:val="0"/>
        <w:bidi w:val="0"/>
        <w:ind w:firstLine="0" w:firstLineChars="0"/>
        <w:rPr>
          <w:rFonts w:hint="eastAsia" w:eastAsia="宋体"/>
          <w:lang w:val="en-US" w:eastAsia="zh-CN"/>
        </w:rPr>
      </w:pPr>
    </w:p>
    <w:p w14:paraId="26B7ACBB">
      <w:pPr>
        <w:keepNext w:val="0"/>
        <w:keepLines w:val="0"/>
        <w:pageBreakBefore w:val="0"/>
        <w:widowControl/>
        <w:wordWrap/>
        <w:overflowPunct/>
        <w:topLinePunct w:val="0"/>
        <w:bidi w:val="0"/>
        <w:ind w:firstLine="0" w:firstLineChars="0"/>
        <w:rPr>
          <w:rFonts w:hint="default" w:eastAsia="宋体"/>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SimSong">
    <w:altName w:val="冬青黑体简体中文"/>
    <w:panose1 w:val="02020300000000000000"/>
    <w:charset w:val="86"/>
    <w:family w:val="auto"/>
    <w:pitch w:val="default"/>
    <w:sig w:usb0="00000000" w:usb1="00000000" w:usb2="00000016" w:usb3="00000000" w:csb0="0004000D" w:csb1="00000000"/>
  </w:font>
  <w:font w:name="冬青黑体简体中文">
    <w:panose1 w:val="020B0300000000000000"/>
    <w:charset w:val="86"/>
    <w:family w:val="auto"/>
    <w:pitch w:val="default"/>
    <w:sig w:usb0="A00002BF" w:usb1="1ACF7CFA" w:usb2="00000016" w:usb3="00000000" w:csb0="00060007" w:csb1="00000000"/>
  </w:font>
  <w:font w:name="Songti SC">
    <w:panose1 w:val="02010800040101010101"/>
    <w:charset w:val="86"/>
    <w:family w:val="auto"/>
    <w:pitch w:val="default"/>
    <w:sig w:usb0="00000001" w:usb1="080F0000" w:usb2="00000000" w:usb3="00000000" w:csb0="00040000" w:csb1="00000000"/>
  </w:font>
  <w:font w:name="Times New Roman Bold">
    <w:panose1 w:val="02020503050405090304"/>
    <w:charset w:val="00"/>
    <w:family w:val="auto"/>
    <w:pitch w:val="default"/>
    <w:sig w:usb0="E0000AFF" w:usb1="00007843" w:usb2="00000001" w:usb3="00000000" w:csb0="400001BF" w:csb1="DFF70000"/>
  </w:font>
  <w:font w:name="SimHei">
    <w:panose1 w:val="02010609060101010101"/>
    <w:charset w:val="86"/>
    <w:family w:val="auto"/>
    <w:pitch w:val="default"/>
    <w:sig w:usb0="800002BF" w:usb1="38CF7CFA"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汉仪书宋二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Arial">
    <w:panose1 w:val="020B0604020202090204"/>
    <w:charset w:val="00"/>
    <w:family w:val="auto"/>
    <w:pitch w:val="default"/>
    <w:sig w:usb0="E0000AFF" w:usb1="00007843" w:usb2="00000001" w:usb3="00000000" w:csb0="400001BF" w:csb1="DFF70000"/>
  </w:font>
  <w:font w:name="FangSong">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E7B149B"/>
    <w:rsid w:val="1FF9E0FD"/>
    <w:rsid w:val="3BD73AA9"/>
    <w:rsid w:val="75F59552"/>
    <w:rsid w:val="9FF03915"/>
    <w:rsid w:val="BB575BFE"/>
    <w:rsid w:val="BD6F47E7"/>
    <w:rsid w:val="EEF7863E"/>
    <w:rsid w:val="F5BFAEA1"/>
    <w:rsid w:val="F77F3D66"/>
    <w:rsid w:val="FB7BF5CB"/>
    <w:rsid w:val="FE3776DE"/>
    <w:rsid w:val="FE7B149B"/>
    <w:rsid w:val="FFD8A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ind w:firstLine="480" w:firstLineChars="200"/>
      <w:jc w:val="left"/>
      <w:textAlignment w:val="baseline"/>
    </w:pPr>
    <w:rPr>
      <w:rFonts w:ascii="Times New Roman" w:hAnsi="Times New Roman" w:eastAsia="FangSong" w:cs="Arial"/>
      <w:snapToGrid w:val="0"/>
      <w:color w:val="auto"/>
      <w:kern w:val="0"/>
      <w:sz w:val="24"/>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line="360" w:lineRule="auto"/>
      <w:outlineLvl w:val="1"/>
    </w:pPr>
    <w:rPr>
      <w:rFonts w:ascii="Arial" w:hAnsi="Arial" w:eastAsia="SimSong"/>
      <w:b/>
      <w:sz w:val="24"/>
    </w:rPr>
  </w:style>
  <w:style w:type="paragraph" w:styleId="4">
    <w:name w:val="heading 3"/>
    <w:basedOn w:val="1"/>
    <w:next w:val="1"/>
    <w:semiHidden/>
    <w:unhideWhenUsed/>
    <w:qFormat/>
    <w:uiPriority w:val="0"/>
    <w:pPr>
      <w:keepNext/>
      <w:keepLines/>
      <w:spacing w:beforeLines="0" w:beforeAutospacing="0" w:afterLines="0" w:afterAutospacing="0" w:line="240" w:lineRule="auto"/>
      <w:outlineLvl w:val="2"/>
    </w:pPr>
    <w:rPr>
      <w:rFonts w:eastAsia="Songti SC" w:asciiTheme="minorAscii" w:hAnsiTheme="minorAscii"/>
      <w:b/>
      <w:sz w:val="24"/>
    </w:rPr>
  </w:style>
  <w:style w:type="paragraph" w:styleId="5">
    <w:name w:val="heading 4"/>
    <w:next w:val="6"/>
    <w:link w:val="9"/>
    <w:semiHidden/>
    <w:unhideWhenUsed/>
    <w:qFormat/>
    <w:uiPriority w:val="0"/>
    <w:pPr>
      <w:keepNext/>
      <w:keepLines/>
      <w:widowControl/>
      <w:spacing w:line="360" w:lineRule="auto"/>
      <w:ind w:firstLine="0" w:firstLineChars="0"/>
      <w:outlineLvl w:val="3"/>
    </w:pPr>
    <w:rPr>
      <w:rFonts w:ascii="Times New Roman Bold" w:hAnsi="Times New Roman Bold" w:eastAsia="SimHei" w:cstheme="majorBidi"/>
      <w:bCs/>
      <w:sz w:val="24"/>
      <w:szCs w:val="28"/>
    </w:rPr>
  </w:style>
  <w:style w:type="character" w:default="1" w:styleId="8">
    <w:name w:val="Default Paragraph Font"/>
    <w:semiHidden/>
    <w:unhideWhenUsed/>
    <w:qFormat/>
    <w:uiPriority w:val="1"/>
  </w:style>
  <w:style w:type="table" w:default="1" w:styleId="7">
    <w:name w:val="Normal Table"/>
    <w:semiHidden/>
    <w:uiPriority w:val="0"/>
    <w:tblPr>
      <w:tblCellMar>
        <w:top w:w="0" w:type="dxa"/>
        <w:left w:w="108" w:type="dxa"/>
        <w:bottom w:w="0" w:type="dxa"/>
        <w:right w:w="108" w:type="dxa"/>
      </w:tblCellMar>
    </w:tblPr>
  </w:style>
  <w:style w:type="paragraph" w:styleId="6">
    <w:name w:val="Normal Indent"/>
    <w:basedOn w:val="1"/>
    <w:uiPriority w:val="0"/>
    <w:pPr>
      <w:ind w:firstLine="420" w:firstLineChars="200"/>
    </w:pPr>
  </w:style>
  <w:style w:type="character" w:customStyle="1" w:styleId="9">
    <w:name w:val="标题 4 字符"/>
    <w:basedOn w:val="8"/>
    <w:link w:val="5"/>
    <w:semiHidden/>
    <w:qFormat/>
    <w:uiPriority w:val="0"/>
    <w:rPr>
      <w:rFonts w:ascii="Times New Roman Bold" w:hAnsi="Times New Roman Bold" w:eastAsia="SimHei" w:cstheme="majorBidi"/>
      <w:bCs/>
      <w:kern w:val="2"/>
      <w:sz w:val="24"/>
      <w:szCs w:val="28"/>
    </w:rPr>
  </w:style>
  <w:style w:type="paragraph" w:customStyle="1" w:styleId="10">
    <w:name w:val="图表标题"/>
    <w:basedOn w:val="1"/>
    <w:uiPriority w:val="0"/>
    <w:pPr>
      <w:spacing w:before="120" w:beforeAutospacing="1" w:after="120" w:afterAutospacing="1" w:line="240" w:lineRule="auto"/>
      <w:ind w:firstLine="0" w:firstLineChars="0"/>
      <w:jc w:val="both"/>
    </w:pPr>
    <w:rPr>
      <w:rFonts w:ascii="Times New Roman" w:hAnsi="Times New Roman"/>
      <w:kern w:val="0"/>
      <w:sz w:val="20"/>
      <w:lang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21</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2026-08-28T21:08:00Z</dcterms:created>
  <dc:creator>luo</dc:creator>
  <cp:lastModifiedBy>luo</cp:lastModifiedBy>
  <dcterms:modified xsi:type="dcterms:W3CDTF">2026-08-28T21:18:56Z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D501631617E63D704F88916A2440245D_41</vt:lpwstr>
  </property>
</Properties>
</file>