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160"/>
      </w:pPr>
      <w:r>
        <w:rPr>
          <w:rFonts w:ascii="Calibri" w:hAnsi="Calibri"/>
          <w:b/>
          <w:i w:val="0"/>
          <w:color w:val="17365D"/>
          <w:sz w:val="54"/>
        </w:rPr>
        <w:t>Generative AI Feedback and Undergraduate Writing</w:t>
      </w:r>
    </w:p>
    <w:p>
      <w:pPr>
        <w:spacing w:after="360"/>
      </w:pPr>
      <w:r>
        <w:rPr>
          <w:rFonts w:ascii="Calibri" w:hAnsi="Calibri"/>
          <w:b w:val="0"/>
          <w:i w:val="0"/>
          <w:color w:val="5B6573"/>
          <w:sz w:val="28"/>
        </w:rPr>
        <w:t>When does it improve revision, feedback uptake, and genuine learning?</w:t>
      </w:r>
    </w:p>
    <w:p>
      <w:pPr>
        <w:spacing w:after="280"/>
        <w:pBdr>
          <w:bottom w:val="single" w:sz="12" w:space="1" w:color="1F4E79"/>
        </w:pBdr>
      </w:pPr>
    </w:p>
    <w:p>
      <w:pPr>
        <w:spacing w:after="360"/>
      </w:pPr>
      <w:r>
        <w:rPr>
          <w:rFonts w:ascii="Calibri" w:hAnsi="Calibri"/>
          <w:b/>
          <w:i w:val="0"/>
          <w:color w:val="17365D"/>
          <w:sz w:val="20"/>
        </w:rPr>
        <w:t xml:space="preserve">Review type: </w:t>
      </w:r>
      <w:r>
        <w:rPr>
          <w:rFonts w:ascii="Calibri" w:hAnsi="Calibri"/>
          <w:b w:val="0"/>
          <w:i w:val="0"/>
          <w:color w:val="5B6573"/>
          <w:sz w:val="20"/>
        </w:rPr>
        <w:t>Bounded narrative evidence review</w:t>
        <w:br/>
      </w:r>
      <w:r>
        <w:rPr>
          <w:rFonts w:ascii="Calibri" w:hAnsi="Calibri"/>
          <w:b/>
          <w:i w:val="0"/>
          <w:color w:val="17365D"/>
          <w:sz w:val="20"/>
        </w:rPr>
        <w:t xml:space="preserve">Evidence window: </w:t>
      </w:r>
      <w:r>
        <w:rPr>
          <w:rFonts w:ascii="Calibri" w:hAnsi="Calibri"/>
          <w:b w:val="0"/>
          <w:i w:val="0"/>
          <w:color w:val="5B6573"/>
          <w:sz w:val="20"/>
        </w:rPr>
        <w:t>January 2022-August 27, 2026</w:t>
        <w:br/>
      </w:r>
      <w:r>
        <w:rPr>
          <w:rFonts w:ascii="Calibri" w:hAnsi="Calibri"/>
          <w:b/>
          <w:i w:val="0"/>
          <w:color w:val="17365D"/>
          <w:sz w:val="20"/>
        </w:rPr>
        <w:t xml:space="preserve">Access boundary: </w:t>
      </w:r>
      <w:r>
        <w:rPr>
          <w:rFonts w:ascii="Calibri" w:hAnsi="Calibri"/>
          <w:b w:val="0"/>
          <w:i w:val="0"/>
          <w:color w:val="5B6573"/>
          <w:sz w:val="20"/>
        </w:rPr>
        <w:t>Publicly accessible sources opened and examined</w:t>
        <w:br/>
      </w:r>
      <w:r>
        <w:rPr>
          <w:rFonts w:ascii="Calibri" w:hAnsi="Calibri"/>
          <w:b/>
          <w:i w:val="0"/>
          <w:color w:val="17365D"/>
          <w:sz w:val="20"/>
        </w:rPr>
        <w:t xml:space="preserve">Prepared: </w:t>
      </w:r>
      <w:r>
        <w:rPr>
          <w:rFonts w:ascii="Calibri" w:hAnsi="Calibri"/>
          <w:b w:val="0"/>
          <w:i w:val="0"/>
          <w:color w:val="5B6573"/>
          <w:sz w:val="20"/>
        </w:rPr>
        <w:t>August 27, 2026</w:t>
        <w:b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1F4E79"/>
                <w:sz w:val="22"/>
              </w:rPr>
              <w:t xml:space="preserve">Bottom line. </w:t>
            </w:r>
            <w:r>
              <w:rPr>
                <w:rFonts w:ascii="Calibri" w:hAnsi="Calibri"/>
                <w:b w:val="0"/>
                <w:i w:val="0"/>
                <w:color w:val="111111"/>
                <w:sz w:val="22"/>
              </w:rPr>
              <w:t>The evidence moderately supports generative AI as a structured supplement for improving the paper currently being revised. It does not yet establish durable improvement in students' unaided writing. Human oversight, rubric grounding, and required evaluation of feedback are plausible enabling conditions, but direct tests of those conditions remain limited and sometimes contradictory.</w:t>
            </w:r>
          </w:p>
        </w:tc>
      </w:tr>
    </w:tbl>
    <w:p>
      <w:pPr>
        <w:spacing w:after="40"/>
      </w:pPr>
    </w:p>
    <w:p>
      <w:pPr>
        <w:pStyle w:val="Heading1"/>
        <w:keepNext/>
        <w:keepLines/>
      </w:pPr>
      <w:r>
        <w:t>1. Refined Research Question</w:t>
      </w:r>
    </w:p>
    <w:p>
      <w:pPr>
        <w:spacing w:after="120" w:line="281" w:lineRule="auto"/>
      </w:pPr>
      <w:r>
        <w:rPr>
          <w:rFonts w:ascii="Calibri" w:hAnsi="Calibri"/>
          <w:b w:val="0"/>
          <w:i w:val="0"/>
          <w:color w:val="111111"/>
          <w:sz w:val="22"/>
        </w:rPr>
        <w:t>Under what instructional conditions does rubric-aligned generative AI feedback, used as a supplement to instructor or peer guidance and paired with required student evaluation and justified uptake, improve (a) the quality of undergraduate students' revisions and (b) transfer to a later, independently written and unaided task, compared with instructor-only, AI-only, peer-only, or no-feedback conditions?</w:t>
      </w:r>
    </w:p>
    <w:p>
      <w:pPr>
        <w:pStyle w:val="Heading2"/>
        <w:keepNext/>
        <w:keepLines/>
      </w:pPr>
      <w:r>
        <w:t>Necessary Subquestions</w:t>
      </w:r>
    </w:p>
    <w:p>
      <w:pPr>
        <w:pStyle w:val="ListBullet"/>
        <w:spacing w:after="80" w:line="281" w:lineRule="auto"/>
      </w:pPr>
      <w:r>
        <w:rPr>
          <w:rFonts w:ascii="Calibri" w:hAnsi="Calibri"/>
          <w:b w:val="0"/>
          <w:i w:val="0"/>
          <w:color w:val="111111"/>
          <w:sz w:val="22"/>
        </w:rPr>
        <w:t>Does the intervention change higher-order features such as argument, evidence, organization, and disciplinary reasoning, or mainly language accuracy and mechanics?</w:t>
      </w:r>
    </w:p>
    <w:p>
      <w:pPr>
        <w:pStyle w:val="ListBullet"/>
        <w:spacing w:after="80" w:line="281" w:lineRule="auto"/>
      </w:pPr>
      <w:r>
        <w:rPr>
          <w:rFonts w:ascii="Calibri" w:hAnsi="Calibri"/>
          <w:b w:val="0"/>
          <w:i w:val="0"/>
          <w:color w:val="111111"/>
          <w:sz w:val="22"/>
        </w:rPr>
        <w:t>Do students accept, reject, modify, or verify AI suggestions, and are successful revisions traceable to those decisions?</w:t>
      </w:r>
    </w:p>
    <w:p>
      <w:pPr>
        <w:pStyle w:val="ListBullet"/>
        <w:spacing w:after="80" w:line="281" w:lineRule="auto"/>
      </w:pPr>
      <w:r>
        <w:rPr>
          <w:rFonts w:ascii="Calibri" w:hAnsi="Calibri"/>
          <w:b w:val="0"/>
          <w:i w:val="0"/>
          <w:color w:val="111111"/>
          <w:sz w:val="22"/>
        </w:rPr>
        <w:t>Does instructor involvement improve accuracy, alignment, trust, or uptake, and does it add value beyond simply increasing feedback volume?</w:t>
      </w:r>
    </w:p>
    <w:p>
      <w:pPr>
        <w:pStyle w:val="ListBullet"/>
        <w:spacing w:after="80" w:line="281" w:lineRule="auto"/>
      </w:pPr>
      <w:r>
        <w:rPr>
          <w:rFonts w:ascii="Calibri" w:hAnsi="Calibri"/>
          <w:b w:val="0"/>
          <w:i w:val="0"/>
          <w:color w:val="111111"/>
          <w:sz w:val="22"/>
        </w:rPr>
        <w:t>Do gains persist on a delayed, novel, unaided writing task rather than only on the draft that received feedback?</w:t>
      </w:r>
    </w:p>
    <w:p>
      <w:pPr>
        <w:pStyle w:val="Heading2"/>
        <w:keepNext/>
        <w:keepLines/>
      </w:pPr>
      <w:r>
        <w:t>Scope Fence</w:t>
      </w:r>
    </w:p>
    <w:p>
      <w:pPr>
        <w:spacing w:after="120" w:line="281" w:lineRule="auto"/>
      </w:pPr>
      <w:r>
        <w:rPr>
          <w:rFonts w:ascii="Calibri" w:hAnsi="Calibri"/>
          <w:b/>
          <w:i w:val="0"/>
          <w:color w:val="111111"/>
          <w:sz w:val="22"/>
        </w:rPr>
        <w:t xml:space="preserve">Include: </w:t>
      </w:r>
      <w:r>
        <w:rPr>
          <w:rFonts w:ascii="Calibri" w:hAnsi="Calibri"/>
          <w:b w:val="0"/>
          <w:i w:val="0"/>
          <w:color w:val="111111"/>
          <w:sz w:val="22"/>
        </w:rPr>
      </w:r>
    </w:p>
    <w:p>
      <w:pPr>
        <w:pStyle w:val="ListBullet"/>
        <w:spacing w:after="80" w:line="281" w:lineRule="auto"/>
      </w:pPr>
      <w:r>
        <w:rPr>
          <w:rFonts w:ascii="Calibri" w:hAnsi="Calibri"/>
          <w:b w:val="0"/>
          <w:i w:val="0"/>
          <w:color w:val="111111"/>
          <w:sz w:val="22"/>
        </w:rPr>
        <w:t>Undergraduate academic, disciplinary, EAP/ESL/EFL, and composition writing in higher education.</w:t>
      </w:r>
    </w:p>
    <w:p>
      <w:pPr>
        <w:pStyle w:val="ListBullet"/>
        <w:spacing w:after="80" w:line="281" w:lineRule="auto"/>
      </w:pPr>
      <w:r>
        <w:rPr>
          <w:rFonts w:ascii="Calibri" w:hAnsi="Calibri"/>
          <w:b w:val="0"/>
          <w:i w:val="0"/>
          <w:color w:val="111111"/>
          <w:sz w:val="22"/>
        </w:rPr>
        <w:t>Generative AI that responds to a student-authored draft with formative feedback; AI may be student-facing or instructor-mediated.</w:t>
      </w:r>
    </w:p>
    <w:p>
      <w:pPr>
        <w:pStyle w:val="ListBullet"/>
        <w:spacing w:after="80" w:line="281" w:lineRule="auto"/>
      </w:pPr>
      <w:r>
        <w:rPr>
          <w:rFonts w:ascii="Calibri" w:hAnsi="Calibri"/>
          <w:b w:val="0"/>
          <w:i w:val="0"/>
          <w:color w:val="111111"/>
          <w:sz w:val="22"/>
        </w:rPr>
        <w:t>Peer-reviewed empirical studies and authoritative conference/research reports published from 2022 through August 27, 2026.</w:t>
      </w:r>
    </w:p>
    <w:p>
      <w:pPr>
        <w:pStyle w:val="ListBullet"/>
        <w:spacing w:after="80" w:line="281" w:lineRule="auto"/>
      </w:pPr>
      <w:r>
        <w:rPr>
          <w:rFonts w:ascii="Calibri" w:hAnsi="Calibri"/>
          <w:b w:val="0"/>
          <w:i w:val="0"/>
          <w:color w:val="111111"/>
          <w:sz w:val="22"/>
        </w:rPr>
        <w:t>Outcomes separated into revised-product quality, feedback processing/uptake, and later unaided learning or transfer.</w:t>
      </w:r>
    </w:p>
    <w:p>
      <w:pPr>
        <w:spacing w:after="120" w:line="281" w:lineRule="auto"/>
      </w:pPr>
      <w:r>
        <w:rPr>
          <w:rFonts w:ascii="Calibri" w:hAnsi="Calibri"/>
          <w:b/>
          <w:i w:val="0"/>
          <w:color w:val="111111"/>
          <w:sz w:val="22"/>
        </w:rPr>
        <w:t xml:space="preserve">Exclude or defer: </w:t>
      </w:r>
      <w:r>
        <w:rPr>
          <w:rFonts w:ascii="Calibri" w:hAnsi="Calibri"/>
          <w:b w:val="0"/>
          <w:i w:val="0"/>
          <w:color w:val="111111"/>
          <w:sz w:val="22"/>
        </w:rPr>
      </w:r>
    </w:p>
    <w:p>
      <w:pPr>
        <w:pStyle w:val="ListBullet"/>
        <w:spacing w:after="80" w:line="281" w:lineRule="auto"/>
      </w:pPr>
      <w:r>
        <w:rPr>
          <w:rFonts w:ascii="Calibri" w:hAnsi="Calibri"/>
          <w:b w:val="0"/>
          <w:i w:val="0"/>
          <w:color w:val="111111"/>
          <w:sz w:val="22"/>
        </w:rPr>
        <w:t>AI text generation without feedback on a student's draft; automated scoring without a revision or learning outcome; pre-generative-AI automated writing evaluation except as background.</w:t>
      </w:r>
    </w:p>
    <w:p>
      <w:pPr>
        <w:pStyle w:val="ListBullet"/>
        <w:spacing w:after="80" w:line="281" w:lineRule="auto"/>
      </w:pPr>
      <w:r>
        <w:rPr>
          <w:rFonts w:ascii="Calibri" w:hAnsi="Calibri"/>
          <w:b w:val="0"/>
          <w:i w:val="0"/>
          <w:color w:val="111111"/>
          <w:sz w:val="22"/>
        </w:rPr>
        <w:t>Graduate, secondary, and non-writing studies from the core inference, though a few are noted as adjacent evidence when they clarify transfer or uptake.</w:t>
      </w:r>
    </w:p>
    <w:p>
      <w:pPr>
        <w:pStyle w:val="ListBullet"/>
        <w:spacing w:after="80" w:line="281" w:lineRule="auto"/>
      </w:pPr>
      <w:r>
        <w:rPr>
          <w:rFonts w:ascii="Calibri" w:hAnsi="Calibri"/>
          <w:b w:val="0"/>
          <w:i w:val="0"/>
          <w:color w:val="111111"/>
          <w:sz w:val="22"/>
        </w:rPr>
        <w:t>Abstract-only records as evidence for substantive claims. Such records are listed as discovered/retrieved but not used to support the central conclusion.</w:t>
      </w:r>
    </w:p>
    <w:p>
      <w:pPr>
        <w:pStyle w:val="Heading1"/>
        <w:keepNext/>
        <w:keepLines/>
      </w:pPr>
      <w:r>
        <w:t>2. Search and Verification Method</w:t>
      </w:r>
    </w:p>
    <w:p>
      <w:pPr>
        <w:spacing w:after="120" w:line="281" w:lineRule="auto"/>
      </w:pPr>
      <w:r>
        <w:rPr>
          <w:rFonts w:ascii="Calibri" w:hAnsi="Calibri"/>
          <w:b w:val="0"/>
          <w:i w:val="0"/>
          <w:color w:val="111111"/>
          <w:sz w:val="22"/>
        </w:rPr>
        <w:t>This is a transparent narrative review, not a systematic review. Searches were run on August 27, 2026 using open-web search, ERIC, publisher platforms (Springer Nature, Elsevier/ScienceDirect, SAGE, Taylor &amp; Francis, Frontiers, Cambridge), DOAJ, and arXiv/ACM records. Backward and forward citation leads from recent reviews and primary studies were used to locate additional original research. No result counts were supplied by the web-search interface, so none are invented.</w:t>
      </w:r>
    </w:p>
    <w:p>
      <w:pPr>
        <w:pStyle w:val="Heading2"/>
        <w:keepNext/>
        <w:keepLines/>
      </w:pPr>
      <w:r>
        <w:t>Search Concepts</w:t>
      </w:r>
    </w:p>
    <w:p>
      <w:pPr>
        <w:spacing w:after="120" w:line="281" w:lineRule="auto"/>
      </w:pPr>
      <w:r>
        <w:rPr>
          <w:rFonts w:ascii="Calibri" w:hAnsi="Calibri"/>
          <w:b w:val="0"/>
          <w:i w:val="0"/>
          <w:color w:val="111111"/>
          <w:sz w:val="22"/>
        </w:rPr>
        <w:t>Representative combinations included: (ChatGPT OR GPT-4 OR large language model OR generative AI) AND (feedback OR formative feedback OR automated writing evaluation) AND (undergraduate OR university OR higher education) AND (writing OR essay OR revision OR academic writing) AND (uptake OR engagement OR learning OR transfer OR delayed post-test). Exact-title and DOI searches followed for promising studies.</w:t>
      </w:r>
    </w:p>
    <w:p>
      <w:pPr>
        <w:pStyle w:val="Heading2"/>
        <w:keepNext/>
        <w:keepLines/>
      </w:pPr>
      <w:r>
        <w:t>Eligibility and Stopping Rule</w:t>
      </w:r>
    </w:p>
    <w:p>
      <w:pPr>
        <w:spacing w:after="120" w:line="281" w:lineRule="auto"/>
      </w:pPr>
      <w:r>
        <w:rPr>
          <w:rFonts w:ascii="Calibri" w:hAnsi="Calibri"/>
          <w:b w:val="0"/>
          <w:i w:val="0"/>
          <w:color w:val="111111"/>
          <w:sz w:val="22"/>
        </w:rPr>
        <w:t>Sources were included when full text or sufficiently complete publisher HTML could be opened and the methods, comparison condition, and outcome could be inspected. Searching stopped after the main design families were represented (AI vs no feedback; AI vs human; hybrid AI-human; collaborative/peer-mediated; process observation; and transfer/delayed outcomes), citation chaining produced mostly duplicates or out-of-scope populations, and major 2026 reviews did not reveal a missing design category. The search is current through August 27, 2026 but cannot claim exhaustive database coverage.</w:t>
      </w:r>
    </w:p>
    <w:p>
      <w:pPr>
        <w:pStyle w:val="Heading2"/>
        <w:keepNext/>
        <w:keepLines/>
      </w:pPr>
      <w:r>
        <w:t>Source-State Rules</w:t>
      </w:r>
    </w:p>
    <w:p>
      <w:pPr>
        <w:spacing w:after="120" w:line="281" w:lineRule="auto"/>
      </w:pPr>
      <w:r>
        <w:rPr>
          <w:rFonts w:ascii="Calibri" w:hAnsi="Calibri"/>
          <w:b w:val="0"/>
          <w:i w:val="0"/>
          <w:color w:val="111111"/>
          <w:sz w:val="22"/>
        </w:rPr>
        <w:t>Discovered = metadata, snippet, or abstract only. Retrieved = a source was opened. Reviewed = relevant methods, results, and limitations were examined. Verified = bibliographic identity and the attributed claim were checked in the opened source; publisher correction/version information was also checked when visible. Unable to verify = access or reporting was insufficient. The July 2026 correction to Song and Song (2023) was reviewed and concerns wording about a statistically significant content result; it does not reverse the reported finding.</w:t>
      </w:r>
    </w:p>
    <w:p>
      <w:pPr>
        <w:pStyle w:val="Heading1"/>
        <w:keepNext/>
        <w:keepLines/>
      </w:pPr>
      <w:r>
        <w:t>3. Concise Thematic Synthesis</w:t>
      </w:r>
    </w:p>
    <w:p>
      <w:pPr>
        <w:pStyle w:val="Heading2"/>
        <w:keepNext/>
        <w:keepLines/>
      </w:pPr>
      <w:r>
        <w:t>Immediate Revision Usually Improves, but Comparators Matter</w:t>
      </w:r>
    </w:p>
    <w:p>
      <w:pPr>
        <w:spacing w:after="120" w:line="281" w:lineRule="auto"/>
      </w:pPr>
      <w:r>
        <w:rPr>
          <w:rFonts w:ascii="Calibri" w:hAnsi="Calibri"/>
          <w:b w:val="0"/>
          <w:i w:val="0"/>
          <w:color w:val="111111"/>
          <w:sz w:val="22"/>
        </w:rPr>
        <w:t>Against no feedback or generic guidance, individualized GPT feedback generally improves the text under revision. Chan, Lo, and Wong (2024) found a modest advantage for GPT-3.5 feedback over generalized teacher guidance in a single, tightly timed revision by 918 first-year Hong Kong students. Glüsing et al. (2026) found a larger effect (standardized coefficient/effect estimate = 0.72) on revision of a research abstract among 144 German university students, with increased revision time and edit distance partially mediating the effect. These designs show that actionable, individualized comments can mobilize revision, but neither establishes transfer beyond the treated text.</w:t>
      </w:r>
    </w:p>
    <w:p>
      <w:pPr>
        <w:spacing w:after="120" w:line="281" w:lineRule="auto"/>
      </w:pPr>
      <w:r>
        <w:rPr>
          <w:rFonts w:ascii="Calibri" w:hAnsi="Calibri"/>
          <w:b w:val="0"/>
          <w:i w:val="0"/>
          <w:color w:val="111111"/>
          <w:sz w:val="22"/>
        </w:rPr>
        <w:t>Comparisons with meaningful human feedback are mixed. Escalante, Pack, and Barrett (2023) found no significant difference in six-week pre/post writing growth between GPT-4 and human-tutor feedback. In a much larger Hong Kong EAP experiment, instructor feedback produced the largest same-paper gains, hybrid feedback ranked second, and GPT-3.5-only feedback ranked last (Lo et al., 2025). Conversely, a 2026 within-student study of 35 Chinese EFL undergraduates reported higher revised-essay scores with ChatGPT than teacher feedback, but only the abstract and partial publisher text were accessible; it is therefore not used as a verified pillar here (Han &amp; Wang, 2026).</w:t>
      </w:r>
    </w:p>
    <w:p>
      <w:pPr>
        <w:pStyle w:val="Heading2"/>
        <w:keepNext/>
        <w:keepLines/>
      </w:pPr>
      <w:r>
        <w:t>Instructor Involvement Helps Most When It Changes the Workflow</w:t>
      </w:r>
    </w:p>
    <w:p>
      <w:pPr>
        <w:spacing w:after="120" w:line="281" w:lineRule="auto"/>
      </w:pPr>
      <w:r>
        <w:rPr>
          <w:rFonts w:ascii="Calibri" w:hAnsi="Calibri"/>
          <w:b w:val="0"/>
          <w:i w:val="0"/>
          <w:color w:val="111111"/>
          <w:sz w:val="22"/>
        </w:rPr>
        <w:t>The strongest direct evidence for a supplement model comes from Lu et al. (2026), a randomized crossover trial in an undergraduate economics course. GPT-4o generated rubric-aligned suggestions for 11 teaching assistants, who had to adopt, edit, or reject every student-facing comment. Across 354 students and 1,366 graded essays, AI-mediated feedback improved revision quality by about five percentage points (d = 0.50) relative to human-only feedback. Teaching assistants corrected 11.3% of AI rubric judgments, showing that oversight was active rather than ceremonial. This design supports AI as an instructor-controlled drafting and coverage aid, not autonomous replacement.</w:t>
      </w:r>
    </w:p>
    <w:p>
      <w:pPr>
        <w:spacing w:after="120" w:line="281" w:lineRule="auto"/>
      </w:pPr>
      <w:r>
        <w:rPr>
          <w:rFonts w:ascii="Calibri" w:hAnsi="Calibri"/>
          <w:b w:val="0"/>
          <w:i w:val="0"/>
          <w:color w:val="111111"/>
          <w:sz w:val="22"/>
        </w:rPr>
        <w:t>Other hybrid studies are supportive but less causal. Han and Li (2024) examined 95 undergraduates across two assignments after instructors converted ChatGPT output into indirect error codes and revised rhetorical comments. Successful local revisions remained near 64%, while full uptake of rhetorical feedback rose from 9.47% on Task 1 to 56.84% on Task 2. Li and Collins (2026) observed significant draft improvement in a U.S. upper-division writing course where all 29 students used instructor, peer, and AI feedback plus a reflection task; the design cannot isolate AI's contribution. Both studies show workable pedagogies, not proof that AI caused the gains.</w:t>
      </w:r>
    </w:p>
    <w:p>
      <w:pPr>
        <w:spacing w:after="120" w:line="281" w:lineRule="auto"/>
      </w:pPr>
      <w:r>
        <w:rPr>
          <w:rFonts w:ascii="Calibri" w:hAnsi="Calibri"/>
          <w:b w:val="0"/>
          <w:i w:val="0"/>
          <w:color w:val="111111"/>
          <w:sz w:val="22"/>
        </w:rPr>
        <w:t>Instructor involvement is not automatically beneficial. In Lo et al. (2025), hybrid feedback was weaker than instructor-only feedback, and greater teacher rewriting of AI comments was only weakly associated with larger gains. The mechanism may be coherence and contextual knowledge, not the label 'hybrid.' A supplement model therefore needs explicit division of labor: AI for timely rubric coverage and surface/mid-level detection; instructors for disciplinary judgment, priorities, voice, evidence, and conflicting feedback.</w:t>
      </w:r>
    </w:p>
    <w:p>
      <w:pPr>
        <w:pStyle w:val="Heading2"/>
        <w:keepNext/>
        <w:keepLines/>
      </w:pPr>
      <w:r>
        <w:t>Thoughtful Revision Is Possible, Not Automatic</w:t>
      </w:r>
    </w:p>
    <w:p>
      <w:pPr>
        <w:spacing w:after="120" w:line="281" w:lineRule="auto"/>
      </w:pPr>
      <w:r>
        <w:rPr>
          <w:rFonts w:ascii="Calibri" w:hAnsi="Calibri"/>
          <w:b w:val="0"/>
          <w:i w:val="0"/>
          <w:color w:val="111111"/>
          <w:sz w:val="22"/>
        </w:rPr>
        <w:t>Behavioral uptake is common, especially for local corrections, but uptake is not equivalent to learning. Han and Li (2024) coded successful, unsuccessful, and absent revisions, while Lu et al. (2026) connected instructor adoption of constructive AI suggestions to revision quality. Hawkins, Taylor-Griffiths, and Lodge (2025) provide the clearest process evidence: in screen-recorded sessions, 31 of 32 psychology students evaluated AI output at least once by requesting elaboration, summarization, or another attempt. Yet fewer than one-third checked AI content against an external source. Students were evaluating usefulness, but verification and epistemic scrutiny were uneven.</w:t>
      </w:r>
    </w:p>
    <w:p>
      <w:pPr>
        <w:spacing w:after="120" w:line="281" w:lineRule="auto"/>
      </w:pPr>
      <w:r>
        <w:rPr>
          <w:rFonts w:ascii="Calibri" w:hAnsi="Calibri"/>
          <w:b w:val="0"/>
          <w:i w:val="0"/>
          <w:color w:val="111111"/>
          <w:sz w:val="22"/>
        </w:rPr>
        <w:t>Collaborative designs may deepen processing. Wiboolyasarin et al. (2024) combined collaborative outlining, individual ChatGPT feedback, and collaborative revision over 10 weeks; the 18-student experimental group outperformed a 21-student no-AI comparison on an individual post-test. Mahapatra (2024) trained students to use ChatGPT for self- and peer-assessment, and the experimental group retained an advantage on a delayed test two months later. These are encouraging, but both bundle AI with training, peer interaction, task repetition, and instructor-designed prompts, so the active ingredient cannot be isolated.</w:t>
      </w:r>
    </w:p>
    <w:p>
      <w:pPr>
        <w:pStyle w:val="Heading2"/>
        <w:keepNext/>
        <w:keepLines/>
      </w:pPr>
      <w:r>
        <w:t>Genuine Learning Is the Weakest Link</w:t>
      </w:r>
    </w:p>
    <w:p>
      <w:pPr>
        <w:spacing w:after="120" w:line="281" w:lineRule="auto"/>
      </w:pPr>
      <w:r>
        <w:rPr>
          <w:rFonts w:ascii="Calibri" w:hAnsi="Calibri"/>
          <w:b w:val="0"/>
          <w:i w:val="0"/>
          <w:color w:val="111111"/>
          <w:sz w:val="22"/>
        </w:rPr>
        <w:t>Most studies score the same paper before and after feedback. This measures successful revision, not necessarily a change in the writer. The most informative counterexample is Lu et al. (2026): AI-mediated feedback improved final drafts, but the two conditions did not differ on a separately graded post-test (p = .31). Mahapatra's delayed post-test and Wiboolyasarin et al.'s new individual post-test are closer to transfer, but their quasi-experimental, bundled designs and small or highly selected samples lower confidence. Song and Song (2023) used a 12-week randomized intervention and IELTS writing assessments, but the same assessment tasks were used pre and post and the AI condition included a broader package of interactive instruction, feedback, portfolio tracking, and ethical-use coaching.</w:t>
      </w:r>
    </w:p>
    <w:p>
      <w:pPr>
        <w:spacing w:after="120" w:line="281" w:lineRule="auto"/>
      </w:pPr>
      <w:r>
        <w:rPr>
          <w:rFonts w:ascii="Calibri" w:hAnsi="Calibri"/>
          <w:b w:val="0"/>
          <w:i w:val="0"/>
          <w:color w:val="111111"/>
          <w:sz w:val="22"/>
        </w:rPr>
        <w:t>Mujeeb et al. (2026) provide a large South Asian comparison using pilot-matched pre/post prompts: 400 computing undergraduates receiving Grammarly plus GPT-4 feedback improved more than a standardized teacher-feedback group. This is relevant to new-task performance, but allocation was quasi-experimental, the AI package combined two tools, the feedback phase lasted only Weeks 2-4, and no delayed unaided measure was used. It supports short-term performance, not retention or independent competence.</w:t>
      </w:r>
    </w:p>
    <w:p>
      <w:pPr>
        <w:pStyle w:val="Heading2"/>
        <w:keepNext/>
        <w:keepLines/>
      </w:pPr>
      <w:r>
        <w:t>Effects Depend on Task, Prompt, and Population</w:t>
      </w:r>
    </w:p>
    <w:p>
      <w:pPr>
        <w:spacing w:after="120" w:line="281" w:lineRule="auto"/>
      </w:pPr>
      <w:r>
        <w:rPr>
          <w:rFonts w:ascii="Calibri" w:hAnsi="Calibri"/>
          <w:b w:val="0"/>
          <w:i w:val="0"/>
          <w:color w:val="111111"/>
          <w:sz w:val="22"/>
        </w:rPr>
        <w:t>Benefits are strongest when criteria are explicit and machine-checkable: grammar, mechanics, cohesion, required abstract components, or rubric-defined disciplinary concepts. Higher-order content, authorial intent, voice, evidence quality, and argument priorities remain less consistently addressed. The literature is also concentrated in EFL/EAP settings in China, Hong Kong, India, Thailand, and Pakistan. That concentration is valuable for multilingual writing but limits generalization to U.S. first-year composition, writing across the curriculum, and students with different levels of disciplinary knowledge or accessibility needs (Li, Han, &amp; Taha, 2026; Craven &amp; Fredrick, 2026).</w:t>
      </w:r>
    </w:p>
    <w:p>
      <w:pPr>
        <w:pStyle w:val="Heading1"/>
        <w:keepNext/>
        <w:keepLines/>
      </w:pPr>
      <w:r>
        <w:t>4. Assessment of the Proposed Argument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1F4E79"/>
                <w:sz w:val="22"/>
              </w:rPr>
              <w:t xml:space="preserve">Most defensible claim. </w:t>
            </w:r>
            <w:r>
              <w:rPr>
                <w:rFonts w:ascii="Calibri" w:hAnsi="Calibri"/>
                <w:b w:val="0"/>
                <w:i w:val="0"/>
                <w:color w:val="111111"/>
                <w:sz w:val="22"/>
              </w:rPr>
              <w:t>Generative AI feedback can improve undergraduate students' immediate revision quality when feedback is specific, rubric-grounded, and embedded in a process that preserves instructor or peer judgment and requires students to interpret and act on comments. Current evidence does not establish that this arrangement consistently outperforms strong instructor feedback or produces durable, unaided writing development.</w:t>
            </w:r>
          </w:p>
        </w:tc>
      </w:tr>
    </w:tbl>
    <w:p>
      <w:pPr>
        <w:spacing w:after="40"/>
      </w:pPr>
    </w:p>
    <w:p>
      <w:pPr>
        <w:pStyle w:val="Heading2"/>
        <w:keepNext/>
        <w:keepLines/>
      </w:pPr>
      <w:r>
        <w:t>Strongest Supporting Evidence</w:t>
      </w:r>
    </w:p>
    <w:p>
      <w:pPr>
        <w:pStyle w:val="ListBullet"/>
        <w:spacing w:after="80" w:line="281" w:lineRule="auto"/>
      </w:pPr>
      <w:r>
        <w:rPr>
          <w:rFonts w:ascii="Calibri" w:hAnsi="Calibri"/>
          <w:b w:val="0"/>
          <w:i w:val="0"/>
          <w:color w:val="111111"/>
          <w:sz w:val="22"/>
        </w:rPr>
        <w:t>Human-in-the-loop causal evidence: Lu et al. (2026) randomized students across two assignments and found d = 0.50 better revisions when TAs controlled AI suggestions; active correction of AI judgments documents genuine oversight.</w:t>
      </w:r>
    </w:p>
    <w:p>
      <w:pPr>
        <w:pStyle w:val="ListBullet"/>
        <w:spacing w:after="80" w:line="281" w:lineRule="auto"/>
      </w:pPr>
      <w:r>
        <w:rPr>
          <w:rFonts w:ascii="Calibri" w:hAnsi="Calibri"/>
          <w:b w:val="0"/>
          <w:i w:val="0"/>
          <w:color w:val="111111"/>
          <w:sz w:val="22"/>
        </w:rPr>
        <w:t>Engagement mechanism: Glüsing et al. (2026) found that individualized GPT-4 feedback increased revision time and edit distance, which partially mediated revision quality.</w:t>
      </w:r>
    </w:p>
    <w:p>
      <w:pPr>
        <w:pStyle w:val="ListBullet"/>
        <w:spacing w:after="80" w:line="281" w:lineRule="auto"/>
      </w:pPr>
      <w:r>
        <w:rPr>
          <w:rFonts w:ascii="Calibri" w:hAnsi="Calibri"/>
          <w:b w:val="0"/>
          <w:i w:val="0"/>
          <w:color w:val="111111"/>
          <w:sz w:val="22"/>
        </w:rPr>
        <w:t>Guided uptake over repeated tasks: Han and Li (2024) documented successful correction and a marked increase in full rhetorical revisions under instructor-adapted ChatGPT feedback.</w:t>
      </w:r>
    </w:p>
    <w:p>
      <w:pPr>
        <w:pStyle w:val="ListBullet"/>
        <w:spacing w:after="80" w:line="281" w:lineRule="auto"/>
      </w:pPr>
      <w:r>
        <w:rPr>
          <w:rFonts w:ascii="Calibri" w:hAnsi="Calibri"/>
          <w:b w:val="0"/>
          <w:i w:val="0"/>
          <w:color w:val="111111"/>
          <w:sz w:val="22"/>
        </w:rPr>
        <w:t>Transfer-adjacent evidence: Mahapatra (2024), Wiboolyasarin et al. (2024), and Mujeeb et al. (2026) measured later or new writing tasks and reported advantages, albeit with important design confounds.</w:t>
      </w:r>
    </w:p>
    <w:p>
      <w:pPr>
        <w:pStyle w:val="Heading2"/>
        <w:keepNext/>
        <w:keepLines/>
      </w:pPr>
      <w:r>
        <w:t>Important Contrary Findings</w:t>
      </w:r>
    </w:p>
    <w:p>
      <w:pPr>
        <w:pStyle w:val="ListBullet"/>
        <w:spacing w:after="80" w:line="281" w:lineRule="auto"/>
      </w:pPr>
      <w:r>
        <w:rPr>
          <w:rFonts w:ascii="Calibri" w:hAnsi="Calibri"/>
          <w:b w:val="0"/>
          <w:i w:val="0"/>
          <w:color w:val="111111"/>
          <w:sz w:val="22"/>
        </w:rPr>
        <w:t>Instructor feedback can outperform both AI-only and hybrid feedback: Lo et al. (2025) found the largest revision gains in the human-only group among 1,267 undergraduates.</w:t>
      </w:r>
    </w:p>
    <w:p>
      <w:pPr>
        <w:pStyle w:val="ListBullet"/>
        <w:spacing w:after="80" w:line="281" w:lineRule="auto"/>
      </w:pPr>
      <w:r>
        <w:rPr>
          <w:rFonts w:ascii="Calibri" w:hAnsi="Calibri"/>
          <w:b w:val="0"/>
          <w:i w:val="0"/>
          <w:color w:val="111111"/>
          <w:sz w:val="22"/>
        </w:rPr>
        <w:t>AI and human tutoring may be equivalent rather than synergistic: Escalante et al. (2023) found no significant difference in pre/post writing progress.</w:t>
      </w:r>
    </w:p>
    <w:p>
      <w:pPr>
        <w:pStyle w:val="ListBullet"/>
        <w:spacing w:after="80" w:line="281" w:lineRule="auto"/>
      </w:pPr>
      <w:r>
        <w:rPr>
          <w:rFonts w:ascii="Calibri" w:hAnsi="Calibri"/>
          <w:b w:val="0"/>
          <w:i w:val="0"/>
          <w:color w:val="111111"/>
          <w:sz w:val="22"/>
        </w:rPr>
        <w:t>Better papers may not mean more learning: Lu et al. (2026) found no condition difference on the post-test despite better revisions under AI-mediated feedback.</w:t>
      </w:r>
    </w:p>
    <w:p>
      <w:pPr>
        <w:pStyle w:val="ListBullet"/>
        <w:spacing w:after="80" w:line="281" w:lineRule="auto"/>
      </w:pPr>
      <w:r>
        <w:rPr>
          <w:rFonts w:ascii="Calibri" w:hAnsi="Calibri"/>
          <w:b w:val="0"/>
          <w:i w:val="0"/>
          <w:color w:val="111111"/>
          <w:sz w:val="22"/>
        </w:rPr>
        <w:t>Students often prefer the trust, clarity, social presence, and course alignment of human feedback even when AI feedback is more comprehensive (Chan et al., 2024; Escalante et al., 2023; Lo et al., 2025).</w:t>
      </w:r>
    </w:p>
    <w:p>
      <w:pPr>
        <w:pStyle w:val="Heading2"/>
        <w:keepNext/>
        <w:keepLines/>
      </w:pPr>
      <w:r>
        <w:t>Plausible Alternative Explanations</w:t>
      </w:r>
    </w:p>
    <w:p>
      <w:pPr>
        <w:pStyle w:val="ListBullet"/>
        <w:spacing w:after="80" w:line="281" w:lineRule="auto"/>
      </w:pPr>
      <w:r>
        <w:rPr>
          <w:rFonts w:ascii="Calibri" w:hAnsi="Calibri"/>
          <w:b w:val="0"/>
          <w:i w:val="0"/>
          <w:color w:val="111111"/>
          <w:sz w:val="22"/>
        </w:rPr>
        <w:t>Feedback dosage: AI conditions often receive more, longer, faster, or more individualized comments than controls.</w:t>
      </w:r>
    </w:p>
    <w:p>
      <w:pPr>
        <w:pStyle w:val="ListBullet"/>
        <w:spacing w:after="80" w:line="281" w:lineRule="auto"/>
      </w:pPr>
      <w:r>
        <w:rPr>
          <w:rFonts w:ascii="Calibri" w:hAnsi="Calibri"/>
          <w:b w:val="0"/>
          <w:i w:val="0"/>
          <w:color w:val="111111"/>
          <w:sz w:val="22"/>
        </w:rPr>
        <w:t>Adaptivity rather than source: personalized feedback may beat static or generic guidance regardless of whether AI produced it.</w:t>
      </w:r>
    </w:p>
    <w:p>
      <w:pPr>
        <w:pStyle w:val="ListBullet"/>
        <w:spacing w:after="80" w:line="281" w:lineRule="auto"/>
      </w:pPr>
      <w:r>
        <w:rPr>
          <w:rFonts w:ascii="Calibri" w:hAnsi="Calibri"/>
          <w:b w:val="0"/>
          <w:i w:val="0"/>
          <w:color w:val="111111"/>
          <w:sz w:val="22"/>
        </w:rPr>
        <w:t>Time on task and novelty: students may revise more because feedback supplies an immediate roadmap or because the tool is new.</w:t>
      </w:r>
    </w:p>
    <w:p>
      <w:pPr>
        <w:pStyle w:val="ListBullet"/>
        <w:spacing w:after="80" w:line="281" w:lineRule="auto"/>
      </w:pPr>
      <w:r>
        <w:rPr>
          <w:rFonts w:ascii="Calibri" w:hAnsi="Calibri"/>
          <w:b w:val="0"/>
          <w:i w:val="0"/>
          <w:color w:val="111111"/>
          <w:sz w:val="22"/>
        </w:rPr>
        <w:t>Bundled pedagogy: prompt training, peer discussion, reflection diaries, portfolios, collaborative writing, and repeated practice may cause gains attributed to AI.</w:t>
      </w:r>
    </w:p>
    <w:p>
      <w:pPr>
        <w:pStyle w:val="ListBullet"/>
        <w:spacing w:after="80" w:line="281" w:lineRule="auto"/>
      </w:pPr>
      <w:r>
        <w:rPr>
          <w:rFonts w:ascii="Calibri" w:hAnsi="Calibri"/>
          <w:b w:val="0"/>
          <w:i w:val="0"/>
          <w:color w:val="111111"/>
          <w:sz w:val="22"/>
        </w:rPr>
        <w:t>Assessment alignment: the same rubric, prompt, or model may generate feedback and evaluate outcomes, inflating apparent alignment.</w:t>
      </w:r>
    </w:p>
    <w:p>
      <w:pPr>
        <w:pStyle w:val="ListBullet"/>
        <w:spacing w:after="80" w:line="281" w:lineRule="auto"/>
      </w:pPr>
      <w:r>
        <w:rPr>
          <w:rFonts w:ascii="Calibri" w:hAnsi="Calibri"/>
          <w:b w:val="0"/>
          <w:i w:val="0"/>
          <w:color w:val="111111"/>
          <w:sz w:val="22"/>
        </w:rPr>
        <w:t>Instructor quality: comparisons depend on whether human feedback is expert, time-constrained, standardized, conversational, or adapted to the individual student.</w:t>
      </w:r>
    </w:p>
    <w:p>
      <w:pPr>
        <w:pStyle w:val="Heading2"/>
        <w:keepNext/>
        <w:keepLines/>
      </w:pPr>
      <w:r>
        <w:t>Methodological Weaknesses</w:t>
      </w:r>
    </w:p>
    <w:p>
      <w:pPr>
        <w:pStyle w:val="ListBullet"/>
        <w:spacing w:after="80" w:line="281" w:lineRule="auto"/>
      </w:pPr>
      <w:r>
        <w:rPr>
          <w:rFonts w:ascii="Calibri" w:hAnsi="Calibri"/>
          <w:b w:val="0"/>
          <w:i w:val="0"/>
          <w:color w:val="111111"/>
          <w:sz w:val="22"/>
        </w:rPr>
        <w:t>Predominance of same-paper pre/post scoring, short interventions, convenience samples, intact classes, and self-report measures.</w:t>
      </w:r>
    </w:p>
    <w:p>
      <w:pPr>
        <w:pStyle w:val="ListBullet"/>
        <w:spacing w:after="80" w:line="281" w:lineRule="auto"/>
      </w:pPr>
      <w:r>
        <w:rPr>
          <w:rFonts w:ascii="Calibri" w:hAnsi="Calibri"/>
          <w:b w:val="0"/>
          <w:i w:val="0"/>
          <w:color w:val="111111"/>
          <w:sz w:val="22"/>
        </w:rPr>
        <w:t>Rare delayed, novel, unaided tasks; limited measurement of retention, metacognition, source verification, or future self-correction.</w:t>
      </w:r>
    </w:p>
    <w:p>
      <w:pPr>
        <w:pStyle w:val="ListBullet"/>
        <w:spacing w:after="80" w:line="281" w:lineRule="auto"/>
      </w:pPr>
      <w:r>
        <w:rPr>
          <w:rFonts w:ascii="Calibri" w:hAnsi="Calibri"/>
          <w:b w:val="0"/>
          <w:i w:val="0"/>
          <w:color w:val="111111"/>
          <w:sz w:val="22"/>
        </w:rPr>
        <w:t>Tool/version instability and incomplete reporting of prompts, temperatures, system settings, or model updates.</w:t>
      </w:r>
    </w:p>
    <w:p>
      <w:pPr>
        <w:pStyle w:val="ListBullet"/>
        <w:spacing w:after="80" w:line="281" w:lineRule="auto"/>
      </w:pPr>
      <w:r>
        <w:rPr>
          <w:rFonts w:ascii="Calibri" w:hAnsi="Calibri"/>
          <w:b w:val="0"/>
          <w:i w:val="0"/>
          <w:color w:val="111111"/>
          <w:sz w:val="22"/>
        </w:rPr>
        <w:t>Heavy EFL/EAP concentration and limited representation of disciplines, institutions, disability/access needs, socioeconomic access, and non-English academic genres.</w:t>
      </w:r>
    </w:p>
    <w:p>
      <w:pPr>
        <w:pStyle w:val="ListBullet"/>
        <w:spacing w:after="80" w:line="281" w:lineRule="auto"/>
      </w:pPr>
      <w:r>
        <w:rPr>
          <w:rFonts w:ascii="Calibri" w:hAnsi="Calibri"/>
          <w:b w:val="0"/>
          <w:i w:val="0"/>
          <w:color w:val="111111"/>
          <w:sz w:val="22"/>
        </w:rPr>
        <w:t>Potential rater non-independence, unblinded grading, differential attrition, and AI-assisted scoring in some studies.</w:t>
      </w:r>
    </w:p>
    <w:p>
      <w:pPr>
        <w:pStyle w:val="Heading2"/>
        <w:keepNext/>
        <w:keepLines/>
      </w:pPr>
      <w:r>
        <w:t>What the Evidence Does Not Justify</w:t>
      </w:r>
    </w:p>
    <w:p>
      <w:pPr>
        <w:pStyle w:val="ListBullet"/>
        <w:spacing w:after="80" w:line="281" w:lineRule="auto"/>
      </w:pPr>
      <w:r>
        <w:rPr>
          <w:rFonts w:ascii="Calibri" w:hAnsi="Calibri"/>
          <w:b w:val="0"/>
          <w:i w:val="0"/>
          <w:color w:val="111111"/>
          <w:sz w:val="22"/>
        </w:rPr>
        <w:t>That generative AI feedback generally improves undergraduate writing across disciplines and populations.</w:t>
      </w:r>
    </w:p>
    <w:p>
      <w:pPr>
        <w:pStyle w:val="ListBullet"/>
        <w:spacing w:after="80" w:line="281" w:lineRule="auto"/>
      </w:pPr>
      <w:r>
        <w:rPr>
          <w:rFonts w:ascii="Calibri" w:hAnsi="Calibri"/>
          <w:b w:val="0"/>
          <w:i w:val="0"/>
          <w:color w:val="111111"/>
          <w:sz w:val="22"/>
        </w:rPr>
        <w:t>That AI can replace instructors, writing tutors, or disciplinary experts without loss of trust, context, or higher-order guidance.</w:t>
      </w:r>
    </w:p>
    <w:p>
      <w:pPr>
        <w:pStyle w:val="ListBullet"/>
        <w:spacing w:after="80" w:line="281" w:lineRule="auto"/>
      </w:pPr>
      <w:r>
        <w:rPr>
          <w:rFonts w:ascii="Calibri" w:hAnsi="Calibri"/>
          <w:b w:val="0"/>
          <w:i w:val="0"/>
          <w:color w:val="111111"/>
          <w:sz w:val="22"/>
        </w:rPr>
        <w:t>That accepting more AI suggestions is inherently thoughtful, ethical, accurate, or educationally beneficial.</w:t>
      </w:r>
    </w:p>
    <w:p>
      <w:pPr>
        <w:pStyle w:val="ListBullet"/>
        <w:spacing w:after="80" w:line="281" w:lineRule="auto"/>
      </w:pPr>
      <w:r>
        <w:rPr>
          <w:rFonts w:ascii="Calibri" w:hAnsi="Calibri"/>
          <w:b w:val="0"/>
          <w:i w:val="0"/>
          <w:color w:val="111111"/>
          <w:sz w:val="22"/>
        </w:rPr>
        <w:t>That short-term score gains demonstrate durable writing knowledge, independent transfer, critical thinking, or preserved authorial voice.</w:t>
      </w:r>
    </w:p>
    <w:p>
      <w:pPr>
        <w:pStyle w:val="ListBullet"/>
        <w:spacing w:after="80" w:line="281" w:lineRule="auto"/>
      </w:pPr>
      <w:r>
        <w:rPr>
          <w:rFonts w:ascii="Calibri" w:hAnsi="Calibri"/>
          <w:b w:val="0"/>
          <w:i w:val="0"/>
          <w:color w:val="111111"/>
          <w:sz w:val="22"/>
        </w:rPr>
        <w:t>That any single model, prompt, or implementation will remain effective as commercial systems change.</w:t>
      </w:r>
    </w:p>
    <w:p>
      <w:pPr>
        <w:sectPr>
          <w:headerReference w:type="default" r:id="rId9"/>
          <w:footerReference w:type="default" r:id="rId10"/>
          <w:pgSz w:w="12240" w:h="15840"/>
          <w:pgMar w:top="1152" w:right="1440" w:bottom="1080" w:left="1440" w:header="504" w:footer="504" w:gutter="0"/>
          <w:cols w:space="720"/>
          <w:docGrid w:linePitch="360"/>
        </w:sectPr>
      </w:pPr>
    </w:p>
    <w:p>
      <w:pPr>
        <w:pStyle w:val="Heading1"/>
        <w:keepNext/>
        <w:keepLines/>
      </w:pPr>
      <w:r>
        <w:t>5. Comparative Study Matrix</w:t>
      </w:r>
    </w:p>
    <w:p>
      <w:pPr>
        <w:spacing w:after="160" w:line="281" w:lineRule="auto"/>
      </w:pPr>
      <w:r>
        <w:rPr>
          <w:rFonts w:ascii="Calibri" w:hAnsi="Calibri"/>
          <w:b w:val="0"/>
          <w:i w:val="0"/>
          <w:color w:val="111111"/>
          <w:sz w:val="22"/>
        </w:rPr>
        <w:t>Core sources below were reviewed in full or through complete publisher HTML. Outcome labels deliberately distinguish revision of the treated text from later learning or transfer.</w:t>
      </w:r>
    </w:p>
    <w:tbl>
      <w:tblPr>
        <w:tblStyle w:val="TableGrid"/>
        <w:tblW w:type="dxa" w:w="12960"/>
        <w:jc w:val="left"/>
        <w:tblLayout w:type="fixed"/>
        <w:tblLook w:firstColumn="1" w:firstRow="1" w:lastColumn="0" w:lastRow="0" w:noHBand="0" w:noVBand="1" w:val="04A0"/>
        <w:tblInd w:w="120" w:type="dxa"/>
      </w:tblPr>
      <w:tblGrid>
        <w:gridCol w:w="1800"/>
        <w:gridCol w:w="2300"/>
        <w:gridCol w:w="2300"/>
        <w:gridCol w:w="2400"/>
        <w:gridCol w:w="4160"/>
      </w:tblGrid>
      <w:tr>
        <w:trPr>
          <w:tblHeader w:val="true"/>
          <w:cantSplit/>
        </w:trPr>
        <w:tc>
          <w:tcPr>
            <w:tcW w:type="dxa" w:w="18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Study / setting</w:t>
            </w:r>
          </w:p>
        </w:tc>
        <w:tc>
          <w:tcPr>
            <w:tcW w:type="dxa" w:w="23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Design and population</w:t>
            </w:r>
          </w:p>
        </w:tc>
        <w:tc>
          <w:tcPr>
            <w:tcW w:type="dxa" w:w="23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AI and feedback</w:t>
            </w:r>
          </w:p>
        </w:tc>
        <w:tc>
          <w:tcPr>
            <w:tcW w:type="dxa" w:w="24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Comparator / instructor role</w:t>
            </w:r>
          </w:p>
        </w:tc>
        <w:tc>
          <w:tcPr>
            <w:tcW w:type="dxa" w:w="416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Outcomes and interpretation</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Escalante et al. (2023)</w:t>
              <w:br/>
              <w:t>Asia-Pacific liberal-arts university; ENL academic writing</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6-week quasi-experiment, n=48; separate preference study n=43; weekly 300-word source-based paragraphs; pre/post tests</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GPT-4; educator-engineered prompt; topic sentence, ideas, academic style, transitions, sources, grammar</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Human tutor feedback. AI emailed to students; no AI follow-up dialogue.</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Both groups improved; no group x time effect (p=.085). Preferences split; human valued for interaction, AI for specificity. Measures broader pre/post performance, but no delayed task.</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Song &amp; Song (2023; corrected 2026)</w:t>
              <w:br/>
              <w:t>Chinese bachelor's EFL program</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Random assignment, n=50; 12 weeks; IELTS Tasks 1/2 pre/post; interviews n=9</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ChatGPT-assisted instruction twice weekly; personalized feedback, phrasing/vocabulary, portfolios, reflection, ethics coaching</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Traditional instructor-led writing using same materials. Intervention packages differed beyond feedback source.</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AI group higher overall writing and motivation (global writing partial eta-squared=.27). Same IELTS tasks reused; no delayed unaided test. Correction fixed contradictory wording, not statistics.</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Mahapatra (2024)</w:t>
              <w:br/>
              <w:t>First-year science/engineering ESL, India</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Intact-section quasi-experiment; 72 completers (35/37) from 134 consenters; one-month, 6-hour intervention; post and 2-month delayed tests</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ChatGPT for trained self- and peer-assessment on content, organization, grammar, vocabulary</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Comparison section received same writing instruction without ChatGPT; instructor-designed rubrics and classroom facilitation</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Experimental group higher at post-test and delayed test. Valuable transfer-adjacent evidence, but high exclusion/attrition, one-tailed tests, intact groups, and unusually large effects reduce confidence.</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Wiboolyasarin et al. (2024)</w:t>
              <w:br/>
              <w:t>39 junior exchange students writing L2 Thai</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10-week non-equivalent pre/post design; 18 AI vs 21 control; three repeated collaborative tasks plus individual post-test</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ChatGPT rubric-based written corrective feedback after individual drafts</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Both groups collaborated; control received no AI and no post-feedback individual revision. Instructor facilitated process.</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AI group improved and outperformed control on individual post-test (reported large effect). AI is bundled with an extra revision opportunity and small, specialized sample.</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Han &amp; Li (2024)</w:t>
              <w:br/>
              <w:t>World Language Education undergraduates, China</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Descriptive repeated-task study; 102 enrolled, 95 complete; argumentative and expository essays</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ChatGPT generated local corrective and holistic rhetorical feedback; teachers converted/adapted it</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No parallel control. Four instructors reviewed, edited, condensed, and delivered comments.</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About 64% of local corrections successful; full rhetorical modification rose 9.47% to 56.84%. Strong uptake evidence, but genre/device/task-order changes and no comparison preclude causal attribution.</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Chan et al. (2024)</w:t>
              <w:br/>
              <w:t>918 first-year EFL students, Hong Kong</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Two-hour controlled revision; 342 AI vs 576 control; same essay revised; double human scoring; 16 interviews</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GPT-3.5, task- and objective-specific feedback up to 500 words</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Control received generalized teacher-prepared guidance, not individualized feedback</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AI group gained 7.588 vs 4.474 marks (p=.0036); higher motivation/engagement, mixed emotion. Weak positive feedback-outcome effect; immediate treated-paper result only.</w:t>
            </w:r>
          </w:p>
        </w:tc>
      </w:tr>
    </w:tbl>
    <w:p>
      <w:r>
        <w:br w:type="page"/>
      </w:r>
    </w:p>
    <w:p>
      <w:pPr>
        <w:pStyle w:val="Heading2"/>
        <w:keepNext/>
        <w:keepLines/>
      </w:pPr>
      <w:r>
        <w:t>Comparative Study Matrix (continued)</w:t>
      </w:r>
    </w:p>
    <w:tbl>
      <w:tblPr>
        <w:tblStyle w:val="TableGrid"/>
        <w:tblW w:type="dxa" w:w="12960"/>
        <w:jc w:val="left"/>
        <w:tblLayout w:type="fixed"/>
        <w:tblLook w:firstColumn="1" w:firstRow="1" w:lastColumn="0" w:lastRow="0" w:noHBand="0" w:noVBand="1" w:val="04A0"/>
        <w:tblInd w:w="120" w:type="dxa"/>
      </w:tblPr>
      <w:tblGrid>
        <w:gridCol w:w="1800"/>
        <w:gridCol w:w="2300"/>
        <w:gridCol w:w="2300"/>
        <w:gridCol w:w="2400"/>
        <w:gridCol w:w="4160"/>
      </w:tblGrid>
      <w:tr>
        <w:trPr>
          <w:tblHeader w:val="true"/>
          <w:cantSplit/>
        </w:trPr>
        <w:tc>
          <w:tcPr>
            <w:tcW w:type="dxa" w:w="18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Study / setting</w:t>
            </w:r>
          </w:p>
        </w:tc>
        <w:tc>
          <w:tcPr>
            <w:tcW w:type="dxa" w:w="23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Design and population</w:t>
            </w:r>
          </w:p>
        </w:tc>
        <w:tc>
          <w:tcPr>
            <w:tcW w:type="dxa" w:w="23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AI and feedback</w:t>
            </w:r>
          </w:p>
        </w:tc>
        <w:tc>
          <w:tcPr>
            <w:tcW w:type="dxa" w:w="24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Comparator / instructor role</w:t>
            </w:r>
          </w:p>
        </w:tc>
        <w:tc>
          <w:tcPr>
            <w:tcW w:type="dxa" w:w="416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Outcomes and interpretation</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Lo et al. (2025)</w:t>
              <w:br/>
              <w:t>1,267 second-year EAP undergraduates, Hong Kong</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Three-group experiment: AI 431, human 425, hybrid 411; 30-minute revision of same essay; allocation process not clearly reported</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GPT-3.5, rubric/objective prompt; hybrid teachers amended AI output</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Instructor-only vs AI-only vs hybrid. Human graders double-scored essays.</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Mean gains: human 7.28, hybrid 5.40, AI 2.57; all pairwise differences significant. Human feedback most motivating. Large sample, but same-paper outcome, unclear randomization, and some reported statistics warrant cautious interpretation.</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Hawkins et al. (2025)</w:t>
              <w:br/>
              <w:t>32 psychology students, Australia</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Screen-recorded 25-minute simulated essay; stimulated-recall interviews; mostly first-year students</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ChatGPT or students' chosen GenAI; unrestricted interaction</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No outcome comparison; researcher observed natural feedback-seeking and evaluation behavior</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31/32 evaluated AI output at least once; fewer than one-third cross-checked external sources. Strong process evidence for selective use, but no writing-gain or transfer estimate.</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Glüsing et al. (2026)</w:t>
              <w:br/>
              <w:t>144 psychology/teacher-education students, Germany</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Online RCT; GPT feedback n=86 vs control n=58 after attrition; same scientific abstract revised</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GPT-4 checked required abstract components and gave concrete improvement suggestions</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Control repeated task instructions and component reminder; no individualized feedback</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Feedback effect estimate=.72; greater time/edit distance partially mediated revision quality; feedback accuracy kappa=.96. Same-session, same-text outcome; no independent transfer measure.</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Li &amp; Collins (2026)</w:t>
              <w:br/>
              <w:t>29 upper-division education/social-science writers, western U.S.</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Single-class exploratory pre/post draft study; 6-8 page research paper; rubric scoring and survey</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ChatGPT, Gemini, or university chatbot; feedback on structure/evidence; required prompt/output citation and reflection</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All students also received expert instructor and peer feedback</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Writing improved across four dimensions; instructor feedback rated highest. Authentic multi-source pedagogy, but no isolation of AI contribution or actual source-specific revision trace.</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Mujeeb et al. (2026)</w:t>
              <w:br/>
              <w:t>400 computing undergraduates, Pakistan</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Quasi-experimental pre/post with pilot-matched topics; 200 AI vs 200 teacher; feedback Weeks 2-4</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Grammarly for form plus GPT-4 for cohesion/clarity/organization</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Standardized teacher feedback using same analytic rubric</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AI package produced larger short-term gains (d=.98-1.40; ANCOVA group effect partial eta-squared=.136). Composite tools, nonrandom group assignment, no delayed test, and short dosage limit causal and learning claims.</w:t>
            </w:r>
          </w:p>
        </w:tc>
      </w:tr>
      <w:tr>
        <w:trPr>
          <w:cantSplit/>
        </w:trPr>
        <w:tc>
          <w:tcPr>
            <w:tcW w:type="dxa" w:w="1800"/>
            <w:tcMar>
              <w:top w:w="80" w:type="dxa"/>
              <w:start w:w="120" w:type="dxa"/>
              <w:bottom w:w="80" w:type="dxa"/>
              <w:end w:w="120" w:type="dxa"/>
            </w:tcMar>
            <w:vAlign w:val="center"/>
          </w:tcPr>
          <w:p>
            <w:pPr>
              <w:spacing w:after="40" w:line="240" w:lineRule="auto"/>
            </w:pPr>
            <w:r>
              <w:rPr>
                <w:rFonts w:ascii="Calibri" w:hAnsi="Calibri"/>
                <w:b w:val="0"/>
                <w:i w:val="0"/>
                <w:color w:val="111111"/>
                <w:sz w:val="17"/>
              </w:rPr>
              <w:t>Lu et al. (2026)</w:t>
              <w:br/>
              <w:t>354 ECON101 students, U.S. R1 university</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Randomized crossover over two assignments; 11 TAs; 1,366 graded essays; post-test after each revision</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7"/>
              </w:rPr>
              <w:t>FeedbackWriter/GPT-4o generated rubric-aligned judgments and draft comments; TAs reviewed every output</w:t>
            </w:r>
          </w:p>
        </w:tc>
        <w:tc>
          <w:tcPr>
            <w:tcW w:type="dxa" w:w="2400"/>
            <w:tcMar>
              <w:top w:w="80" w:type="dxa"/>
              <w:start w:w="120" w:type="dxa"/>
              <w:bottom w:w="80" w:type="dxa"/>
              <w:end w:w="120" w:type="dxa"/>
            </w:tcMar>
            <w:vAlign w:val="center"/>
          </w:tcPr>
          <w:p>
            <w:pPr>
              <w:spacing w:after="40" w:line="240" w:lineRule="auto"/>
            </w:pPr>
            <w:r>
              <w:rPr>
                <w:rFonts w:ascii="Calibri" w:hAnsi="Calibri"/>
                <w:b w:val="0"/>
                <w:i w:val="0"/>
                <w:color w:val="111111"/>
                <w:sz w:val="17"/>
              </w:rPr>
              <w:t>Human-only TA feedback with same rubric/historic comments; condition reversed on second assignment</w:t>
            </w:r>
          </w:p>
        </w:tc>
        <w:tc>
          <w:tcPr>
            <w:tcW w:type="dxa" w:w="4160"/>
            <w:tcMar>
              <w:top w:w="80" w:type="dxa"/>
              <w:start w:w="120" w:type="dxa"/>
              <w:bottom w:w="80" w:type="dxa"/>
              <w:end w:w="120" w:type="dxa"/>
            </w:tcMar>
            <w:vAlign w:val="center"/>
          </w:tcPr>
          <w:p>
            <w:pPr>
              <w:spacing w:after="40" w:line="240" w:lineRule="auto"/>
            </w:pPr>
            <w:r>
              <w:rPr>
                <w:rFonts w:ascii="Calibri" w:hAnsi="Calibri"/>
                <w:b w:val="0"/>
                <w:i w:val="0"/>
                <w:color w:val="111111"/>
                <w:sz w:val="17"/>
              </w:rPr>
              <w:t>AI-mediated revisions +5 percentage points, d=.50. TAs corrected 11.3% of AI judgments. No condition difference on post-test (p=.31). Strongest supplement evidence and strongest warning against equating revision with learning.</w:t>
            </w:r>
          </w:p>
        </w:tc>
      </w:tr>
    </w:tbl>
    <w:p>
      <w:pPr>
        <w:sectPr>
          <w:headerReference w:type="default" r:id="rId11"/>
          <w:footerReference w:type="default" r:id="rId12"/>
          <w:pgSz w:w="15840" w:h="12240" w:orient="landscape"/>
          <w:pgMar w:top="864" w:right="1080" w:bottom="864" w:left="1080" w:header="432" w:footer="432" w:gutter="0"/>
          <w:cols w:space="720"/>
          <w:docGrid w:linePitch="360"/>
        </w:sectPr>
      </w:pPr>
    </w:p>
    <w:p>
      <w:pPr>
        <w:pStyle w:val="Heading1"/>
        <w:keepNext/>
        <w:keepLines/>
      </w:pPr>
      <w:r>
        <w:t>6. Claim-to-Evidence Ledger</w:t>
      </w:r>
    </w:p>
    <w:tbl>
      <w:tblPr>
        <w:tblStyle w:val="TableGrid"/>
        <w:tblW w:type="dxa" w:w="9360"/>
        <w:jc w:val="left"/>
        <w:tblLayout w:type="fixed"/>
        <w:tblLook w:firstColumn="1" w:firstRow="1" w:lastColumn="0" w:lastRow="0" w:noHBand="0" w:noVBand="1" w:val="04A0"/>
        <w:tblInd w:w="120" w:type="dxa"/>
      </w:tblPr>
      <w:tblGrid>
        <w:gridCol w:w="3300"/>
        <w:gridCol w:w="2300"/>
        <w:gridCol w:w="2860"/>
        <w:gridCol w:w="900"/>
      </w:tblGrid>
      <w:tr>
        <w:trPr>
          <w:tblHeader w:val="true"/>
          <w:cantSplit/>
        </w:trPr>
        <w:tc>
          <w:tcPr>
            <w:tcW w:type="dxa" w:w="33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Major claim</w:t>
            </w:r>
          </w:p>
        </w:tc>
        <w:tc>
          <w:tcPr>
            <w:tcW w:type="dxa" w:w="23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Supporting / qualifying evidence</w:t>
            </w:r>
          </w:p>
        </w:tc>
        <w:tc>
          <w:tcPr>
            <w:tcW w:type="dxa" w:w="286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Nature of support and limitation</w:t>
            </w:r>
          </w:p>
        </w:tc>
        <w:tc>
          <w:tcPr>
            <w:tcW w:type="dxa" w:w="900"/>
            <w:tcMar>
              <w:top w:w="80" w:type="dxa"/>
              <w:start w:w="120" w:type="dxa"/>
              <w:bottom w:w="80" w:type="dxa"/>
              <w:end w:w="120" w:type="dxa"/>
            </w:tcMar>
            <w:vAlign w:val="center"/>
            <w:shd w:fill="E8EEF5"/>
          </w:tcPr>
          <w:p>
            <w:pPr>
              <w:spacing w:after="0" w:line="240" w:lineRule="auto"/>
            </w:pPr>
            <w:r>
              <w:rPr>
                <w:rFonts w:ascii="Calibri" w:hAnsi="Calibri"/>
                <w:b/>
                <w:i w:val="0"/>
                <w:color w:val="17365D"/>
                <w:sz w:val="18"/>
              </w:rPr>
              <w:t>Status</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Individualized GenAI feedback can improve immediate revision compared with no or generic feedback.</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Chan et al. (2024); Glüsing et al. (2026)</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Large controlled study plus RCT; both score the treated text, not transfer. Comparators are weaker than individualized instructor feedback.</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Verified</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AI-mediated instructor feedback can improve rubric-bound revisions beyond human-only feedback.</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Lu et al. (2026)</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Randomized crossover, authentic course, active TA control; outcome emphasizes economics rubric content more than rhetorical prose.</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Verified</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Instructor involvement does not uniformly make hybrid feedback superior.</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Lo et al. (2025); Escalante et al. (2023); Li &amp; Collins (2026)</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Large three-group contrary result, a null AI-vs-tutor result, and a multi-source observational study. Designs differ substantially.</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Verified</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Students can evaluate and selectively use AI feedback, but verification is uneven.</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Hawkins et al. (2025); Han &amp; Li (2024); Lu et al. (2026)</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Process recordings, coded uptake, and TA audit logs. Only Hawkins directly observes student evaluation; external fact-checking was uncommon.</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Verified</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Training, collaboration, reflection, and repeated cycles are plausible enabling conditions.</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Mahapatra (2024); Wiboolyasarin et al. (2024); Han &amp; Li (2024); Li &amp; Collins (2026)</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Consistent pattern across bundled classroom interventions; components are not factorially isolated, so this is a synthesis inference.</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Verified with qualification</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Immediate revision gains do not prove genuine learning or transfer.</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Lu et al. (2026); Chan et al. (2024); Glüsing et al. (2026)</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Direct null post-test condition effect in Lu; other studies use same-paper outcomes. This claim is strongly supported.</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Verified</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Some studies suggest new-task or delayed gains, but confidence is lower.</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Mahapatra (2024); Wiboolyasarin et al. (2024); Mujeeb et al. (2026); Song &amp; Song (2023)</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Delayed/new-task designs exist, but attrition, small samples, bundled interventions, reused tasks, or quasi-experimental assignment weaken attribution.</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Verified with qualification</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Evidence is concentrated in multilingual/EFL settings and explicit-rubric tasks.</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Primary-study matrix; Li, Han, &amp; Taha (2026); Craven &amp; Fredrick (2026)</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Descriptive pattern across reviewed studies and two recent syntheses. Open-web review is not exhaustive.</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Verified with qualification</w:t>
            </w:r>
          </w:p>
        </w:tc>
      </w:tr>
      <w:tr>
        <w:trPr>
          <w:cantSplit/>
        </w:trPr>
        <w:tc>
          <w:tcPr>
            <w:tcW w:type="dxa" w:w="3300"/>
            <w:tcMar>
              <w:top w:w="80" w:type="dxa"/>
              <w:start w:w="120" w:type="dxa"/>
              <w:bottom w:w="80" w:type="dxa"/>
              <w:end w:w="120" w:type="dxa"/>
            </w:tcMar>
            <w:vAlign w:val="center"/>
          </w:tcPr>
          <w:p>
            <w:pPr>
              <w:spacing w:after="40" w:line="240" w:lineRule="auto"/>
            </w:pPr>
            <w:r>
              <w:rPr>
                <w:rFonts w:ascii="Calibri" w:hAnsi="Calibri"/>
                <w:b w:val="0"/>
                <w:i w:val="0"/>
                <w:color w:val="111111"/>
                <w:sz w:val="16"/>
              </w:rPr>
              <w:t>A 2026 Chinese within-student study reports higher ChatGPT revision scores than teacher feedback.</w:t>
            </w:r>
          </w:p>
        </w:tc>
        <w:tc>
          <w:tcPr>
            <w:tcW w:type="dxa" w:w="2300"/>
            <w:tcMar>
              <w:top w:w="80" w:type="dxa"/>
              <w:start w:w="120" w:type="dxa"/>
              <w:bottom w:w="80" w:type="dxa"/>
              <w:end w:w="120" w:type="dxa"/>
            </w:tcMar>
            <w:vAlign w:val="center"/>
          </w:tcPr>
          <w:p>
            <w:pPr>
              <w:spacing w:after="40" w:line="240" w:lineRule="auto"/>
            </w:pPr>
            <w:r>
              <w:rPr>
                <w:rFonts w:ascii="Calibri" w:hAnsi="Calibri"/>
                <w:b w:val="0"/>
                <w:i w:val="0"/>
                <w:color w:val="111111"/>
                <w:sz w:val="16"/>
              </w:rPr>
              <w:t>Han &amp; Wang (2026)</w:t>
            </w:r>
          </w:p>
        </w:tc>
        <w:tc>
          <w:tcPr>
            <w:tcW w:type="dxa" w:w="2860"/>
            <w:tcMar>
              <w:top w:w="80" w:type="dxa"/>
              <w:start w:w="120" w:type="dxa"/>
              <w:bottom w:w="80" w:type="dxa"/>
              <w:end w:w="120" w:type="dxa"/>
            </w:tcMar>
            <w:vAlign w:val="center"/>
          </w:tcPr>
          <w:p>
            <w:pPr>
              <w:spacing w:after="40" w:line="240" w:lineRule="auto"/>
            </w:pPr>
            <w:r>
              <w:rPr>
                <w:rFonts w:ascii="Calibri" w:hAnsi="Calibri"/>
                <w:b w:val="0"/>
                <w:i w:val="0"/>
                <w:color w:val="111111"/>
                <w:sz w:val="16"/>
              </w:rPr>
              <w:t>Publisher abstract and partial HTML only; full methods/results were not accessible enough for claim verification. Not used in the central conclusion.</w:t>
            </w:r>
          </w:p>
        </w:tc>
        <w:tc>
          <w:tcPr>
            <w:tcW w:type="dxa" w:w="900"/>
            <w:tcMar>
              <w:top w:w="80" w:type="dxa"/>
              <w:start w:w="120" w:type="dxa"/>
              <w:bottom w:w="80" w:type="dxa"/>
              <w:end w:w="120" w:type="dxa"/>
            </w:tcMar>
            <w:vAlign w:val="center"/>
          </w:tcPr>
          <w:p>
            <w:pPr>
              <w:spacing w:after="40" w:line="240" w:lineRule="auto"/>
            </w:pPr>
            <w:r>
              <w:rPr>
                <w:rFonts w:ascii="Calibri" w:hAnsi="Calibri"/>
                <w:b w:val="0"/>
                <w:i w:val="0"/>
                <w:color w:val="111111"/>
                <w:sz w:val="16"/>
              </w:rPr>
              <w:t>Unable to verify</w:t>
            </w:r>
          </w:p>
        </w:tc>
      </w:tr>
    </w:tbl>
    <w:p>
      <w:pPr>
        <w:pStyle w:val="Heading1"/>
        <w:keepNext/>
        <w:keepLines/>
      </w:pPr>
      <w:r>
        <w:t>7. Gaps in the Existing Research</w:t>
      </w:r>
    </w:p>
    <w:p>
      <w:pPr>
        <w:pStyle w:val="ListBullet"/>
        <w:spacing w:after="80" w:line="281" w:lineRule="auto"/>
      </w:pPr>
      <w:r>
        <w:rPr>
          <w:rFonts w:ascii="Calibri" w:hAnsi="Calibri"/>
          <w:b w:val="0"/>
          <w:i w:val="0"/>
          <w:color w:val="111111"/>
          <w:sz w:val="22"/>
        </w:rPr>
        <w:t>Transfer and retention: Few studies use delayed, novel, unaided tasks scored by blinded human raters. This is the central evidentiary gap.</w:t>
      </w:r>
    </w:p>
    <w:p>
      <w:pPr>
        <w:pStyle w:val="ListBullet"/>
        <w:spacing w:after="80" w:line="281" w:lineRule="auto"/>
      </w:pPr>
      <w:r>
        <w:rPr>
          <w:rFonts w:ascii="Calibri" w:hAnsi="Calibri"/>
          <w:b w:val="0"/>
          <w:i w:val="0"/>
          <w:color w:val="111111"/>
          <w:sz w:val="22"/>
        </w:rPr>
        <w:t>Revision reasoning: Most studies count changes or score final products without requiring students to justify acceptance, modification, or rejection of individual comments.</w:t>
      </w:r>
    </w:p>
    <w:p>
      <w:pPr>
        <w:pStyle w:val="ListBullet"/>
        <w:spacing w:after="80" w:line="281" w:lineRule="auto"/>
      </w:pPr>
      <w:r>
        <w:rPr>
          <w:rFonts w:ascii="Calibri" w:hAnsi="Calibri"/>
          <w:b w:val="0"/>
          <w:i w:val="0"/>
          <w:color w:val="111111"/>
          <w:sz w:val="22"/>
        </w:rPr>
        <w:t>Hybrid mechanisms: Few designs separately manipulate AI presence, instructor review, feedback dosage, prompt/rubric quality, and student evaluation requirements.</w:t>
      </w:r>
    </w:p>
    <w:p>
      <w:pPr>
        <w:pStyle w:val="ListBullet"/>
        <w:spacing w:after="80" w:line="281" w:lineRule="auto"/>
      </w:pPr>
      <w:r>
        <w:rPr>
          <w:rFonts w:ascii="Calibri" w:hAnsi="Calibri"/>
          <w:b w:val="0"/>
          <w:i w:val="0"/>
          <w:color w:val="111111"/>
          <w:sz w:val="22"/>
        </w:rPr>
        <w:t>Higher-order writing: Argument quality, evidence integration, source use, voice, genre knowledge, and disciplinary reasoning are less consistently measured than grammar and cohesion.</w:t>
      </w:r>
    </w:p>
    <w:p>
      <w:pPr>
        <w:pStyle w:val="ListBullet"/>
        <w:spacing w:after="80" w:line="281" w:lineRule="auto"/>
      </w:pPr>
      <w:r>
        <w:rPr>
          <w:rFonts w:ascii="Calibri" w:hAnsi="Calibri"/>
          <w:b w:val="0"/>
          <w:i w:val="0"/>
          <w:color w:val="111111"/>
          <w:sz w:val="22"/>
        </w:rPr>
        <w:t>Equity and access: Little causal evidence examines prior writing proficiency, multilingual status, disability/accessibility, AI literacy, socioeconomic access, or differential error rates.</w:t>
      </w:r>
    </w:p>
    <w:p>
      <w:pPr>
        <w:pStyle w:val="ListBullet"/>
        <w:spacing w:after="80" w:line="281" w:lineRule="auto"/>
      </w:pPr>
      <w:r>
        <w:rPr>
          <w:rFonts w:ascii="Calibri" w:hAnsi="Calibri"/>
          <w:b w:val="0"/>
          <w:i w:val="0"/>
          <w:color w:val="111111"/>
          <w:sz w:val="22"/>
        </w:rPr>
        <w:t>Authenticity and governance: Privacy, consent for submitting student work to vendors, disclosure of AI involvement, trust, and academic-integrity effects are seldom connected to learning outcomes.</w:t>
      </w:r>
    </w:p>
    <w:p>
      <w:pPr>
        <w:pStyle w:val="ListBullet"/>
        <w:spacing w:after="80" w:line="281" w:lineRule="auto"/>
      </w:pPr>
      <w:r>
        <w:rPr>
          <w:rFonts w:ascii="Calibri" w:hAnsi="Calibri"/>
          <w:b w:val="0"/>
          <w:i w:val="0"/>
          <w:color w:val="111111"/>
          <w:sz w:val="22"/>
        </w:rPr>
        <w:t>Replicability: Model version, prompt, temperature, context window, evaluator instructions, and scoring code are often incomplete, while commercial models change rapidly.</w:t>
      </w:r>
    </w:p>
    <w:p>
      <w:pPr>
        <w:pStyle w:val="ListBullet"/>
        <w:spacing w:after="80" w:line="281" w:lineRule="auto"/>
      </w:pPr>
      <w:r>
        <w:rPr>
          <w:rFonts w:ascii="Calibri" w:hAnsi="Calibri"/>
          <w:b w:val="0"/>
          <w:i w:val="0"/>
          <w:color w:val="111111"/>
          <w:sz w:val="22"/>
        </w:rPr>
        <w:t>Geographic and disciplinary breadth: U.S. first-year composition, community colleges, humanities disciplines, and non-EFL writing-across-the-curriculum contexts remain underrepresented.</w:t>
      </w:r>
    </w:p>
    <w:p>
      <w:pPr>
        <w:pStyle w:val="Heading1"/>
        <w:keepNext/>
        <w:keepLines/>
      </w:pPr>
      <w:r>
        <w:t>8. Possible Contribution of a New Article or Study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1F4E79"/>
                <w:sz w:val="22"/>
              </w:rPr>
              <w:t xml:space="preserve">Proposed contribution. </w:t>
            </w:r>
            <w:r>
              <w:rPr>
                <w:rFonts w:ascii="Calibri" w:hAnsi="Calibri"/>
                <w:b w:val="0"/>
                <w:i w:val="0"/>
                <w:color w:val="111111"/>
                <w:sz w:val="22"/>
              </w:rPr>
              <w:t>Test whether required evaluative judgment is the mechanism that turns AI feedback from a paper-improvement tool into learning, and whether instructor calibration adds benefits beyond feedback quantity and specificity.</w:t>
            </w:r>
          </w:p>
        </w:tc>
      </w:tr>
    </w:tbl>
    <w:p>
      <w:pPr>
        <w:spacing w:after="40"/>
      </w:pPr>
    </w:p>
    <w:p>
      <w:pPr>
        <w:pStyle w:val="Heading2"/>
        <w:keepNext/>
        <w:keepLines/>
      </w:pPr>
      <w:r>
        <w:t>Recommended Study Design</w:t>
      </w:r>
    </w:p>
    <w:p>
      <w:pPr>
        <w:pStyle w:val="ListBullet"/>
        <w:spacing w:after="80" w:line="281" w:lineRule="auto"/>
      </w:pPr>
      <w:r>
        <w:rPr>
          <w:rFonts w:ascii="Calibri" w:hAnsi="Calibri"/>
          <w:b w:val="0"/>
          <w:i w:val="0"/>
          <w:color w:val="111111"/>
          <w:sz w:val="22"/>
        </w:rPr>
        <w:t>Population and setting: Multi-section undergraduate writing-across-the-curriculum course, ideally across two disciplines and with stratification by baseline writing proficiency and multilingual status.</w:t>
      </w:r>
    </w:p>
    <w:p>
      <w:pPr>
        <w:pStyle w:val="ListBullet"/>
        <w:spacing w:after="80" w:line="281" w:lineRule="auto"/>
      </w:pPr>
      <w:r>
        <w:rPr>
          <w:rFonts w:ascii="Calibri" w:hAnsi="Calibri"/>
          <w:b w:val="0"/>
          <w:i w:val="0"/>
          <w:color w:val="111111"/>
          <w:sz w:val="22"/>
        </w:rPr>
        <w:t>Conditions: (1) instructor-only feedback; (2) AI-only rubric-aligned feedback; (3) instructor-vetted AI feedback; (4) instructor-vetted AI feedback plus a required student decision log explaining accept/modify/reject choices. Keep feedback length and timing comparable where feasible.</w:t>
      </w:r>
    </w:p>
    <w:p>
      <w:pPr>
        <w:pStyle w:val="ListBullet"/>
        <w:spacing w:after="80" w:line="281" w:lineRule="auto"/>
      </w:pPr>
      <w:r>
        <w:rPr>
          <w:rFonts w:ascii="Calibri" w:hAnsi="Calibri"/>
          <w:b w:val="0"/>
          <w:i w:val="0"/>
          <w:color w:val="111111"/>
          <w:sz w:val="22"/>
        </w:rPr>
        <w:t>Tasks: Two authentic draft-revision cycles followed by an immediate novel unaided task and a delayed unaided task 4-8 weeks later. Prohibit AI during transfer tasks and document compliance ethically rather than relying on detectors.</w:t>
      </w:r>
    </w:p>
    <w:p>
      <w:pPr>
        <w:pStyle w:val="ListBullet"/>
        <w:spacing w:after="80" w:line="281" w:lineRule="auto"/>
      </w:pPr>
      <w:r>
        <w:rPr>
          <w:rFonts w:ascii="Calibri" w:hAnsi="Calibri"/>
          <w:b w:val="0"/>
          <w:i w:val="0"/>
          <w:color w:val="111111"/>
          <w:sz w:val="22"/>
        </w:rPr>
        <w:t>Primary outcomes: Blinded human ratings of argument/evidence/organization/style; transfer and retention; successful and unsuccessful uptake; factual/source errors; preservation of intended meaning and voice.</w:t>
      </w:r>
    </w:p>
    <w:p>
      <w:pPr>
        <w:pStyle w:val="ListBullet"/>
        <w:spacing w:after="80" w:line="281" w:lineRule="auto"/>
      </w:pPr>
      <w:r>
        <w:rPr>
          <w:rFonts w:ascii="Calibri" w:hAnsi="Calibri"/>
          <w:b w:val="0"/>
          <w:i w:val="0"/>
          <w:color w:val="111111"/>
          <w:sz w:val="22"/>
        </w:rPr>
        <w:t>Mechanism measures: Decision-log quality, feedback literacy, revision time, edit type, verification behavior, and brief stimulated-recall interviews from a purposive subsample.</w:t>
      </w:r>
    </w:p>
    <w:p>
      <w:pPr>
        <w:pStyle w:val="ListBullet"/>
        <w:spacing w:after="80" w:line="281" w:lineRule="auto"/>
      </w:pPr>
      <w:r>
        <w:rPr>
          <w:rFonts w:ascii="Calibri" w:hAnsi="Calibri"/>
          <w:b w:val="0"/>
          <w:i w:val="0"/>
          <w:color w:val="111111"/>
          <w:sz w:val="22"/>
        </w:rPr>
        <w:t>Implementation measures: Instructor editing rate, AI error rate, feedback volume, time cost, student trust, accessibility, and disclosure preferences.</w:t>
      </w:r>
    </w:p>
    <w:p>
      <w:pPr>
        <w:pStyle w:val="ListBullet"/>
        <w:spacing w:after="80" w:line="281" w:lineRule="auto"/>
      </w:pPr>
      <w:r>
        <w:rPr>
          <w:rFonts w:ascii="Calibri" w:hAnsi="Calibri"/>
          <w:b w:val="0"/>
          <w:i w:val="0"/>
          <w:color w:val="111111"/>
          <w:sz w:val="22"/>
        </w:rPr>
        <w:t>Analysis: Preregister contrasts and primary outcomes; use multilevel models for students nested in sections/instructors; test whether evaluative judgment mediates transfer, not only same-paper revision.</w:t>
      </w:r>
    </w:p>
    <w:p>
      <w:pPr>
        <w:spacing w:after="120" w:line="281" w:lineRule="auto"/>
      </w:pPr>
      <w:r>
        <w:rPr>
          <w:rFonts w:ascii="Calibri" w:hAnsi="Calibri"/>
          <w:b w:val="0"/>
          <w:i w:val="0"/>
          <w:color w:val="111111"/>
          <w:sz w:val="22"/>
        </w:rPr>
        <w:t>This contribution would move the literature from 'Does AI feedback improve this draft?' to 'Which feedback workflow changes what students can do independently later, for whom, and why?' It would also directly test the proposed supplement-and-evaluation argument rather than inferring it from bundled interventions.</w:t>
      </w:r>
    </w:p>
    <w:p>
      <w:pPr>
        <w:pStyle w:val="Heading1"/>
        <w:keepNext/>
        <w:keepLines/>
      </w:pPr>
      <w:r>
        <w:t>9. APA 7 References</w:t>
      </w:r>
    </w:p>
    <w:p>
      <w:pPr>
        <w:spacing w:after="140" w:line="259" w:lineRule="auto"/>
        <w:ind w:left="504" w:hanging="504"/>
      </w:pPr>
      <w:r>
        <w:rPr>
          <w:rFonts w:ascii="Calibri" w:hAnsi="Calibri"/>
          <w:b w:val="0"/>
          <w:i w:val="0"/>
          <w:color w:val="111111"/>
          <w:sz w:val="19"/>
        </w:rPr>
        <w:t xml:space="preserve">Chan, S., Lo, N., &amp; Wong, A. (2024). Generative AI and essay writing: Impacts of automated feedback on revision performance and engagement. </w:t>
      </w:r>
      <w:r>
        <w:rPr>
          <w:rFonts w:ascii="Calibri" w:hAnsi="Calibri"/>
          <w:b w:val="0"/>
          <w:i/>
          <w:color w:val="111111"/>
          <w:sz w:val="19"/>
        </w:rPr>
        <w:t>rEFLections, 31(3)</w:t>
      </w:r>
      <w:r>
        <w:rPr>
          <w:rFonts w:ascii="Calibri" w:hAnsi="Calibri"/>
          <w:b w:val="0"/>
          <w:i w:val="0"/>
          <w:color w:val="111111"/>
          <w:sz w:val="19"/>
        </w:rPr>
        <w:t xml:space="preserve">, 1249-1284. </w:t>
      </w:r>
      <w:hyperlink r:id="rId15">
        <w:r>
          <w:rPr>
            <w:color w:val="1F4E79"/>
            <w:u w:val="single"/>
          </w:rPr>
          <w:t>https://files.eric.ed.gov/fulltext/EJ1459877.pdf</w:t>
        </w:r>
      </w:hyperlink>
    </w:p>
    <w:p>
      <w:pPr>
        <w:spacing w:after="140" w:line="259" w:lineRule="auto"/>
        <w:ind w:left="504" w:hanging="504"/>
      </w:pPr>
      <w:r>
        <w:rPr>
          <w:rFonts w:ascii="Calibri" w:hAnsi="Calibri"/>
          <w:b w:val="0"/>
          <w:i w:val="0"/>
          <w:color w:val="111111"/>
          <w:sz w:val="19"/>
        </w:rPr>
        <w:t xml:space="preserve">Craven, L., &amp; Fredrick, D. R. (2026). LLM-generated feedback in L2 writing: A scoping review. </w:t>
      </w:r>
      <w:r>
        <w:rPr>
          <w:rFonts w:ascii="Calibri" w:hAnsi="Calibri"/>
          <w:b w:val="0"/>
          <w:i/>
          <w:color w:val="111111"/>
          <w:sz w:val="19"/>
        </w:rPr>
        <w:t>Education Sciences, 16(8)</w:t>
      </w:r>
      <w:r>
        <w:rPr>
          <w:rFonts w:ascii="Calibri" w:hAnsi="Calibri"/>
          <w:b w:val="0"/>
          <w:i w:val="0"/>
          <w:color w:val="111111"/>
          <w:sz w:val="19"/>
        </w:rPr>
        <w:t xml:space="preserve">, 1196. </w:t>
      </w:r>
      <w:hyperlink r:id="rId16">
        <w:r>
          <w:rPr>
            <w:color w:val="1F4E79"/>
            <w:u w:val="single"/>
          </w:rPr>
          <w:t>https://doi.org/10.3390/educsci16081196</w:t>
        </w:r>
      </w:hyperlink>
    </w:p>
    <w:p>
      <w:pPr>
        <w:spacing w:after="140" w:line="259" w:lineRule="auto"/>
        <w:ind w:left="504" w:hanging="504"/>
      </w:pPr>
      <w:r>
        <w:rPr>
          <w:rFonts w:ascii="Calibri" w:hAnsi="Calibri"/>
          <w:b w:val="0"/>
          <w:i w:val="0"/>
          <w:color w:val="111111"/>
          <w:sz w:val="19"/>
        </w:rPr>
        <w:t xml:space="preserve">Escalante, J., Pack, A., &amp; Barrett, A. (2023). AI-generated feedback on writing: Insights into efficacy and ENL student preference. </w:t>
      </w:r>
      <w:r>
        <w:rPr>
          <w:rFonts w:ascii="Calibri" w:hAnsi="Calibri"/>
          <w:b w:val="0"/>
          <w:i/>
          <w:color w:val="111111"/>
          <w:sz w:val="19"/>
        </w:rPr>
        <w:t>International Journal of Educational Technology in Higher Education, 20</w:t>
      </w:r>
      <w:r>
        <w:rPr>
          <w:rFonts w:ascii="Calibri" w:hAnsi="Calibri"/>
          <w:b w:val="0"/>
          <w:i w:val="0"/>
          <w:color w:val="111111"/>
          <w:sz w:val="19"/>
        </w:rPr>
        <w:t xml:space="preserve">, Article 57. </w:t>
      </w:r>
      <w:hyperlink r:id="rId17">
        <w:r>
          <w:rPr>
            <w:color w:val="1F4E79"/>
            <w:u w:val="single"/>
          </w:rPr>
          <w:t>https://doi.org/10.1186/s41239-023-00425-2</w:t>
        </w:r>
      </w:hyperlink>
    </w:p>
    <w:p>
      <w:pPr>
        <w:spacing w:after="140" w:line="259" w:lineRule="auto"/>
        <w:ind w:left="504" w:hanging="504"/>
      </w:pPr>
      <w:r>
        <w:rPr>
          <w:rFonts w:ascii="Calibri" w:hAnsi="Calibri"/>
          <w:b w:val="0"/>
          <w:i w:val="0"/>
          <w:color w:val="111111"/>
          <w:sz w:val="19"/>
        </w:rPr>
        <w:t xml:space="preserve">Glüsing, R., Fleckenstein, J., Schmidt, F. T. C., &amp; Möller, J. (2026). LLM feedback for academic writing: Effects on students' performance and engagement. </w:t>
      </w:r>
      <w:r>
        <w:rPr>
          <w:rFonts w:ascii="Calibri" w:hAnsi="Calibri"/>
          <w:b w:val="0"/>
          <w:i/>
          <w:color w:val="111111"/>
          <w:sz w:val="19"/>
        </w:rPr>
        <w:t>Contemporary Educational Psychology, 85</w:t>
      </w:r>
      <w:r>
        <w:rPr>
          <w:rFonts w:ascii="Calibri" w:hAnsi="Calibri"/>
          <w:b w:val="0"/>
          <w:i w:val="0"/>
          <w:color w:val="111111"/>
          <w:sz w:val="19"/>
        </w:rPr>
        <w:t xml:space="preserve">, 102463. </w:t>
      </w:r>
      <w:hyperlink r:id="rId18">
        <w:r>
          <w:rPr>
            <w:color w:val="1F4E79"/>
            <w:u w:val="single"/>
          </w:rPr>
          <w:t>https://doi.org/10.1016/j.cedpsych.2026.102463</w:t>
        </w:r>
      </w:hyperlink>
    </w:p>
    <w:p>
      <w:pPr>
        <w:spacing w:after="140" w:line="259" w:lineRule="auto"/>
        <w:ind w:left="504" w:hanging="504"/>
      </w:pPr>
      <w:r>
        <w:rPr>
          <w:rFonts w:ascii="Calibri" w:hAnsi="Calibri"/>
          <w:b w:val="0"/>
          <w:i w:val="0"/>
          <w:color w:val="111111"/>
          <w:sz w:val="19"/>
        </w:rPr>
        <w:t xml:space="preserve">Han, J., &amp; Li, M. (2024). Exploring ChatGPT-supported teacher feedback in the EFL context. </w:t>
      </w:r>
      <w:r>
        <w:rPr>
          <w:rFonts w:ascii="Calibri" w:hAnsi="Calibri"/>
          <w:b w:val="0"/>
          <w:i/>
          <w:color w:val="111111"/>
          <w:sz w:val="19"/>
        </w:rPr>
        <w:t>System, 126</w:t>
      </w:r>
      <w:r>
        <w:rPr>
          <w:rFonts w:ascii="Calibri" w:hAnsi="Calibri"/>
          <w:b w:val="0"/>
          <w:i w:val="0"/>
          <w:color w:val="111111"/>
          <w:sz w:val="19"/>
        </w:rPr>
        <w:t xml:space="preserve">, 103502. </w:t>
      </w:r>
      <w:hyperlink r:id="rId19">
        <w:r>
          <w:rPr>
            <w:color w:val="1F4E79"/>
            <w:u w:val="single"/>
          </w:rPr>
          <w:t>https://doi.org/10.1016/j.system.2024.103502</w:t>
        </w:r>
      </w:hyperlink>
    </w:p>
    <w:p>
      <w:pPr>
        <w:spacing w:after="140" w:line="259" w:lineRule="auto"/>
        <w:ind w:left="504" w:hanging="504"/>
      </w:pPr>
      <w:r>
        <w:rPr>
          <w:rFonts w:ascii="Calibri" w:hAnsi="Calibri"/>
          <w:b w:val="0"/>
          <w:i w:val="0"/>
          <w:color w:val="111111"/>
          <w:sz w:val="19"/>
        </w:rPr>
        <w:t xml:space="preserve">Han, F., &amp; Wang, Z. (2026). Teacher feedback and ChatGPT feedback on Chinese university EFL learners' English essay revision: A mixed-methods study. </w:t>
      </w:r>
      <w:r>
        <w:rPr>
          <w:rFonts w:ascii="Calibri" w:hAnsi="Calibri"/>
          <w:b w:val="0"/>
          <w:i/>
          <w:color w:val="111111"/>
          <w:sz w:val="19"/>
        </w:rPr>
        <w:t>Computers and Education: Artificial Intelligence, 10</w:t>
      </w:r>
      <w:r>
        <w:rPr>
          <w:rFonts w:ascii="Calibri" w:hAnsi="Calibri"/>
          <w:b w:val="0"/>
          <w:i w:val="0"/>
          <w:color w:val="111111"/>
          <w:sz w:val="19"/>
        </w:rPr>
        <w:t xml:space="preserve">, 100590. </w:t>
      </w:r>
      <w:hyperlink r:id="rId20">
        <w:r>
          <w:rPr>
            <w:color w:val="1F4E79"/>
            <w:u w:val="single"/>
          </w:rPr>
          <w:t>https://doi.org/10.1016/j.caeai.2026.100590</w:t>
        </w:r>
      </w:hyperlink>
    </w:p>
    <w:p>
      <w:pPr>
        <w:spacing w:after="140" w:line="259" w:lineRule="auto"/>
        <w:ind w:left="504" w:hanging="504"/>
      </w:pPr>
      <w:r>
        <w:rPr>
          <w:rFonts w:ascii="Calibri" w:hAnsi="Calibri"/>
          <w:b w:val="0"/>
          <w:i w:val="0"/>
          <w:color w:val="111111"/>
          <w:sz w:val="19"/>
        </w:rPr>
        <w:t xml:space="preserve">Hawkins, B., Taylor-Griffiths, D., &amp; Lodge, J. M. (2025). Summarise, elaborate, try again: Exploring the effect of feedback literacy on AI-enhanced essay writing. </w:t>
      </w:r>
      <w:r>
        <w:rPr>
          <w:rFonts w:ascii="Calibri" w:hAnsi="Calibri"/>
          <w:b w:val="0"/>
          <w:i/>
          <w:color w:val="111111"/>
          <w:sz w:val="19"/>
        </w:rPr>
        <w:t>Assessment &amp; Evaluation in Higher Education</w:t>
      </w:r>
      <w:r>
        <w:rPr>
          <w:rFonts w:ascii="Calibri" w:hAnsi="Calibri"/>
          <w:b w:val="0"/>
          <w:i w:val="0"/>
          <w:color w:val="111111"/>
          <w:sz w:val="19"/>
        </w:rPr>
        <w:t xml:space="preserve">. Advance online publication. </w:t>
      </w:r>
      <w:hyperlink r:id="rId21">
        <w:r>
          <w:rPr>
            <w:color w:val="1F4E79"/>
            <w:u w:val="single"/>
          </w:rPr>
          <w:t>https://doi.org/10.1080/02602938.2025.2492070</w:t>
        </w:r>
      </w:hyperlink>
    </w:p>
    <w:p>
      <w:pPr>
        <w:spacing w:after="140" w:line="259" w:lineRule="auto"/>
        <w:ind w:left="504" w:hanging="504"/>
      </w:pPr>
      <w:r>
        <w:rPr>
          <w:rFonts w:ascii="Calibri" w:hAnsi="Calibri"/>
          <w:b w:val="0"/>
          <w:i w:val="0"/>
          <w:color w:val="111111"/>
          <w:sz w:val="19"/>
        </w:rPr>
        <w:t xml:space="preserve">Li, A. W., &amp; Collins, P. (2026). Formative feedback across sources: Student perceptions and writing outcomes with instructor, peer, and AI-generated feedback. </w:t>
      </w:r>
      <w:r>
        <w:rPr>
          <w:rFonts w:ascii="Calibri" w:hAnsi="Calibri"/>
          <w:b w:val="0"/>
          <w:i/>
          <w:color w:val="111111"/>
          <w:sz w:val="19"/>
        </w:rPr>
        <w:t>Reading and Writing</w:t>
      </w:r>
      <w:r>
        <w:rPr>
          <w:rFonts w:ascii="Calibri" w:hAnsi="Calibri"/>
          <w:b w:val="0"/>
          <w:i w:val="0"/>
          <w:color w:val="111111"/>
          <w:sz w:val="19"/>
        </w:rPr>
        <w:t xml:space="preserve">. Advance online publication. </w:t>
      </w:r>
      <w:hyperlink r:id="rId22">
        <w:r>
          <w:rPr>
            <w:color w:val="1F4E79"/>
            <w:u w:val="single"/>
          </w:rPr>
          <w:t>https://doi.org/10.1007/s11145-026-10761-0</w:t>
        </w:r>
      </w:hyperlink>
    </w:p>
    <w:p>
      <w:pPr>
        <w:spacing w:after="140" w:line="259" w:lineRule="auto"/>
        <w:ind w:left="504" w:hanging="504"/>
      </w:pPr>
      <w:r>
        <w:rPr>
          <w:rFonts w:ascii="Calibri" w:hAnsi="Calibri"/>
          <w:b w:val="0"/>
          <w:i w:val="0"/>
          <w:color w:val="111111"/>
          <w:sz w:val="19"/>
        </w:rPr>
        <w:t xml:space="preserve">Li, M., Han, J., &amp; Taha, G. (2026). </w:t>
      </w:r>
      <w:r>
        <w:rPr>
          <w:rFonts w:ascii="Calibri" w:hAnsi="Calibri"/>
          <w:b w:val="0"/>
          <w:i/>
          <w:color w:val="111111"/>
          <w:sz w:val="19"/>
        </w:rPr>
        <w:t>Generative AI for second language writing feedback, assessment, and instruction</w:t>
      </w:r>
      <w:r>
        <w:rPr>
          <w:rFonts w:ascii="Calibri" w:hAnsi="Calibri"/>
          <w:b w:val="0"/>
          <w:i w:val="0"/>
          <w:color w:val="111111"/>
          <w:sz w:val="19"/>
        </w:rPr>
        <w:t xml:space="preserve">. Cambridge University Press. </w:t>
      </w:r>
      <w:hyperlink r:id="rId23">
        <w:r>
          <w:rPr>
            <w:color w:val="1F4E79"/>
            <w:u w:val="single"/>
          </w:rPr>
          <w:t>https://doi.org/10.1017/9781009657334</w:t>
        </w:r>
      </w:hyperlink>
    </w:p>
    <w:p>
      <w:pPr>
        <w:spacing w:after="140" w:line="259" w:lineRule="auto"/>
        <w:ind w:left="504" w:hanging="504"/>
      </w:pPr>
      <w:r>
        <w:rPr>
          <w:rFonts w:ascii="Calibri" w:hAnsi="Calibri"/>
          <w:b w:val="0"/>
          <w:i w:val="0"/>
          <w:color w:val="111111"/>
          <w:sz w:val="19"/>
        </w:rPr>
        <w:t xml:space="preserve">Lo, N., Chan, S., &amp; Wong, A. (2025). Evaluating teacher, AI, and hybrid feedback in English language learning: Impact on student motivation, quality, and performance in Hong Kong. </w:t>
      </w:r>
      <w:r>
        <w:rPr>
          <w:rFonts w:ascii="Calibri" w:hAnsi="Calibri"/>
          <w:b w:val="0"/>
          <w:i/>
          <w:color w:val="111111"/>
          <w:sz w:val="19"/>
        </w:rPr>
        <w:t>SAGE Open, 15(3)</w:t>
      </w:r>
      <w:r>
        <w:rPr>
          <w:rFonts w:ascii="Calibri" w:hAnsi="Calibri"/>
          <w:b w:val="0"/>
          <w:i w:val="0"/>
          <w:color w:val="111111"/>
          <w:sz w:val="19"/>
        </w:rPr>
        <w:t xml:space="preserve">. </w:t>
      </w:r>
      <w:hyperlink r:id="rId24">
        <w:r>
          <w:rPr>
            <w:color w:val="1F4E79"/>
            <w:u w:val="single"/>
          </w:rPr>
          <w:t>https://doi.org/10.1177/21582440251352907</w:t>
        </w:r>
      </w:hyperlink>
    </w:p>
    <w:p>
      <w:pPr>
        <w:spacing w:after="140" w:line="259" w:lineRule="auto"/>
        <w:ind w:left="504" w:hanging="504"/>
      </w:pPr>
      <w:r>
        <w:rPr>
          <w:rFonts w:ascii="Calibri" w:hAnsi="Calibri"/>
          <w:b w:val="0"/>
          <w:i w:val="0"/>
          <w:color w:val="111111"/>
          <w:sz w:val="19"/>
        </w:rPr>
        <w:t xml:space="preserve">Lu, X., Ju, K. P., Dudley, M., Sano, L., &amp; Wang, X. (2026). AI-mediated feedback improves student revisions: A randomized trial with FeedbackWriter in a large undergraduate course. In </w:t>
      </w:r>
      <w:r>
        <w:rPr>
          <w:rFonts w:ascii="Calibri" w:hAnsi="Calibri"/>
          <w:b w:val="0"/>
          <w:i/>
          <w:color w:val="111111"/>
          <w:sz w:val="19"/>
        </w:rPr>
        <w:t>Proceedings of the 2026 CHI Conference on Human Factors in Computing Systems</w:t>
      </w:r>
      <w:r>
        <w:rPr>
          <w:rFonts w:ascii="Calibri" w:hAnsi="Calibri"/>
          <w:b w:val="0"/>
          <w:i w:val="0"/>
          <w:color w:val="111111"/>
          <w:sz w:val="19"/>
        </w:rPr>
        <w:t xml:space="preserve">. Association for Computing Machinery. </w:t>
      </w:r>
      <w:hyperlink r:id="rId25">
        <w:r>
          <w:rPr>
            <w:color w:val="1F4E79"/>
            <w:u w:val="single"/>
          </w:rPr>
          <w:t>https://doi.org/10.1145/3772318.3791121</w:t>
        </w:r>
      </w:hyperlink>
    </w:p>
    <w:p>
      <w:pPr>
        <w:spacing w:after="140" w:line="259" w:lineRule="auto"/>
        <w:ind w:left="504" w:hanging="504"/>
      </w:pPr>
      <w:r>
        <w:rPr>
          <w:rFonts w:ascii="Calibri" w:hAnsi="Calibri"/>
          <w:b w:val="0"/>
          <w:i w:val="0"/>
          <w:color w:val="111111"/>
          <w:sz w:val="19"/>
        </w:rPr>
        <w:t xml:space="preserve">Mahapatra, S. K. (2024). Impact of ChatGPT on ESL students' academic writing skills: A mixed methods intervention study. </w:t>
      </w:r>
      <w:r>
        <w:rPr>
          <w:rFonts w:ascii="Calibri" w:hAnsi="Calibri"/>
          <w:b w:val="0"/>
          <w:i/>
          <w:color w:val="111111"/>
          <w:sz w:val="19"/>
        </w:rPr>
        <w:t>Smart Learning Environments, 11</w:t>
      </w:r>
      <w:r>
        <w:rPr>
          <w:rFonts w:ascii="Calibri" w:hAnsi="Calibri"/>
          <w:b w:val="0"/>
          <w:i w:val="0"/>
          <w:color w:val="111111"/>
          <w:sz w:val="19"/>
        </w:rPr>
        <w:t xml:space="preserve">, Article 9. </w:t>
      </w:r>
      <w:hyperlink r:id="rId26">
        <w:r>
          <w:rPr>
            <w:color w:val="1F4E79"/>
            <w:u w:val="single"/>
          </w:rPr>
          <w:t>https://doi.org/10.1186/s40561-024-00295-9</w:t>
        </w:r>
      </w:hyperlink>
    </w:p>
    <w:p>
      <w:pPr>
        <w:spacing w:after="140" w:line="259" w:lineRule="auto"/>
        <w:ind w:left="504" w:hanging="504"/>
      </w:pPr>
      <w:r>
        <w:rPr>
          <w:rFonts w:ascii="Calibri" w:hAnsi="Calibri"/>
          <w:b w:val="0"/>
          <w:i w:val="0"/>
          <w:color w:val="111111"/>
          <w:sz w:val="19"/>
        </w:rPr>
        <w:t xml:space="preserve">Mujeeb, N., Lodhi, M. A., Ali, A., Mashwani, W. K., Mostafa, S. M., &amp; Ahmadini, A. A. H. (2026). Beyond red ink: AI feedback and ESL academic writing development in higher education. </w:t>
      </w:r>
      <w:r>
        <w:rPr>
          <w:rFonts w:ascii="Calibri" w:hAnsi="Calibri"/>
          <w:b w:val="0"/>
          <w:i/>
          <w:color w:val="111111"/>
          <w:sz w:val="19"/>
        </w:rPr>
        <w:t>Language Testing in Asia, 16</w:t>
      </w:r>
      <w:r>
        <w:rPr>
          <w:rFonts w:ascii="Calibri" w:hAnsi="Calibri"/>
          <w:b w:val="0"/>
          <w:i w:val="0"/>
          <w:color w:val="111111"/>
          <w:sz w:val="19"/>
        </w:rPr>
        <w:t xml:space="preserve">, Article 24. </w:t>
      </w:r>
      <w:hyperlink r:id="rId27">
        <w:r>
          <w:rPr>
            <w:color w:val="1F4E79"/>
            <w:u w:val="single"/>
          </w:rPr>
          <w:t>https://doi.org/10.1186/s40468-026-00442-8</w:t>
        </w:r>
      </w:hyperlink>
    </w:p>
    <w:p>
      <w:pPr>
        <w:spacing w:after="140" w:line="259" w:lineRule="auto"/>
        <w:ind w:left="504" w:hanging="504"/>
      </w:pPr>
      <w:r>
        <w:rPr>
          <w:rFonts w:ascii="Calibri" w:hAnsi="Calibri"/>
          <w:b w:val="0"/>
          <w:i w:val="0"/>
          <w:color w:val="111111"/>
          <w:sz w:val="19"/>
        </w:rPr>
        <w:t xml:space="preserve">Song, C., &amp; Song, Y. (2023). Enhancing academic writing skills and motivation: Assessing the efficacy of ChatGPT in AI-assisted language learning for EFL students. </w:t>
      </w:r>
      <w:r>
        <w:rPr>
          <w:rFonts w:ascii="Calibri" w:hAnsi="Calibri"/>
          <w:b w:val="0"/>
          <w:i/>
          <w:color w:val="111111"/>
          <w:sz w:val="19"/>
        </w:rPr>
        <w:t>Frontiers in Psychology, 14</w:t>
      </w:r>
      <w:r>
        <w:rPr>
          <w:rFonts w:ascii="Calibri" w:hAnsi="Calibri"/>
          <w:b w:val="0"/>
          <w:i w:val="0"/>
          <w:color w:val="111111"/>
          <w:sz w:val="19"/>
        </w:rPr>
        <w:t xml:space="preserve">, 1260843. </w:t>
      </w:r>
      <w:hyperlink r:id="rId28">
        <w:r>
          <w:rPr>
            <w:color w:val="1F4E79"/>
            <w:u w:val="single"/>
          </w:rPr>
          <w:t>https://doi.org/10.3389/fpsyg.2023.1260843</w:t>
        </w:r>
      </w:hyperlink>
    </w:p>
    <w:p>
      <w:pPr>
        <w:spacing w:after="140" w:line="259" w:lineRule="auto"/>
        <w:ind w:left="504" w:hanging="504"/>
      </w:pPr>
      <w:r>
        <w:rPr>
          <w:rFonts w:ascii="Calibri" w:hAnsi="Calibri"/>
          <w:b w:val="0"/>
          <w:i w:val="0"/>
          <w:color w:val="111111"/>
          <w:sz w:val="19"/>
        </w:rPr>
        <w:t xml:space="preserve">Song, C., &amp; Song, Y. (2026). Correction: Enhancing academic writing skills and motivation: Assessing the efficacy of ChatGPT in AI-assisted language learning for EFL students. </w:t>
      </w:r>
      <w:r>
        <w:rPr>
          <w:rFonts w:ascii="Calibri" w:hAnsi="Calibri"/>
          <w:b w:val="0"/>
          <w:i/>
          <w:color w:val="111111"/>
          <w:sz w:val="19"/>
        </w:rPr>
        <w:t>Frontiers in Psychology, 17</w:t>
      </w:r>
      <w:r>
        <w:rPr>
          <w:rFonts w:ascii="Calibri" w:hAnsi="Calibri"/>
          <w:b w:val="0"/>
          <w:i w:val="0"/>
          <w:color w:val="111111"/>
          <w:sz w:val="19"/>
        </w:rPr>
        <w:t xml:space="preserve">, 1917101. </w:t>
      </w:r>
      <w:hyperlink r:id="rId29">
        <w:r>
          <w:rPr>
            <w:color w:val="1F4E79"/>
            <w:u w:val="single"/>
          </w:rPr>
          <w:t>https://doi.org/10.3389/fpsyg.2026.1917101</w:t>
        </w:r>
      </w:hyperlink>
    </w:p>
    <w:p>
      <w:pPr>
        <w:spacing w:after="140" w:line="259" w:lineRule="auto"/>
        <w:ind w:left="504" w:hanging="504"/>
      </w:pPr>
      <w:r>
        <w:rPr>
          <w:rFonts w:ascii="Calibri" w:hAnsi="Calibri"/>
          <w:b w:val="0"/>
          <w:i w:val="0"/>
          <w:color w:val="111111"/>
          <w:sz w:val="19"/>
        </w:rPr>
        <w:t xml:space="preserve">Wiboolyasarin, W., Wiboolyasarin, K., Suwanwihok, K., Jinowat, N., &amp; Muenjanchoey, R. (2024). Synergizing collaborative writing and AI feedback: An investigation into enhancing L2 writing proficiency in wiki-based environments. </w:t>
      </w:r>
      <w:r>
        <w:rPr>
          <w:rFonts w:ascii="Calibri" w:hAnsi="Calibri"/>
          <w:b w:val="0"/>
          <w:i/>
          <w:color w:val="111111"/>
          <w:sz w:val="19"/>
        </w:rPr>
        <w:t>Computers and Education: Artificial Intelligence, 6</w:t>
      </w:r>
      <w:r>
        <w:rPr>
          <w:rFonts w:ascii="Calibri" w:hAnsi="Calibri"/>
          <w:b w:val="0"/>
          <w:i w:val="0"/>
          <w:color w:val="111111"/>
          <w:sz w:val="19"/>
        </w:rPr>
        <w:t xml:space="preserve">, 100228. </w:t>
      </w:r>
      <w:hyperlink r:id="rId30">
        <w:r>
          <w:rPr>
            <w:color w:val="1F4E79"/>
            <w:u w:val="single"/>
          </w:rPr>
          <w:t>https://doi.org/10.1016/j.caeai.2024.100228</w:t>
        </w:r>
      </w:hyperlink>
    </w:p>
    <w:p>
      <w:pPr>
        <w:pStyle w:val="Heading1"/>
        <w:keepNext/>
        <w:keepLines/>
      </w:pPr>
      <w:r>
        <w:t>10. Final Traceability Check</w:t>
      </w:r>
    </w:p>
    <w:p>
      <w:pPr>
        <w:spacing w:after="120" w:line="281" w:lineRule="auto"/>
      </w:pPr>
      <w:r>
        <w:rPr>
          <w:rFonts w:ascii="Calibri" w:hAnsi="Calibri"/>
          <w:b w:val="0"/>
          <w:i w:val="0"/>
          <w:color w:val="111111"/>
          <w:sz w:val="22"/>
        </w:rPr>
        <w:t>All major factual and interpretive claims in this brief were checked against sources whose relevant methods and results were opened and reviewed. The claim-to-evidence ledger identifies the supporting source, the kind of support, and the main limitation. No search snippet or AI-generated summary was used as substantive evidence. Han and Wang (2026) is retained only as an explicitly unverified lead because the accessible material did not expose enough full methods and results for independent claim checking.</w:t>
      </w:r>
    </w:p>
    <w:p>
      <w:pPr>
        <w:spacing w:after="120" w:line="281" w:lineRule="auto"/>
      </w:pPr>
      <w:r>
        <w:rPr>
          <w:rFonts w:ascii="Calibri" w:hAnsi="Calibri"/>
          <w:b w:val="0"/>
          <w:i w:val="0"/>
          <w:color w:val="111111"/>
          <w:sz w:val="22"/>
        </w:rPr>
        <w:t>Bibliographic identity and persistent links were checked against publisher, ERIC, Cambridge, ACM/arXiv, or DOI records. Publisher pages were inspected for visible corrections and version information. Song and Song (2023) has a July 22, 2026 correction, which was opened and incorporated. No other correction, expression of concern, or retraction notice was observed on the reviewed publisher records as of August 27, 2026. This is not a comprehensive search of every proprietary retraction database.</w:t>
      </w:r>
    </w:p>
    <w:p>
      <w:pPr>
        <w:spacing w:after="120" w:line="281" w:lineRule="auto"/>
      </w:pPr>
      <w:r>
        <w:rPr>
          <w:rFonts w:ascii="Calibri" w:hAnsi="Calibri"/>
          <w:b w:val="0"/>
          <w:i w:val="0"/>
          <w:color w:val="111111"/>
          <w:sz w:val="22"/>
        </w:rPr>
        <w:t>Verification limits: This review had no institutional database access. Some 2026 records were discoverable but could not be fully examined, including Liu, Shi, and Li (2026) on feedback literacy; they were not used for central claims. Search coverage is English-language and open-web biased. The review does not establish exhaustive retrieval, publication-bias adjustment, or formal risk-of-bias scores.</w:t>
      </w:r>
    </w:p>
    <w:p>
      <w:pPr>
        <w:pStyle w:val="Heading1"/>
        <w:keepNext/>
        <w:keepLines/>
      </w:pPr>
      <w:r>
        <w:t>11. Most Valuable Next Research Step</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4F6F9"/>
          </w:tcPr>
          <w:p>
            <w:pPr>
              <w:spacing w:after="60"/>
            </w:pPr>
            <w:r>
              <w:rPr>
                <w:rFonts w:ascii="Calibri" w:hAnsi="Calibri"/>
                <w:b/>
                <w:i w:val="0"/>
                <w:color w:val="8A6500"/>
                <w:sz w:val="22"/>
              </w:rPr>
              <w:t xml:space="preserve">Recommendation. </w:t>
            </w:r>
            <w:r>
              <w:rPr>
                <w:rFonts w:ascii="Calibri" w:hAnsi="Calibri"/>
                <w:b w:val="0"/>
                <w:i w:val="0"/>
                <w:color w:val="111111"/>
                <w:sz w:val="22"/>
              </w:rPr>
              <w:t>Run a targeted citation-and-method audit for studies that include a novel or delayed unaided writing task, then build the new study around a preregistered hybrid-feedback factorial design with a required accept/modify/reject decision log. The human decision point is whether the intended article will be an empirical study or a conceptual/narrative synthesis; that choice determines whether the next work should prioritize protocol design and ethics review or a more reproducible database search.</w:t>
            </w:r>
          </w:p>
        </w:tc>
      </w:tr>
    </w:tbl>
    <w:p>
      <w:pPr>
        <w:spacing w:after="40"/>
      </w:pPr>
    </w:p>
    <w:sectPr w:rsidR="00FC693F" w:rsidRPr="0006063C" w:rsidSect="00034616">
      <w:headerReference w:type="default" r:id="rId13"/>
      <w:footerReference w:type="default" r:id="rId14"/>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7"/>
      </w:rPr>
      <w:t>PRELIMINARY RESEARCH BRIEF  |  GENERATIVE AI FEEDBACK AND UNDERGRADUATE WRITING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B6573"/>
        <w:sz w:val="17"/>
      </w:rPr>
      <w:t>PRELIMINARY RESEARCH BRIEF  |  COMPARATIVE STUDY MATRIX</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B6573"/>
        <w:sz w:val="17"/>
      </w:rPr>
      <w:t>PRELIMINARY RESEARCH BRIEF  |  EVIDENCE AND TRACEABILITY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1"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1"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1"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https://files.eric.ed.gov/fulltext/EJ1459877.pdf" TargetMode="External"/><Relationship Id="rId16" Type="http://schemas.openxmlformats.org/officeDocument/2006/relationships/hyperlink" Target="https://doi.org/10.3390/educsci16081196" TargetMode="External"/><Relationship Id="rId17" Type="http://schemas.openxmlformats.org/officeDocument/2006/relationships/hyperlink" Target="https://doi.org/10.1186/s41239-023-00425-2" TargetMode="External"/><Relationship Id="rId18" Type="http://schemas.openxmlformats.org/officeDocument/2006/relationships/hyperlink" Target="https://doi.org/10.1016/j.cedpsych.2026.102463" TargetMode="External"/><Relationship Id="rId19" Type="http://schemas.openxmlformats.org/officeDocument/2006/relationships/hyperlink" Target="https://doi.org/10.1016/j.system.2024.103502" TargetMode="External"/><Relationship Id="rId20" Type="http://schemas.openxmlformats.org/officeDocument/2006/relationships/hyperlink" Target="https://doi.org/10.1016/j.caeai.2026.100590" TargetMode="External"/><Relationship Id="rId21" Type="http://schemas.openxmlformats.org/officeDocument/2006/relationships/hyperlink" Target="https://doi.org/10.1080/02602938.2025.2492070" TargetMode="External"/><Relationship Id="rId22" Type="http://schemas.openxmlformats.org/officeDocument/2006/relationships/hyperlink" Target="https://doi.org/10.1007/s11145-026-10761-0" TargetMode="External"/><Relationship Id="rId23" Type="http://schemas.openxmlformats.org/officeDocument/2006/relationships/hyperlink" Target="https://doi.org/10.1017/9781009657334" TargetMode="External"/><Relationship Id="rId24" Type="http://schemas.openxmlformats.org/officeDocument/2006/relationships/hyperlink" Target="https://doi.org/10.1177/21582440251352907" TargetMode="External"/><Relationship Id="rId25" Type="http://schemas.openxmlformats.org/officeDocument/2006/relationships/hyperlink" Target="https://doi.org/10.1145/3772318.3791121" TargetMode="External"/><Relationship Id="rId26" Type="http://schemas.openxmlformats.org/officeDocument/2006/relationships/hyperlink" Target="https://doi.org/10.1186/s40561-024-00295-9" TargetMode="External"/><Relationship Id="rId27" Type="http://schemas.openxmlformats.org/officeDocument/2006/relationships/hyperlink" Target="https://doi.org/10.1186/s40468-026-00442-8" TargetMode="External"/><Relationship Id="rId28" Type="http://schemas.openxmlformats.org/officeDocument/2006/relationships/hyperlink" Target="https://doi.org/10.3389/fpsyg.2023.1260843" TargetMode="External"/><Relationship Id="rId29" Type="http://schemas.openxmlformats.org/officeDocument/2006/relationships/hyperlink" Target="https://doi.org/10.3389/fpsyg.2026.1917101" TargetMode="External"/><Relationship Id="rId30" Type="http://schemas.openxmlformats.org/officeDocument/2006/relationships/hyperlink" Target="https://doi.org/10.1016/j.caeai.2024.1002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Feedback and Undergraduate Writing: Preliminary Research Brief</dc:title>
  <dc:subject>Evidence review of revision, feedback uptake, instructor involvement, and learning transfer</dc:subject>
  <dc:creator>My Research Assistant</dc:creator>
  <cp:keywords>generative AI, writing feedback, undergraduate writing, revision, feedback literacy, learning transfer</cp:keywords>
  <dc:description>generated by python-docx</dc:description>
  <cp:lastModifiedBy/>
  <cp:revision>1</cp:revision>
  <dcterms:created xsi:type="dcterms:W3CDTF">2013-12-23T23:15:00Z</dcterms:created>
  <dcterms:modified xsi:type="dcterms:W3CDTF">2013-12-23T23:15:00Z</dcterms:modified>
  <cp:category/>
</cp:coreProperties>
</file>