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ase-brief"/>
    <w:p>
      <w:pPr>
        <w:pStyle w:val="Heading1"/>
      </w:pPr>
      <w:r>
        <w:t xml:space="preserve">Case Brief</w:t>
      </w:r>
    </w:p>
    <w:p>
      <w:pPr>
        <w:pStyle w:val="FirstParagraph"/>
      </w:pPr>
      <w:r>
        <w:rPr>
          <w:b/>
          <w:bCs/>
        </w:rPr>
        <w:t xml:space="preserve">Case:</w:t>
      </w:r>
      <w:r>
        <w:t xml:space="preserve"> </w:t>
      </w:r>
      <w:r>
        <w:rPr>
          <w:i/>
          <w:iCs/>
        </w:rPr>
        <w:t xml:space="preserve">Daniels v. Metro Transit Authority</w:t>
      </w:r>
      <w:r>
        <w:br/>
      </w:r>
      <w:r>
        <w:rPr>
          <w:b/>
          <w:bCs/>
        </w:rPr>
        <w:t xml:space="preserve">Court:</w:t>
      </w:r>
      <w:r>
        <w:t xml:space="preserve"> </w:t>
      </w:r>
      <w:r>
        <w:t xml:space="preserve">California Court of Appeal</w:t>
      </w:r>
      <w:r>
        <w:br/>
      </w:r>
      <w:r>
        <w:rPr>
          <w:b/>
          <w:bCs/>
        </w:rPr>
        <w:t xml:space="preserve">Year:</w:t>
      </w:r>
      <w:r>
        <w:t xml:space="preserve"> </w:t>
      </w:r>
      <w:r>
        <w:t xml:space="preserve">2021</w:t>
      </w:r>
    </w:p>
    <w:bookmarkStart w:id="9" w:name="facts"/>
    <w:p>
      <w:pPr>
        <w:pStyle w:val="Heading2"/>
      </w:pPr>
      <w:r>
        <w:t xml:space="preserve">Facts</w:t>
      </w:r>
    </w:p>
    <w:p>
      <w:pPr>
        <w:pStyle w:val="FirstParagraph"/>
      </w:pPr>
      <w:r>
        <w:t xml:space="preserve">Daniels was riding a city bus when the driver suddenly stopped to avoid hitting a bicyclist. Daniels was standing even though there were empty seats because she was preparing to get off at the next stop. She fell and broke her wrist.</w:t>
      </w:r>
    </w:p>
    <w:p>
      <w:pPr>
        <w:pStyle w:val="BodyText"/>
      </w:pPr>
      <w:r>
        <w:t xml:space="preserve">Daniels sued the Metro Transit Authority for negligence. She argued that common carriers owe passengers the highest duty of care and that the driver should have been paying more attention to the bicyclist.</w:t>
      </w:r>
    </w:p>
    <w:p>
      <w:pPr>
        <w:pStyle w:val="BodyText"/>
      </w:pPr>
      <w:r>
        <w:t xml:space="preserve">The Transit Authority argued that the driver had no realistic alternative because the bicyclist unexpectedly entered the roadway.</w:t>
      </w:r>
    </w:p>
    <w:bookmarkEnd w:id="9"/>
    <w:bookmarkStart w:id="10" w:name="procedural-history"/>
    <w:p>
      <w:pPr>
        <w:pStyle w:val="Heading2"/>
      </w:pPr>
      <w:r>
        <w:t xml:space="preserve">Procedural History</w:t>
      </w:r>
    </w:p>
    <w:p>
      <w:pPr>
        <w:pStyle w:val="FirstParagraph"/>
      </w:pPr>
      <w:r>
        <w:t xml:space="preserve">The trial court granted summary judgment for the Transit Authority because it decided that the driver acted reasonably in an emergency. Daniels appealed.</w:t>
      </w:r>
    </w:p>
    <w:bookmarkEnd w:id="10"/>
    <w:bookmarkStart w:id="11" w:name="issue"/>
    <w:p>
      <w:pPr>
        <w:pStyle w:val="Heading2"/>
      </w:pPr>
      <w:r>
        <w:t xml:space="preserve">Issue</w:t>
      </w:r>
    </w:p>
    <w:p>
      <w:pPr>
        <w:pStyle w:val="FirstParagraph"/>
      </w:pPr>
      <w:r>
        <w:t xml:space="preserve">Whether a bus company is negligent whenever a passenger is injured because the bus makes a sudden stop.</w:t>
      </w:r>
    </w:p>
    <w:bookmarkEnd w:id="11"/>
    <w:bookmarkStart w:id="12" w:name="rule"/>
    <w:p>
      <w:pPr>
        <w:pStyle w:val="Heading2"/>
      </w:pPr>
      <w:r>
        <w:t xml:space="preserve">Rule</w:t>
      </w:r>
    </w:p>
    <w:p>
      <w:pPr>
        <w:pStyle w:val="FirstParagraph"/>
      </w:pPr>
      <w:r>
        <w:t xml:space="preserve">Common carriers must use the “utmost care and diligence” for the safety of their passengers. Because buses are common carriers, they have a higher standard of care than ordinary drivers.</w:t>
      </w:r>
    </w:p>
    <w:p>
      <w:pPr>
        <w:pStyle w:val="BodyText"/>
      </w:pPr>
      <w:r>
        <w:t xml:space="preserve">However, the sudden-emergency doctrine protects a driver who responds reasonably to an unexpected danger that the driver did not create.</w:t>
      </w:r>
    </w:p>
    <w:bookmarkEnd w:id="12"/>
    <w:bookmarkStart w:id="13" w:name="holding"/>
    <w:p>
      <w:pPr>
        <w:pStyle w:val="Heading2"/>
      </w:pPr>
      <w:r>
        <w:t xml:space="preserve">Holding</w:t>
      </w:r>
    </w:p>
    <w:p>
      <w:pPr>
        <w:pStyle w:val="FirstParagraph"/>
      </w:pPr>
      <w:r>
        <w:t xml:space="preserve">No. The Transit Authority was not negligent because the bicyclist caused the emergency.</w:t>
      </w:r>
    </w:p>
    <w:bookmarkEnd w:id="13"/>
    <w:bookmarkStart w:id="14" w:name="reasoning"/>
    <w:p>
      <w:pPr>
        <w:pStyle w:val="Heading2"/>
      </w:pPr>
      <w:r>
        <w:t xml:space="preserve">Reasoning</w:t>
      </w:r>
    </w:p>
    <w:p>
      <w:pPr>
        <w:pStyle w:val="FirstParagraph"/>
      </w:pPr>
      <w:r>
        <w:t xml:space="preserve">The court explained that common carriers have a very high duty of care, but they are not automatically liable every time somebody gets hurt.</w:t>
      </w:r>
    </w:p>
    <w:p>
      <w:pPr>
        <w:pStyle w:val="BodyText"/>
      </w:pPr>
      <w:r>
        <w:t xml:space="preserve">The driver testified that the bicyclist came into the bus lane without warning. There was also video showing that the driver stopped almost immediately. Therefore, the court concluded that the driver did what a reasonable bus driver would do.</w:t>
      </w:r>
    </w:p>
    <w:p>
      <w:pPr>
        <w:pStyle w:val="BodyText"/>
      </w:pPr>
      <w:r>
        <w:t xml:space="preserve">The court also focused on the fact that Daniels was standing up even though seats were available. This showed that she contributed to her own injury.</w:t>
      </w:r>
    </w:p>
    <w:p>
      <w:pPr>
        <w:pStyle w:val="BodyText"/>
      </w:pPr>
      <w:r>
        <w:t xml:space="preserve">The court basically balanced the driver’s responsibility against Daniels’s responsibility and found that the driver was less at fault.</w:t>
      </w:r>
    </w:p>
    <w:p>
      <w:pPr>
        <w:pStyle w:val="BodyText"/>
      </w:pPr>
      <w:r>
        <w:t xml:space="preserve">The court also said the highest-duty standard does not mean that common carriers are insurers of passenger safety.</w:t>
      </w:r>
    </w:p>
    <w:bookmarkEnd w:id="14"/>
    <w:bookmarkStart w:id="15" w:name="disposition"/>
    <w:p>
      <w:pPr>
        <w:pStyle w:val="Heading2"/>
      </w:pPr>
      <w:r>
        <w:t xml:space="preserve">Disposition</w:t>
      </w:r>
    </w:p>
    <w:p>
      <w:pPr>
        <w:pStyle w:val="FirstParagraph"/>
      </w:pPr>
      <w:r>
        <w:t xml:space="preserve">Affirmed.</w:t>
      </w:r>
    </w:p>
    <w:bookmarkEnd w:id="15"/>
    <w:bookmarkStart w:id="16" w:name="takeaway"/>
    <w:p>
      <w:pPr>
        <w:pStyle w:val="Heading2"/>
      </w:pPr>
      <w:r>
        <w:t xml:space="preserve">Takeaway</w:t>
      </w:r>
    </w:p>
    <w:p>
      <w:pPr>
        <w:pStyle w:val="FirstParagraph"/>
      </w:pPr>
      <w:r>
        <w:t xml:space="preserve">A common carrier is normally responsible when passengers get hurt, but it will not be liable if somebody else creates an emergency. Passengers also have a responsibility to protect themselves, such as sitting down when seats are available.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