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emorandum"/>
    <w:p>
      <w:pPr>
        <w:pStyle w:val="Heading1"/>
      </w:pPr>
      <w:r>
        <w:t xml:space="preserve">Memorandum</w:t>
      </w:r>
    </w:p>
    <w:p>
      <w:pPr>
        <w:pStyle w:val="FirstParagraph"/>
      </w:pPr>
      <w:r>
        <w:rPr>
          <w:b/>
          <w:bCs/>
        </w:rPr>
        <w:t xml:space="preserve">To:</w:t>
      </w:r>
      <w:r>
        <w:t xml:space="preserve"> </w:t>
      </w:r>
      <w:r>
        <w:t xml:space="preserve">Professor David Rosen</w:t>
      </w:r>
      <w:r>
        <w:br/>
      </w:r>
      <w:r>
        <w:rPr>
          <w:b/>
          <w:bCs/>
        </w:rPr>
        <w:t xml:space="preserve">From:</w:t>
      </w:r>
      <w:r>
        <w:t xml:space="preserve"> </w:t>
      </w:r>
      <w:r>
        <w:t xml:space="preserve">Sofia Martinez</w:t>
      </w:r>
      <w:r>
        <w:br/>
      </w:r>
      <w:r>
        <w:rPr>
          <w:b/>
          <w:bCs/>
        </w:rPr>
        <w:t xml:space="preserve">Date:</w:t>
      </w:r>
      <w:r>
        <w:t xml:space="preserve"> </w:t>
      </w:r>
      <w:r>
        <w:t xml:space="preserve">November 12, 2026</w:t>
      </w:r>
      <w:r>
        <w:br/>
      </w:r>
      <w:r>
        <w:rPr>
          <w:b/>
          <w:bCs/>
        </w:rPr>
        <w:t xml:space="preserve">Re:</w:t>
      </w:r>
      <w:r>
        <w:t xml:space="preserve"> </w:t>
      </w:r>
      <w:r>
        <w:t xml:space="preserve">Lee v. Northstar Fitness — Negligent Infliction of Emotional Distress</w:t>
      </w:r>
    </w:p>
    <w:bookmarkStart w:id="9" w:name="question-presented"/>
    <w:p>
      <w:pPr>
        <w:pStyle w:val="Heading2"/>
      </w:pPr>
      <w:r>
        <w:t xml:space="preserve">Question Presented</w:t>
      </w:r>
    </w:p>
    <w:p>
      <w:pPr>
        <w:pStyle w:val="FirstParagraph"/>
      </w:pPr>
      <w:r>
        <w:t xml:space="preserve">Under California law, can Daniel Lee recover for negligent infliction of emotional distress after witnessing a gym employee negligently drop a weight that seriously injured Lee’s brother approximately thirty feet away?</w:t>
      </w:r>
    </w:p>
    <w:bookmarkEnd w:id="9"/>
    <w:bookmarkStart w:id="10" w:name="brief-answer"/>
    <w:p>
      <w:pPr>
        <w:pStyle w:val="Heading2"/>
      </w:pPr>
      <w:r>
        <w:t xml:space="preserve">Brief Answer</w:t>
      </w:r>
    </w:p>
    <w:p>
      <w:pPr>
        <w:pStyle w:val="FirstParagraph"/>
      </w:pPr>
      <w:r>
        <w:t xml:space="preserve">Probably. California permits a bystander to recover emotional-distress damages when the plaintiff is closely related to the injured person, is present at the scene and contemporaneously understands that the event is causing injury, and suffers serious emotional distress. Lee was standing in the same gym, saw the weight fall, immediately understood that his brother had been injured, and subsequently experienced nightmares and panic attacks. Although Lee was approximately thirty feet away and his view was partly obstructed, his sensory perception was likely sufficiently contemporaneous to permit recovery.</w:t>
      </w:r>
    </w:p>
    <w:bookmarkEnd w:id="10"/>
    <w:bookmarkStart w:id="11" w:name="facts"/>
    <w:p>
      <w:pPr>
        <w:pStyle w:val="Heading2"/>
      </w:pPr>
      <w:r>
        <w:t xml:space="preserve">Facts</w:t>
      </w:r>
    </w:p>
    <w:p>
      <w:pPr>
        <w:pStyle w:val="FirstParagraph"/>
      </w:pPr>
      <w:r>
        <w:t xml:space="preserve">Daniel Lee and his younger brother, Aaron, visited Northstar Fitness in Redwood City on March 8, 2026.</w:t>
      </w:r>
    </w:p>
    <w:p>
      <w:pPr>
        <w:pStyle w:val="BodyText"/>
      </w:pPr>
      <w:r>
        <w:t xml:space="preserve">Daniel was using a treadmill while Aaron exercised in a free-weight area approximately thirty feet away. A partial divider separated the cardio and weight areas, but Daniel could see portions of the weight area through gaps in the divider.</w:t>
      </w:r>
    </w:p>
    <w:p>
      <w:pPr>
        <w:pStyle w:val="BodyText"/>
      </w:pPr>
      <w:r>
        <w:t xml:space="preserve">A Northstar employee, Riley Brooks, was moving a forty-five-pound weight plate onto a storage rack. According to another gym member, Brooks was looking at a phone while lifting the plate.</w:t>
      </w:r>
    </w:p>
    <w:p>
      <w:pPr>
        <w:pStyle w:val="BodyText"/>
      </w:pPr>
      <w:r>
        <w:t xml:space="preserve">Daniel heard a loud metallic sound and looked toward the weight area. He saw the weight plate falling but could not initially see Aaron because the divider blocked part of his view. Daniel then heard Aaron scream.</w:t>
      </w:r>
    </w:p>
    <w:p>
      <w:pPr>
        <w:pStyle w:val="BodyText"/>
      </w:pPr>
      <w:r>
        <w:t xml:space="preserve">Daniel ran around the divider and saw Aaron lying on the ground with the weight plate next to his leg. Aaron suffered a compound fracture requiring surgery.</w:t>
      </w:r>
    </w:p>
    <w:p>
      <w:pPr>
        <w:pStyle w:val="BodyText"/>
      </w:pPr>
      <w:r>
        <w:t xml:space="preserve">Daniel says that when he saw the plate falling, he “knew someone was going to get badly hurt,” but he did not know that Aaron was the person in danger until he heard Aaron scream.</w:t>
      </w:r>
    </w:p>
    <w:p>
      <w:pPr>
        <w:pStyle w:val="BodyText"/>
      </w:pPr>
      <w:r>
        <w:t xml:space="preserve">In the following weeks, Daniel experienced nightmares, difficulty concentrating, and occasional panic attacks. He missed three days of work but did not seek professional treatment.</w:t>
      </w:r>
    </w:p>
    <w:bookmarkEnd w:id="11"/>
    <w:bookmarkStart w:id="15" w:name="discussion"/>
    <w:p>
      <w:pPr>
        <w:pStyle w:val="Heading2"/>
      </w:pPr>
      <w:r>
        <w:t xml:space="preserve">Discussion</w:t>
      </w:r>
    </w:p>
    <w:p>
      <w:pPr>
        <w:pStyle w:val="FirstParagraph"/>
      </w:pPr>
      <w:r>
        <w:t xml:space="preserve">California recognizes a cause of action for negligent infliction of emotional distress by a bystander. The principal case is</w:t>
      </w:r>
      <w:r>
        <w:t xml:space="preserve"> </w:t>
      </w:r>
      <w:r>
        <w:rPr>
          <w:i/>
          <w:iCs/>
        </w:rPr>
        <w:t xml:space="preserve">Thing v. La Chusa</w:t>
      </w:r>
      <w:r>
        <w:t xml:space="preserve">, 48 Cal. 3d 644 (1989).</w:t>
      </w:r>
    </w:p>
    <w:p>
      <w:pPr>
        <w:pStyle w:val="BodyText"/>
      </w:pPr>
      <w:r>
        <w:t xml:space="preserve">Under</w:t>
      </w:r>
      <w:r>
        <w:t xml:space="preserve"> </w:t>
      </w:r>
      <w:r>
        <w:rPr>
          <w:i/>
          <w:iCs/>
        </w:rPr>
        <w:t xml:space="preserve">Thing</w:t>
      </w:r>
      <w:r>
        <w:t xml:space="preserve">, a plaintiff may recover when the plaintiff: (1) is closely related to the victim; (2) is present at the scene and is aware that the event is causing injury to the victim; and (3) suffers serious emotional distress beyond that of a disinterested witness.</w:t>
      </w:r>
      <w:r>
        <w:t xml:space="preserve"> </w:t>
      </w:r>
      <w:r>
        <w:rPr>
          <w:i/>
          <w:iCs/>
        </w:rPr>
        <w:t xml:space="preserve">Id.</w:t>
      </w:r>
      <w:r>
        <w:t xml:space="preserve"> </w:t>
      </w:r>
      <w:r>
        <w:t xml:space="preserve">at 667–68.</w:t>
      </w:r>
    </w:p>
    <w:p>
      <w:pPr>
        <w:pStyle w:val="BodyText"/>
      </w:pPr>
      <w:r>
        <w:t xml:space="preserve">Daniel satisfies the first and third requirements. The principal issue is whether he contemporaneously perceived Aaron’s injury.</w:t>
      </w:r>
    </w:p>
    <w:bookmarkStart w:id="12" w:name="i.-daniel-was-closely-related-to-aaron"/>
    <w:p>
      <w:pPr>
        <w:pStyle w:val="Heading3"/>
      </w:pPr>
      <w:r>
        <w:t xml:space="preserve">I. Daniel Was Closely Related to Aaron</w:t>
      </w:r>
    </w:p>
    <w:p>
      <w:pPr>
        <w:pStyle w:val="FirstParagraph"/>
      </w:pPr>
      <w:r>
        <w:t xml:space="preserve">Daniel is Aaron’s brother. Siblings are close relatives for purposes of emotional-distress recovery.</w:t>
      </w:r>
    </w:p>
    <w:p>
      <w:pPr>
        <w:pStyle w:val="BodyText"/>
      </w:pPr>
      <w:r>
        <w:t xml:space="preserve">In</w:t>
      </w:r>
      <w:r>
        <w:t xml:space="preserve"> </w:t>
      </w:r>
      <w:r>
        <w:rPr>
          <w:i/>
          <w:iCs/>
        </w:rPr>
        <w:t xml:space="preserve">Elden v. Sheldon</w:t>
      </w:r>
      <w:r>
        <w:t xml:space="preserve">, the California Supreme Court emphasized the importance of limiting bystander recovery to persons with sufficiently close familial relationships. 46 Cal. 3d 267, 277 (1988). Because brothers are immediate family members, Daniel satisfies this requirement.</w:t>
      </w:r>
    </w:p>
    <w:p>
      <w:pPr>
        <w:pStyle w:val="BodyText"/>
      </w:pPr>
      <w:r>
        <w:t xml:space="preserve">This element is therefore not disputed.</w:t>
      </w:r>
    </w:p>
    <w:bookmarkEnd w:id="12"/>
    <w:bookmarkStart w:id="13" w:name="X26ba30f6249abc062931eebeb01303b521b4d3c"/>
    <w:p>
      <w:pPr>
        <w:pStyle w:val="Heading3"/>
      </w:pPr>
      <w:r>
        <w:t xml:space="preserve">II. Daniel Probably Contemporaneously Perceived the Accident</w:t>
      </w:r>
    </w:p>
    <w:p>
      <w:pPr>
        <w:pStyle w:val="FirstParagraph"/>
      </w:pPr>
      <w:r>
        <w:t xml:space="preserve">The contemporaneous-perception requirement prevents recovery when a plaintiff learns about an injury only after it has occurred.</w:t>
      </w:r>
    </w:p>
    <w:p>
      <w:pPr>
        <w:pStyle w:val="BodyText"/>
      </w:pPr>
      <w:r>
        <w:t xml:space="preserve">In</w:t>
      </w:r>
      <w:r>
        <w:t xml:space="preserve"> </w:t>
      </w:r>
      <w:r>
        <w:rPr>
          <w:i/>
          <w:iCs/>
        </w:rPr>
        <w:t xml:space="preserve">Bird v. Saenz</w:t>
      </w:r>
      <w:r>
        <w:t xml:space="preserve">, 28 Cal. 4th 910 (2002), the plaintiffs could not recover where they did not perceive the negligent act that caused the injury and became aware of the injury only after seeing its consequences. The court explained that a plaintiff must have a sensory awareness of the causal connection between the defendant’s conduct and the victim’s injury.</w:t>
      </w:r>
      <w:r>
        <w:t xml:space="preserve"> </w:t>
      </w:r>
      <w:r>
        <w:rPr>
          <w:i/>
          <w:iCs/>
        </w:rPr>
        <w:t xml:space="preserve">Id.</w:t>
      </w:r>
      <w:r>
        <w:t xml:space="preserve"> </w:t>
      </w:r>
      <w:r>
        <w:t xml:space="preserve">at 916.</w:t>
      </w:r>
    </w:p>
    <w:p>
      <w:pPr>
        <w:pStyle w:val="BodyText"/>
      </w:pPr>
      <w:r>
        <w:t xml:space="preserve">Daniel’s situation is different because he was physically present when the accident occurred. He saw the weight plate falling and heard Aaron scream immediately afterward. The entire sequence happened in only a few seconds.</w:t>
      </w:r>
    </w:p>
    <w:p>
      <w:pPr>
        <w:pStyle w:val="BodyText"/>
      </w:pPr>
      <w:r>
        <w:t xml:space="preserve">A California Court of Appeal case,</w:t>
      </w:r>
      <w:r>
        <w:t xml:space="preserve"> </w:t>
      </w:r>
      <w:r>
        <w:rPr>
          <w:i/>
          <w:iCs/>
        </w:rPr>
        <w:t xml:space="preserve">Mendez v. Western Recreation, Inc.</w:t>
      </w:r>
      <w:r>
        <w:t xml:space="preserve">, 241 Cal. App. 4th 1365, 1376 (2015), held that a mother sufficiently perceived an accident where she heard a crash, saw an object falling, and recognized her son’s voice immediately afterward, even though she did not actually see the object strike him.</w:t>
      </w:r>
    </w:p>
    <w:p>
      <w:pPr>
        <w:pStyle w:val="BodyText"/>
      </w:pPr>
      <w:r>
        <w:rPr>
          <w:i/>
          <w:iCs/>
        </w:rPr>
        <w:t xml:space="preserve">Mendez</w:t>
      </w:r>
      <w:r>
        <w:t xml:space="preserve"> </w:t>
      </w:r>
      <w:r>
        <w:t xml:space="preserve">strongly supports Daniel’s claim. Like the mother there, Daniel perceived several parts of the event almost simultaneously. Requiring him to visually observe the precise moment the weight hit Aaron would impose an unrealistic standard.</w:t>
      </w:r>
    </w:p>
    <w:p>
      <w:pPr>
        <w:pStyle w:val="BodyText"/>
      </w:pPr>
      <w:r>
        <w:t xml:space="preserve">Northstar will argue that Daniel did not know Aaron was involved when he first saw the weight fall. Daniel admitted that he only “knew someone was going to get badly hurt.” This matters because</w:t>
      </w:r>
      <w:r>
        <w:t xml:space="preserve"> </w:t>
      </w:r>
      <w:r>
        <w:rPr>
          <w:i/>
          <w:iCs/>
        </w:rPr>
        <w:t xml:space="preserve">Thing</w:t>
      </w:r>
      <w:r>
        <w:t xml:space="preserve"> </w:t>
      </w:r>
      <w:r>
        <w:t xml:space="preserve">requires awareness that the event is causing injury to a close relative, not just awareness that an accident is occurring.</w:t>
      </w:r>
    </w:p>
    <w:p>
      <w:pPr>
        <w:pStyle w:val="BodyText"/>
      </w:pPr>
      <w:r>
        <w:t xml:space="preserve">However, Daniel heard Aaron scream almost immediately. Because the scream was part of the same continuous event, a court is likely to treat the perception as contemporaneous.</w:t>
      </w:r>
    </w:p>
    <w:p>
      <w:pPr>
        <w:pStyle w:val="BodyText"/>
      </w:pPr>
      <w:r>
        <w:t xml:space="preserve">The thirty-foot distance should not change this conclusion. Courts focus more on sensory perception than physical distance. Daniel was inside the same room and reached Aaron within seconds.</w:t>
      </w:r>
    </w:p>
    <w:bookmarkEnd w:id="13"/>
    <w:bookmarkStart w:id="14" w:name="X8d42aeb28cbf8f530b6d3bdc97a8427f7efce67"/>
    <w:p>
      <w:pPr>
        <w:pStyle w:val="Heading3"/>
      </w:pPr>
      <w:r>
        <w:t xml:space="preserve">III. Daniel Suffered Serious Emotional Distress</w:t>
      </w:r>
    </w:p>
    <w:p>
      <w:pPr>
        <w:pStyle w:val="FirstParagraph"/>
      </w:pPr>
      <w:r>
        <w:t xml:space="preserve">Daniel also experienced sufficiently serious emotional distress.</w:t>
      </w:r>
    </w:p>
    <w:p>
      <w:pPr>
        <w:pStyle w:val="BodyText"/>
      </w:pPr>
      <w:r>
        <w:t xml:space="preserve">A plaintiff’s distress must exceed what would be anticipated in a disinterested witness.</w:t>
      </w:r>
      <w:r>
        <w:t xml:space="preserve"> </w:t>
      </w:r>
      <w:r>
        <w:rPr>
          <w:i/>
          <w:iCs/>
        </w:rPr>
        <w:t xml:space="preserve">Thing</w:t>
      </w:r>
      <w:r>
        <w:t xml:space="preserve">, 48 Cal. 3d at 668.</w:t>
      </w:r>
    </w:p>
    <w:p>
      <w:pPr>
        <w:pStyle w:val="BodyText"/>
      </w:pPr>
      <w:r>
        <w:t xml:space="preserve">Daniel had nightmares, difficulty concentrating, panic attacks, and missed work. These symptoms continued for several weeks. A disinterested gym customer might be upset by witnessing an accident, but would probably not experience recurring panic attacks.</w:t>
      </w:r>
    </w:p>
    <w:p>
      <w:pPr>
        <w:pStyle w:val="BodyText"/>
      </w:pPr>
      <w:r>
        <w:t xml:space="preserve">Northstar might point out that Daniel did not seek therapy or other medical treatment. However, treatment is evidence of severity, not an absolute legal requirement. The repeated panic attacks and interference with Daniel’s employment support a finding of serious distress.</w:t>
      </w:r>
    </w:p>
    <w:bookmarkEnd w:id="14"/>
    <w:bookmarkEnd w:id="15"/>
    <w:bookmarkStart w:id="16" w:name="conclusion"/>
    <w:p>
      <w:pPr>
        <w:pStyle w:val="Heading2"/>
      </w:pPr>
      <w:r>
        <w:t xml:space="preserve">Conclusion</w:t>
      </w:r>
    </w:p>
    <w:p>
      <w:pPr>
        <w:pStyle w:val="FirstParagraph"/>
      </w:pPr>
      <w:r>
        <w:t xml:space="preserve">Daniel probably can recover for negligent infliction of emotional distress. He is closely related to Aaron and suffered substantial emotional consequences. The more difficult question is contemporaneous perception. Although Daniel did not immediately know that Aaron was the person under the falling weight, he heard Aaron scream seconds later and perceived the accident as a continuous event. A court is therefore likely to conclude that he contemporaneously perceived Aaron’s injury.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