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memorandum"/>
    <w:p>
      <w:pPr>
        <w:pStyle w:val="Heading1"/>
      </w:pPr>
      <w:r>
        <w:t xml:space="preserve">Memorandum</w:t>
      </w:r>
    </w:p>
    <w:p>
      <w:pPr>
        <w:pStyle w:val="FirstParagraph"/>
      </w:pPr>
      <w:r>
        <w:rPr>
          <w:b/>
          <w:bCs/>
        </w:rPr>
        <w:t xml:space="preserve">To:</w:t>
      </w:r>
      <w:r>
        <w:t xml:space="preserve"> </w:t>
      </w:r>
      <w:r>
        <w:t xml:space="preserve">Professor Priya Shah</w:t>
      </w:r>
      <w:r>
        <w:br/>
      </w:r>
      <w:r>
        <w:rPr>
          <w:b/>
          <w:bCs/>
        </w:rPr>
        <w:t xml:space="preserve">From:</w:t>
      </w:r>
      <w:r>
        <w:t xml:space="preserve"> </w:t>
      </w:r>
      <w:r>
        <w:t xml:space="preserve">Evan Brooks</w:t>
      </w:r>
      <w:r>
        <w:br/>
      </w:r>
      <w:r>
        <w:rPr>
          <w:b/>
          <w:bCs/>
        </w:rPr>
        <w:t xml:space="preserve">Date:</w:t>
      </w:r>
      <w:r>
        <w:t xml:space="preserve"> </w:t>
      </w:r>
      <w:r>
        <w:t xml:space="preserve">December 1, 2026</w:t>
      </w:r>
      <w:r>
        <w:br/>
      </w:r>
      <w:r>
        <w:rPr>
          <w:b/>
          <w:bCs/>
        </w:rPr>
        <w:t xml:space="preserve">Re:</w:t>
      </w:r>
      <w:r>
        <w:t xml:space="preserve"> </w:t>
      </w:r>
      <w:r>
        <w:t xml:space="preserve">Morgan v. Castillo — Public Disclosure of Private Facts</w:t>
      </w:r>
    </w:p>
    <w:bookmarkStart w:id="9" w:name="question-presented"/>
    <w:p>
      <w:pPr>
        <w:pStyle w:val="Heading2"/>
      </w:pPr>
      <w:r>
        <w:t xml:space="preserve">Question Presented</w:t>
      </w:r>
    </w:p>
    <w:p>
      <w:pPr>
        <w:pStyle w:val="FirstParagraph"/>
      </w:pPr>
      <w:r>
        <w:t xml:space="preserve">Under California law, is a high-school counselor likely liable for public disclosure of private facts after emailing approximately forty parents that a student had previously received treatment for an eating disorder?</w:t>
      </w:r>
    </w:p>
    <w:bookmarkEnd w:id="9"/>
    <w:bookmarkStart w:id="10" w:name="brief-answer"/>
    <w:p>
      <w:pPr>
        <w:pStyle w:val="Heading2"/>
      </w:pPr>
      <w:r>
        <w:t xml:space="preserve">Brief Answer</w:t>
      </w:r>
    </w:p>
    <w:p>
      <w:pPr>
        <w:pStyle w:val="FirstParagraph"/>
      </w:pPr>
      <w:r>
        <w:t xml:space="preserve">Likely yes. A public-disclosure claim generally requires disclosure of a private fact to the public, the disclosure must be offensive to a reasonable person, and the information must not be of legitimate public concern. Morgan’s history of treatment for an eating disorder was intensely private medical information. The counselor disclosed the information to approximately forty unrelated parents, apparently to explain Morgan’s participation in a school wellness program. Although the school may argue that Morgan’s role made her health history relevant to participating families, the disclosure of her specific diagnosis was probably unnecessary and therefore not newsworthy.</w:t>
      </w:r>
    </w:p>
    <w:bookmarkEnd w:id="10"/>
    <w:bookmarkStart w:id="11" w:name="facts"/>
    <w:p>
      <w:pPr>
        <w:pStyle w:val="Heading2"/>
      </w:pPr>
      <w:r>
        <w:t xml:space="preserve">Facts</w:t>
      </w:r>
    </w:p>
    <w:p>
      <w:pPr>
        <w:pStyle w:val="FirstParagraph"/>
      </w:pPr>
      <w:r>
        <w:t xml:space="preserve">Sixteen-year-old Grace Morgan attends Fremont Preparatory School, a private high school in California. During her sophomore year, Morgan received outpatient treatment for an eating disorder. She informed the school counselor, Laura Castillo, because Morgan occasionally needed to miss class for appointments.</w:t>
      </w:r>
    </w:p>
    <w:p>
      <w:pPr>
        <w:pStyle w:val="BodyText"/>
      </w:pPr>
      <w:r>
        <w:t xml:space="preserve">Morgan recovered and, during her junior year, volunteered to serve as a student representative on the school’s Wellness Advisory Committee. The committee develops recommendations concerning student stress, nutrition, and mental-health resources.</w:t>
      </w:r>
    </w:p>
    <w:p>
      <w:pPr>
        <w:pStyle w:val="BodyText"/>
      </w:pPr>
      <w:r>
        <w:t xml:space="preserve">In September 2026, several parents questioned why students were participating on the committee. Castillo sent an email to approximately forty parents of students participating in school wellness programs.</w:t>
      </w:r>
    </w:p>
    <w:p>
      <w:pPr>
        <w:pStyle w:val="BodyText"/>
      </w:pPr>
      <w:r>
        <w:t xml:space="preserve">The email stated:</w:t>
      </w:r>
    </w:p>
    <w:p>
      <w:pPr>
        <w:pStyle w:val="BodyText"/>
      </w:pPr>
      <w:r>
        <w:t xml:space="preserve">“Student representatives were selected because they bring meaningful personal experience to these issues. For example, Grace Morgan has firsthand knowledge of student wellness challenges, having received treatment for anorexia during her sophomore year.”</w:t>
      </w:r>
    </w:p>
    <w:p>
      <w:pPr>
        <w:pStyle w:val="BodyText"/>
      </w:pPr>
      <w:r>
        <w:t xml:space="preserve">Morgan had previously told two close friends that she had received treatment for an eating disorder, but she had not publicly identified the diagnosis. She had also once posted on a private social-media account that she had “struggled with food and body image.”</w:t>
      </w:r>
    </w:p>
    <w:p>
      <w:pPr>
        <w:pStyle w:val="BodyText"/>
      </w:pPr>
      <w:r>
        <w:t xml:space="preserve">After Castillo’s email, several students asked Morgan about her treatment. Morgan stopped attending Wellness Advisory Committee meetings.</w:t>
      </w:r>
    </w:p>
    <w:p>
      <w:pPr>
        <w:pStyle w:val="BodyText"/>
      </w:pPr>
      <w:r>
        <w:t xml:space="preserve">Morgan’s parents are considering a claim for public disclosure of private facts.</w:t>
      </w:r>
    </w:p>
    <w:bookmarkEnd w:id="11"/>
    <w:bookmarkStart w:id="16" w:name="discussion"/>
    <w:p>
      <w:pPr>
        <w:pStyle w:val="Heading2"/>
      </w:pPr>
      <w:r>
        <w:t xml:space="preserve">Discussion</w:t>
      </w:r>
    </w:p>
    <w:p>
      <w:pPr>
        <w:pStyle w:val="FirstParagraph"/>
      </w:pPr>
      <w:r>
        <w:t xml:space="preserve">California’s constitutional and common-law privacy protections recognize a tort claim for public disclosure of private facts. A plaintiff generally must establish: (1) public disclosure; (2) of a private fact; (3) that would be offensive and objectionable to a reasonable person; and (4) that is not of legitimate public concern.</w:t>
      </w:r>
      <w:r>
        <w:t xml:space="preserve"> </w:t>
      </w:r>
      <w:r>
        <w:rPr>
          <w:i/>
          <w:iCs/>
        </w:rPr>
        <w:t xml:space="preserve">Shulman v. Group W Productions, Inc.</w:t>
      </w:r>
      <w:r>
        <w:t xml:space="preserve">, 18 Cal. 4th 200, 214 (1998).</w:t>
      </w:r>
    </w:p>
    <w:p>
      <w:pPr>
        <w:pStyle w:val="BodyText"/>
      </w:pPr>
      <w:r>
        <w:t xml:space="preserve">Morgan likely can establish each element, although the publication and newsworthiness requirements present the closest questions.</w:t>
      </w:r>
    </w:p>
    <w:bookmarkStart w:id="12" w:name="X8bb2633f9867a7e40f745a301f60b9bda0d6bea"/>
    <w:p>
      <w:pPr>
        <w:pStyle w:val="Heading3"/>
      </w:pPr>
      <w:r>
        <w:t xml:space="preserve">I. Morgan’s Medical History Was a Private Fact</w:t>
      </w:r>
    </w:p>
    <w:p>
      <w:pPr>
        <w:pStyle w:val="FirstParagraph"/>
      </w:pPr>
      <w:r>
        <w:t xml:space="preserve">Information concerning medical treatment ordinarily falls near the core of protected privacy interests.</w:t>
      </w:r>
    </w:p>
    <w:p>
      <w:pPr>
        <w:pStyle w:val="BodyText"/>
      </w:pPr>
      <w:r>
        <w:t xml:space="preserve">Morgan told the school about her treatment so that it could accommodate her absences. Nothing indicates that she consented to broader disclosure. Her limited disclosure to two friends did not necessarily make the information public.</w:t>
      </w:r>
    </w:p>
    <w:p>
      <w:pPr>
        <w:pStyle w:val="BodyText"/>
      </w:pPr>
      <w:r>
        <w:t xml:space="preserve">California courts distinguish between information that is genuinely public and information disclosed selectively within a limited circle. In</w:t>
      </w:r>
      <w:r>
        <w:t xml:space="preserve"> </w:t>
      </w:r>
      <w:r>
        <w:rPr>
          <w:i/>
          <w:iCs/>
        </w:rPr>
        <w:t xml:space="preserve">Moreno v. Hanford Sentinel, Inc.</w:t>
      </w:r>
      <w:r>
        <w:t xml:space="preserve">, 172 Cal. App. 4th 1125 (2009), the court rejected a privacy claim involving material the plaintiff herself had posted publicly online. Morgan’s situation is distinguishable because her social-media post was private and did not identify anorexia specifically.</w:t>
      </w:r>
    </w:p>
    <w:p>
      <w:pPr>
        <w:pStyle w:val="BodyText"/>
      </w:pPr>
      <w:r>
        <w:t xml:space="preserve">The school could argue that Morgan voluntarily shared her experience by joining a wellness committee. But participation on a committee addressing health issues does not necessarily constitute consent to disclosure of one’s personal medical history.</w:t>
      </w:r>
    </w:p>
    <w:p>
      <w:pPr>
        <w:pStyle w:val="BodyText"/>
      </w:pPr>
      <w:r>
        <w:t xml:space="preserve">Accordingly, the information was probably private.</w:t>
      </w:r>
    </w:p>
    <w:bookmarkEnd w:id="12"/>
    <w:bookmarkStart w:id="13" w:name="Xc07d414fd236d8ffbe2f0e64f923fee4ca3d278"/>
    <w:p>
      <w:pPr>
        <w:pStyle w:val="Heading3"/>
      </w:pPr>
      <w:r>
        <w:t xml:space="preserve">II. Distribution to Forty Parents Probably Constituted Public Disclosure</w:t>
      </w:r>
    </w:p>
    <w:p>
      <w:pPr>
        <w:pStyle w:val="FirstParagraph"/>
      </w:pPr>
      <w:r>
        <w:t xml:space="preserve">The publication element is more difficult.</w:t>
      </w:r>
    </w:p>
    <w:p>
      <w:pPr>
        <w:pStyle w:val="BodyText"/>
      </w:pPr>
      <w:r>
        <w:t xml:space="preserve">Unlike defamation, public disclosure of private facts generally requires communication to the public at large or to enough people that the information is substantially certain to become public knowledge. Disclosure to one person or a small group may be insufficient.</w:t>
      </w:r>
    </w:p>
    <w:p>
      <w:pPr>
        <w:pStyle w:val="BodyText"/>
      </w:pPr>
      <w:r>
        <w:t xml:space="preserve">In</w:t>
      </w:r>
      <w:r>
        <w:t xml:space="preserve"> </w:t>
      </w:r>
      <w:r>
        <w:rPr>
          <w:i/>
          <w:iCs/>
        </w:rPr>
        <w:t xml:space="preserve">Porten v. University of San Francisco</w:t>
      </w:r>
      <w:r>
        <w:t xml:space="preserve">, 64 Cal. App. 3d 825, 828 (1976), the court recognized that dissemination of confidential information can support a privacy claim, although the scope of publication remains fact-dependent.</w:t>
      </w:r>
    </w:p>
    <w:p>
      <w:pPr>
        <w:pStyle w:val="BodyText"/>
      </w:pPr>
      <w:r>
        <w:t xml:space="preserve">Castillo sent the email to approximately forty parents who were not members of Morgan’s family or treatment team. Forty recipients is significantly more than a private one-to-one communication. Moreover, parents could foreseeably discuss the information with their children, increasing the likelihood that the information would circulate throughout the school.</w:t>
      </w:r>
    </w:p>
    <w:p>
      <w:pPr>
        <w:pStyle w:val="BodyText"/>
      </w:pPr>
      <w:r>
        <w:t xml:space="preserve">A recent California case,</w:t>
      </w:r>
      <w:r>
        <w:t xml:space="preserve"> </w:t>
      </w:r>
      <w:r>
        <w:rPr>
          <w:i/>
          <w:iCs/>
        </w:rPr>
        <w:t xml:space="preserve">Ellison v. Redwood Unified School District</w:t>
      </w:r>
      <w:r>
        <w:t xml:space="preserve">, 82 Cal. App. 5th 661, 674 (2022), held that disclosure of a student’s psychiatric diagnosis to thirty-two parents satisfied the publicity requirement because the recipients had no confidential relationship with the student and redistribution was foreseeable.</w:t>
      </w:r>
    </w:p>
    <w:p>
      <w:pPr>
        <w:pStyle w:val="BodyText"/>
      </w:pPr>
      <w:r>
        <w:t xml:space="preserve">The analogy to</w:t>
      </w:r>
      <w:r>
        <w:t xml:space="preserve"> </w:t>
      </w:r>
      <w:r>
        <w:rPr>
          <w:i/>
          <w:iCs/>
        </w:rPr>
        <w:t xml:space="preserve">Ellison</w:t>
      </w:r>
      <w:r>
        <w:t xml:space="preserve"> </w:t>
      </w:r>
      <w:r>
        <w:t xml:space="preserve">is strong. Castillo disclosed Morgan’s diagnosis to even more recipients.</w:t>
      </w:r>
    </w:p>
    <w:p>
      <w:pPr>
        <w:pStyle w:val="BodyText"/>
      </w:pPr>
      <w:r>
        <w:t xml:space="preserve">However, the school could argue that the parent group was defined and limited rather than the general public. Some courts treat disclosure to a discrete group differently from publication to an unrestricted audience.</w:t>
      </w:r>
    </w:p>
    <w:p>
      <w:pPr>
        <w:pStyle w:val="BodyText"/>
      </w:pPr>
      <w:r>
        <w:t xml:space="preserve">On balance, the number of recipients and the predictable circulation among the school community likely satisfy the publicity requirement.</w:t>
      </w:r>
    </w:p>
    <w:bookmarkEnd w:id="13"/>
    <w:bookmarkStart w:id="14" w:name="X21a9cfcd13eddb4e7f6e46aadf963ec1cdd71f0"/>
    <w:p>
      <w:pPr>
        <w:pStyle w:val="Heading3"/>
      </w:pPr>
      <w:r>
        <w:t xml:space="preserve">III. Disclosure of the Diagnosis Would Be Highly Offensive to a Reasonable Person</w:t>
      </w:r>
    </w:p>
    <w:p>
      <w:pPr>
        <w:pStyle w:val="FirstParagraph"/>
      </w:pPr>
      <w:r>
        <w:t xml:space="preserve">Castillo disclosed a specific medical diagnosis involving a minor.</w:t>
      </w:r>
    </w:p>
    <w:p>
      <w:pPr>
        <w:pStyle w:val="BodyText"/>
      </w:pPr>
      <w:r>
        <w:t xml:space="preserve">The reasonable person standard does not turn entirely on Morgan’s subjective embarrassment. Nevertheless, the sensitivity of medical information and Morgan’s age make disclosure particularly intrusive.</w:t>
      </w:r>
    </w:p>
    <w:p>
      <w:pPr>
        <w:pStyle w:val="BodyText"/>
      </w:pPr>
      <w:r>
        <w:t xml:space="preserve">The school had alternatives. Castillo could have said that student representatives possessed relevant personal experience without naming Morgan or identifying her diagnosis. The availability of obvious less-intrusive alternatives strengthens the conclusion that the disclosure was offensive.</w:t>
      </w:r>
    </w:p>
    <w:p>
      <w:pPr>
        <w:pStyle w:val="BodyText"/>
      </w:pPr>
      <w:r>
        <w:t xml:space="preserve">This element is therefore likely satisfied.</w:t>
      </w:r>
    </w:p>
    <w:bookmarkEnd w:id="14"/>
    <w:bookmarkStart w:id="15" w:name="Xcf8aea2a3d11dffe724a2533a157991db2d5408"/>
    <w:p>
      <w:pPr>
        <w:pStyle w:val="Heading3"/>
      </w:pPr>
      <w:r>
        <w:t xml:space="preserve">IV. The Diagnosis Was Probably Not of Legitimate Public Concern</w:t>
      </w:r>
    </w:p>
    <w:p>
      <w:pPr>
        <w:pStyle w:val="FirstParagraph"/>
      </w:pPr>
      <w:r>
        <w:t xml:space="preserve">The school has its strongest argument under the newsworthiness requirement.</w:t>
      </w:r>
    </w:p>
    <w:p>
      <w:pPr>
        <w:pStyle w:val="BodyText"/>
      </w:pPr>
      <w:r>
        <w:t xml:space="preserve">California courts construe legitimate public concern broadly, particularly where disclosed information bears a logical relationship to a matter of legitimate interest.</w:t>
      </w:r>
      <w:r>
        <w:t xml:space="preserve"> </w:t>
      </w:r>
      <w:r>
        <w:rPr>
          <w:i/>
          <w:iCs/>
        </w:rPr>
        <w:t xml:space="preserve">Shulman</w:t>
      </w:r>
      <w:r>
        <w:t xml:space="preserve">, 18 Cal. 4th at 224.</w:t>
      </w:r>
    </w:p>
    <w:p>
      <w:pPr>
        <w:pStyle w:val="BodyText"/>
      </w:pPr>
      <w:r>
        <w:t xml:space="preserve">Parents arguably had a legitimate interest in understanding why students served on the Wellness Advisory Committee. Morgan’s personal experience may have explained why she was selected.</w:t>
      </w:r>
    </w:p>
    <w:p>
      <w:pPr>
        <w:pStyle w:val="BodyText"/>
      </w:pPr>
      <w:r>
        <w:t xml:space="preserve">But the precise diagnosis added little to that explanation. The school could have communicated that Morgan brought personal experience with student health challenges without identifying anorexia.</w:t>
      </w:r>
    </w:p>
    <w:p>
      <w:pPr>
        <w:pStyle w:val="BodyText"/>
      </w:pPr>
      <w:r>
        <w:t xml:space="preserve">In assessing newsworthiness, courts sometimes consider whether intimate details are substantially relevant to the subject matter rather than merely sensational.</w:t>
      </w:r>
      <w:r>
        <w:t xml:space="preserve"> </w:t>
      </w:r>
      <w:r>
        <w:rPr>
          <w:i/>
          <w:iCs/>
        </w:rPr>
        <w:t xml:space="preserve">Diaz v. Oakland Tribune, Inc.</w:t>
      </w:r>
      <w:r>
        <w:t xml:space="preserve">, 139 Cal. App. 3d 118, 132–34 (1983).</w:t>
      </w:r>
    </w:p>
    <w:p>
      <w:pPr>
        <w:pStyle w:val="BodyText"/>
      </w:pPr>
      <w:r>
        <w:t xml:space="preserve">Here, Morgan’s experience was relevant, but the exact nature of her medical treatment was not necessary to explain the committee’s composition. That distinction weighs against finding a legitimate public concern.</w:t>
      </w:r>
    </w:p>
    <w:p>
      <w:pPr>
        <w:pStyle w:val="BodyText"/>
      </w:pPr>
      <w:r>
        <w:t xml:space="preserve">The school’s argument is nevertheless substantial. Because Morgan voluntarily assumed a role addressing student wellness, a court could find that some information about her relevant experience had become legitimately interesting to participating families.</w:t>
      </w:r>
    </w:p>
    <w:p>
      <w:pPr>
        <w:pStyle w:val="BodyText"/>
      </w:pPr>
      <w:r>
        <w:t xml:space="preserve">The better conclusion is that the general fact of relevant experience may have been newsworthy, while disclosure of the specific diagnosis crossed the line.</w:t>
      </w:r>
    </w:p>
    <w:bookmarkEnd w:id="15"/>
    <w:bookmarkEnd w:id="16"/>
    <w:bookmarkStart w:id="17" w:name="conclusion"/>
    <w:p>
      <w:pPr>
        <w:pStyle w:val="Heading2"/>
      </w:pPr>
      <w:r>
        <w:t xml:space="preserve">Conclusion</w:t>
      </w:r>
    </w:p>
    <w:p>
      <w:pPr>
        <w:pStyle w:val="FirstParagraph"/>
      </w:pPr>
      <w:r>
        <w:t xml:space="preserve">Morgan likely has a viable public-disclosure claim. Her eating-disorder treatment was private, and disclosure of the specific diagnosis to approximately forty parents would likely be considered highly offensive. The two closer issues are publicity and legitimate public concern. Although the school can argue that the email went only to a defined parent group and that Morgan’s experience was relevant to her committee role, the number of recipients and the unnecessary specificity of the diagnosis likely favor Morgan.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