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0"/>
        </w:rPr>
      </w:pPr>
      <w:r>
        <w:rPr>
          <w:rFonts w:hint="eastAsia" w:ascii="黑体" w:hAnsi="黑体" w:eastAsia="黑体"/>
          <w:sz w:val="40"/>
        </w:rPr>
        <w:t>第十一届全国大学生“恩智浦”杯</w:t>
      </w:r>
    </w:p>
    <w:p>
      <w:pPr>
        <w:jc w:val="center"/>
        <w:rPr>
          <w:rFonts w:ascii="黑体" w:hAnsi="黑体" w:eastAsia="黑体"/>
          <w:sz w:val="40"/>
        </w:rPr>
      </w:pPr>
      <w:r>
        <w:rPr>
          <w:rFonts w:hint="eastAsia" w:ascii="黑体" w:hAnsi="黑体" w:eastAsia="黑体"/>
          <w:sz w:val="40"/>
        </w:rPr>
        <w:t>智能汽车竞赛创意组竞赛说明</w:t>
      </w:r>
    </w:p>
    <w:p>
      <w:pPr>
        <w:jc w:val="center"/>
        <w:rPr>
          <w:b/>
          <w:sz w:val="28"/>
        </w:rPr>
      </w:pPr>
    </w:p>
    <w:p>
      <w:pPr>
        <w:pStyle w:val="2"/>
      </w:pPr>
      <w:r>
        <w:rPr>
          <w:rFonts w:hint="eastAsia"/>
        </w:rPr>
        <w:t>前言</w:t>
      </w:r>
    </w:p>
    <w:p>
      <w:pPr>
        <w:spacing w:line="360" w:lineRule="auto"/>
        <w:ind w:firstLine="480" w:firstLineChars="200"/>
        <w:rPr>
          <w:sz w:val="24"/>
        </w:rPr>
      </w:pPr>
      <w:r>
        <w:rPr>
          <w:rFonts w:hint="eastAsia"/>
          <w:sz w:val="24"/>
        </w:rPr>
        <w:t>小小的神奇车模驰骋在暑期各个竞速赛场已过十年，花样翻新智能汽车创意比赛之花也绽放了八年。激情四射的竞速比赛与天马行空的创意比赛的联袂演出，成为全国智能车总决赛现场最大的亮点。伴随着每年一成不变的快者为王竞速赛主旋律，扑朔迷离的创意比赛的主题则“年年岁岁花相似，岁岁年年人不同”。正是其变化多端的主题以及能够直接进入全国总决赛赛场的机会，每年吸引越来越多的同学借此竞赛平台，锻炼自己的能力，展现团队合作的作品。参赛同学认识到在这机遇与挑战并存的时代中，最为高效的培养科学认知志趣、增强统驭技术能力的途径，就是通过一个复杂的工程探索实践活动进行学习和锻炼。</w:t>
      </w:r>
    </w:p>
    <w:p>
      <w:pPr>
        <w:spacing w:line="360" w:lineRule="auto"/>
        <w:ind w:firstLine="480" w:firstLineChars="200"/>
        <w:rPr>
          <w:sz w:val="24"/>
        </w:rPr>
      </w:pPr>
      <w:r>
        <w:rPr>
          <w:rFonts w:hint="eastAsia"/>
          <w:sz w:val="24"/>
        </w:rPr>
        <w:t>第十一届全国大学生智能汽车竞赛将继续举办创意组比赛，经过遴选后的参赛作品可以直接参加在全国总决赛现场的创意比赛。本文档将给出本届比赛的竞赛主题，比赛要求和报名细则。详细的现场比赛规则将会在八月一日进行公布。</w:t>
      </w:r>
    </w:p>
    <w:p>
      <w:pPr>
        <w:pStyle w:val="2"/>
      </w:pPr>
      <w:r>
        <w:rPr>
          <w:rFonts w:hint="eastAsia"/>
        </w:rPr>
        <w:t>创意比赛组别</w:t>
      </w:r>
    </w:p>
    <w:p>
      <w:pPr>
        <w:rPr>
          <w:sz w:val="24"/>
        </w:rPr>
      </w:pPr>
      <w:r>
        <w:rPr>
          <w:rFonts w:hint="eastAsia"/>
        </w:rPr>
        <w:t xml:space="preserve">    </w:t>
      </w:r>
      <w:r>
        <w:rPr>
          <w:rFonts w:hint="eastAsia"/>
          <w:sz w:val="24"/>
        </w:rPr>
        <w:t>第十一届创意组比赛分为两个组表：节能指标组和物联网主题组。</w:t>
      </w:r>
    </w:p>
    <w:p>
      <w:pPr>
        <w:rPr>
          <w:sz w:val="24"/>
        </w:rPr>
      </w:pPr>
    </w:p>
    <w:p>
      <w:pPr>
        <w:spacing w:line="360" w:lineRule="auto"/>
        <w:rPr>
          <w:b/>
          <w:sz w:val="24"/>
        </w:rPr>
      </w:pPr>
      <w:r>
        <w:rPr>
          <w:rFonts w:hint="eastAsia"/>
          <w:b/>
          <w:sz w:val="24"/>
        </w:rPr>
        <w:t>1. 节能指标组要求</w:t>
      </w:r>
    </w:p>
    <w:p>
      <w:pPr>
        <w:spacing w:line="360" w:lineRule="auto"/>
        <w:rPr>
          <w:sz w:val="24"/>
        </w:rPr>
      </w:pPr>
      <w:r>
        <w:rPr>
          <w:rFonts w:hint="eastAsia"/>
          <w:sz w:val="24"/>
        </w:rPr>
        <w:t xml:space="preserve">   节能指标组比赛目的是训练同学能够设计低功耗、节能的运动平台。需要综合机械结构、电路设计、控制方法设计一台节能的智能车。智能车运行的赛道要求就是竞赛比赛中的电轨组（B4）的赛道。在电轨组的两个铝膜上施加的电源的标准为：</w:t>
      </w:r>
    </w:p>
    <w:p>
      <w:pPr>
        <w:spacing w:line="360" w:lineRule="auto"/>
        <w:rPr>
          <w:sz w:val="24"/>
        </w:rPr>
      </w:pPr>
      <w:r>
        <w:rPr>
          <w:rFonts w:hint="eastAsia"/>
          <w:sz w:val="24"/>
        </w:rPr>
        <w:t xml:space="preserve">     （1）12V的直流电源。电压波动范围正负1伏；</w:t>
      </w:r>
    </w:p>
    <w:p>
      <w:pPr>
        <w:spacing w:line="360" w:lineRule="auto"/>
        <w:rPr>
          <w:sz w:val="24"/>
        </w:rPr>
      </w:pPr>
      <w:r>
        <w:rPr>
          <w:rFonts w:hint="eastAsia"/>
          <w:sz w:val="24"/>
        </w:rPr>
        <w:t xml:space="preserve">     （2）直流电源由5A电流限流保护功能。当电流超过5A时，电源会保护，停止供电。经过2秒钟后，再恢复供电。</w:t>
      </w:r>
    </w:p>
    <w:p>
      <w:pPr>
        <w:spacing w:line="360" w:lineRule="auto"/>
        <w:rPr>
          <w:sz w:val="24"/>
        </w:rPr>
      </w:pPr>
      <w:r>
        <w:rPr>
          <w:rFonts w:hint="eastAsia"/>
          <w:sz w:val="24"/>
        </w:rPr>
        <w:t xml:space="preserve">    竞赛过程会对电源输送至电轨直流电能进行计量。计量方法是每一毫秒进行累计电源输送至电轨的电流和电压的乘积。直流电源无法回收电能。</w:t>
      </w:r>
    </w:p>
    <w:p>
      <w:pPr>
        <w:spacing w:line="360" w:lineRule="auto"/>
        <w:rPr>
          <w:sz w:val="24"/>
        </w:rPr>
      </w:pPr>
      <w:r>
        <w:rPr>
          <w:rFonts w:hint="eastAsia"/>
          <w:sz w:val="24"/>
        </w:rPr>
        <w:t xml:space="preserve">     比赛排名根据赛车在规定三分钟时间内完成一周所消耗的电能和运行时间分别进行排名。将两项排名名次相加之后，再进行综合成绩排名。</w:t>
      </w:r>
    </w:p>
    <w:p>
      <w:pPr>
        <w:spacing w:line="360" w:lineRule="auto"/>
        <w:rPr>
          <w:sz w:val="24"/>
        </w:rPr>
      </w:pPr>
    </w:p>
    <w:p>
      <w:pPr>
        <w:rPr>
          <w:b/>
          <w:sz w:val="24"/>
        </w:rPr>
      </w:pPr>
      <w:r>
        <w:rPr>
          <w:rFonts w:hint="eastAsia"/>
          <w:b/>
          <w:sz w:val="24"/>
        </w:rPr>
        <w:t>2. 物联网主题组要求</w:t>
      </w:r>
    </w:p>
    <w:p>
      <w:pPr>
        <w:spacing w:line="360" w:lineRule="auto"/>
        <w:ind w:firstLine="480" w:firstLineChars="200"/>
        <w:rPr>
          <w:sz w:val="24"/>
        </w:rPr>
      </w:pPr>
      <w:r>
        <w:rPr>
          <w:rFonts w:hint="eastAsia"/>
          <w:sz w:val="24"/>
        </w:rPr>
        <w:t>人类借助化石能源，通过工业革命，利用商品流通将世界物流连接在一起。随后借助电子和通讯技术，通过信息革命，利用互联网将人类信息交流联接在一起。刚刚过去的二十一世纪的十几年间，上述变革周期已经缩短至几年，甚至几个月的时间。正在国内大搞互联网加、物联网的时候，世界各地又不断智能硬件、工业4.0革命等。在这期间，细心的人们会发现物流和信息流相融合的技术统一体－－物联网正在悄悄的影响着我们的生活，改变着我们的习惯。形形色色的安装有嵌入式计算硬件的智能体，以其变化多端的传感器、性能各异通信手段、贴切友善的功能软件不断我们对于世界的新体验。</w:t>
      </w:r>
    </w:p>
    <w:p>
      <w:pPr>
        <w:spacing w:line="360" w:lineRule="auto"/>
        <w:ind w:firstLine="480" w:firstLineChars="200"/>
        <w:rPr>
          <w:sz w:val="24"/>
        </w:rPr>
      </w:pPr>
      <w:r>
        <w:rPr>
          <w:rFonts w:hint="eastAsia"/>
          <w:sz w:val="24"/>
        </w:rPr>
        <w:t xml:space="preserve">第一波物联网浪潮正在逐步消耗由网络互联所带来着前进的动力。浪过之后所显现出来的真正为物联网提供可持续发展的技术特点应该是：高性能的嵌入式处理芯片、可靠多样的传感器技术、高效能源控制转换、丰富的互操作模式以及信息安全处理能力。基于这些技术的支撑，充分挖掘智能体本身的环境信息感知与处理能力，使得未来物联网中的物体将会变得更加智能、安全、节能和易用。     </w:t>
      </w:r>
      <w:r>
        <w:rPr>
          <w:rFonts w:hint="eastAsia"/>
          <w:sz w:val="24"/>
        </w:rPr>
        <w:tab/>
      </w:r>
      <w:r>
        <w:rPr>
          <w:rFonts w:hint="eastAsia"/>
          <w:sz w:val="24"/>
        </w:rPr>
        <w:t>未来互联网将是一个万物互联的世界，而安全解决方案将融入从终端节点到网络再到云服务器的每个角落。十年来支持智能车竞赛的恩智浦半导体公司是全球在半导体产业中的领军企业，它拥有领先的安全嵌入式处理器产品组合和全方位的传感器产品，能够为</w:t>
      </w:r>
      <w:r>
        <w:rPr>
          <w:sz w:val="24"/>
        </w:rPr>
        <w:t>IoT</w:t>
      </w:r>
      <w:r>
        <w:rPr>
          <w:rFonts w:hint="eastAsia"/>
          <w:sz w:val="24"/>
        </w:rPr>
        <w:t>提供具有极高集成安全性的嵌入式解决方案。</w:t>
      </w:r>
    </w:p>
    <w:p>
      <w:pPr>
        <w:spacing w:line="360" w:lineRule="auto"/>
        <w:ind w:firstLine="480" w:firstLineChars="200"/>
        <w:rPr>
          <w:sz w:val="24"/>
        </w:rPr>
      </w:pPr>
      <w:r>
        <w:rPr>
          <w:rFonts w:hint="eastAsia"/>
          <w:sz w:val="24"/>
        </w:rPr>
        <w:t xml:space="preserve">    参加物联网主题组比赛的队伍自行设计包括有车模移动平台的作品，内容体现物联网下的各种应用主题，设计带有车模运动平台的展示作品，自行设计相应的展示内容和细则，通过现场演示，展示设计理念和应用的技术。</w:t>
      </w:r>
    </w:p>
    <w:p>
      <w:pPr>
        <w:spacing w:line="360" w:lineRule="auto"/>
        <w:ind w:left="10" w:leftChars="5"/>
        <w:rPr>
          <w:sz w:val="24"/>
        </w:rPr>
      </w:pPr>
      <w:r>
        <w:rPr>
          <w:rFonts w:hint="eastAsia"/>
          <w:sz w:val="24"/>
        </w:rPr>
        <w:t xml:space="preserve">    比赛通过现场展示、专家提问环节和观众投票，对于作品中所包含技术创新性和完成质量等方面进行评价后，综合专家和投票的结构确定作品的排名。</w:t>
      </w:r>
    </w:p>
    <w:p>
      <w:pPr>
        <w:spacing w:line="360" w:lineRule="auto"/>
        <w:ind w:left="220" w:leftChars="105"/>
        <w:rPr>
          <w:sz w:val="24"/>
        </w:rPr>
      </w:pPr>
    </w:p>
    <w:p>
      <w:pPr>
        <w:spacing w:line="360" w:lineRule="auto"/>
        <w:ind w:left="220" w:leftChars="105"/>
        <w:rPr>
          <w:sz w:val="24"/>
        </w:rPr>
      </w:pPr>
    </w:p>
    <w:p>
      <w:pPr>
        <w:pStyle w:val="2"/>
      </w:pPr>
      <w:r>
        <w:rPr>
          <w:rFonts w:hint="eastAsia"/>
        </w:rPr>
        <w:t>作品的要求</w:t>
      </w:r>
    </w:p>
    <w:p>
      <w:pPr>
        <w:numPr>
          <w:ilvl w:val="0"/>
          <w:numId w:val="1"/>
        </w:numPr>
        <w:spacing w:line="360" w:lineRule="auto"/>
        <w:ind w:left="222" w:leftChars="-71" w:hanging="371"/>
        <w:rPr>
          <w:sz w:val="24"/>
        </w:rPr>
      </w:pPr>
      <w:r>
        <w:rPr>
          <w:rFonts w:hint="eastAsia"/>
          <w:sz w:val="24"/>
        </w:rPr>
        <w:t>参赛作品所使用的主要微控制器必须为NXP公司的微控制器系列产品；传感器的种类和数量没有限制。要求控制电路（包括MCU、传感器、电机驱动等)必须自行设计、制作、调试。</w:t>
      </w:r>
    </w:p>
    <w:p>
      <w:pPr>
        <w:numPr>
          <w:ilvl w:val="0"/>
          <w:numId w:val="1"/>
        </w:numPr>
        <w:spacing w:line="360" w:lineRule="auto"/>
        <w:ind w:left="222" w:leftChars="-71" w:hanging="371"/>
        <w:rPr>
          <w:sz w:val="24"/>
        </w:rPr>
      </w:pPr>
      <w:r>
        <w:rPr>
          <w:rFonts w:hint="eastAsia"/>
          <w:sz w:val="24"/>
        </w:rPr>
        <w:t>车模机械结构可以自行设计制作，也可以购买成品车模平台。</w:t>
      </w:r>
    </w:p>
    <w:p>
      <w:pPr>
        <w:pStyle w:val="2"/>
      </w:pPr>
      <w:r>
        <w:rPr>
          <w:rFonts w:hint="eastAsia"/>
        </w:rPr>
        <w:t>报名办法</w:t>
      </w:r>
    </w:p>
    <w:p>
      <w:pPr>
        <w:numPr>
          <w:ilvl w:val="0"/>
          <w:numId w:val="2"/>
        </w:numPr>
        <w:spacing w:line="360" w:lineRule="auto"/>
        <w:ind w:left="851"/>
        <w:rPr>
          <w:sz w:val="24"/>
        </w:rPr>
      </w:pPr>
      <w:r>
        <w:rPr>
          <w:rFonts w:hint="eastAsia"/>
          <w:sz w:val="24"/>
        </w:rPr>
        <w:t>2016年暑期之前在校具有正式学籍的全日制本科生及研究生均可以参加比赛。每支参赛队由3至5名学生组成，其中至少包括一名本科生，带队老师1-2名。报名学生可以包括参加全国大学生智能汽车竞速比赛的同学。</w:t>
      </w:r>
    </w:p>
    <w:p>
      <w:pPr>
        <w:numPr>
          <w:ilvl w:val="0"/>
          <w:numId w:val="2"/>
        </w:numPr>
        <w:spacing w:line="360" w:lineRule="auto"/>
        <w:ind w:left="851"/>
        <w:rPr>
          <w:sz w:val="24"/>
        </w:rPr>
      </w:pPr>
      <w:r>
        <w:rPr>
          <w:rFonts w:hint="eastAsia"/>
          <w:sz w:val="24"/>
        </w:rPr>
        <w:t>每所学校限报一支队伍。</w:t>
      </w:r>
    </w:p>
    <w:p>
      <w:pPr>
        <w:numPr>
          <w:ilvl w:val="0"/>
          <w:numId w:val="2"/>
        </w:numPr>
        <w:spacing w:line="360" w:lineRule="auto"/>
        <w:ind w:left="851"/>
        <w:rPr>
          <w:sz w:val="24"/>
        </w:rPr>
      </w:pPr>
      <w:r>
        <w:rPr>
          <w:rFonts w:hint="eastAsia"/>
          <w:sz w:val="24"/>
        </w:rPr>
        <w:t>报名起始日期为2015年5月</w:t>
      </w:r>
      <w:r>
        <w:rPr>
          <w:sz w:val="24"/>
        </w:rPr>
        <w:t>30</w:t>
      </w:r>
      <w:r>
        <w:rPr>
          <w:rFonts w:hint="eastAsia"/>
          <w:sz w:val="24"/>
        </w:rPr>
        <w:t>日，截止时间为2015年7月25日。</w:t>
      </w:r>
    </w:p>
    <w:p>
      <w:pPr>
        <w:numPr>
          <w:ilvl w:val="0"/>
          <w:numId w:val="2"/>
        </w:numPr>
        <w:spacing w:line="360" w:lineRule="auto"/>
        <w:ind w:left="851"/>
        <w:rPr>
          <w:rFonts w:ascii="楷体_GB2312" w:eastAsia="楷体_GB2312"/>
          <w:sz w:val="24"/>
        </w:rPr>
      </w:pPr>
      <w:r>
        <w:rPr>
          <w:rFonts w:hint="eastAsia"/>
          <w:sz w:val="24"/>
        </w:rPr>
        <w:t>参赛队直接向全国总决赛组委会报名。全国总决赛组委会联系方式如下：</w:t>
      </w:r>
    </w:p>
    <w:p>
      <w:pPr>
        <w:numPr>
          <w:ilvl w:val="0"/>
          <w:numId w:val="2"/>
        </w:numPr>
        <w:spacing w:line="360" w:lineRule="auto"/>
        <w:ind w:left="851"/>
        <w:rPr>
          <w:rFonts w:ascii="楷体_GB2312" w:eastAsia="楷体_GB2312"/>
          <w:sz w:val="24"/>
        </w:rPr>
      </w:pPr>
    </w:p>
    <w:p>
      <w:pPr>
        <w:spacing w:line="440" w:lineRule="exact"/>
        <w:ind w:left="848" w:leftChars="404"/>
        <w:jc w:val="center"/>
        <w:rPr>
          <w:rFonts w:ascii="楷体" w:hAnsi="楷体" w:eastAsia="楷体"/>
          <w:sz w:val="28"/>
          <w:szCs w:val="28"/>
        </w:rPr>
      </w:pPr>
      <w:r>
        <w:rPr>
          <w:rFonts w:hint="eastAsia" w:ascii="楷体" w:hAnsi="楷体" w:eastAsia="楷体"/>
          <w:sz w:val="28"/>
          <w:szCs w:val="28"/>
        </w:rPr>
        <w:t>王击，wangji@csu.edu.cn，15973132006，</w:t>
      </w:r>
    </w:p>
    <w:p>
      <w:pPr>
        <w:spacing w:line="440" w:lineRule="exact"/>
        <w:ind w:left="848" w:leftChars="404"/>
        <w:jc w:val="center"/>
        <w:rPr>
          <w:rFonts w:ascii="楷体" w:hAnsi="楷体" w:eastAsia="楷体"/>
          <w:sz w:val="28"/>
          <w:szCs w:val="28"/>
        </w:rPr>
      </w:pPr>
      <w:r>
        <w:rPr>
          <w:rFonts w:hint="eastAsia" w:ascii="楷体" w:hAnsi="楷体" w:eastAsia="楷体"/>
          <w:sz w:val="28"/>
          <w:szCs w:val="28"/>
        </w:rPr>
        <w:t>湖南省，长沙市，岳麓区，中南大学，校本部，</w:t>
      </w:r>
    </w:p>
    <w:p>
      <w:pPr>
        <w:spacing w:line="440" w:lineRule="exact"/>
        <w:ind w:left="848" w:leftChars="404"/>
        <w:jc w:val="center"/>
        <w:rPr>
          <w:rFonts w:ascii="楷体" w:hAnsi="楷体" w:eastAsia="楷体"/>
          <w:sz w:val="28"/>
          <w:szCs w:val="28"/>
        </w:rPr>
      </w:pPr>
      <w:r>
        <w:rPr>
          <w:rFonts w:hint="eastAsia" w:ascii="楷体" w:hAnsi="楷体" w:eastAsia="楷体"/>
          <w:sz w:val="28"/>
          <w:szCs w:val="28"/>
        </w:rPr>
        <w:t>信息科学与工程学院，民主楼，邮编410083</w:t>
      </w:r>
    </w:p>
    <w:p>
      <w:pPr>
        <w:spacing w:line="440" w:lineRule="exact"/>
        <w:ind w:left="848" w:leftChars="404"/>
        <w:jc w:val="center"/>
        <w:rPr>
          <w:rFonts w:ascii="楷体" w:hAnsi="楷体" w:eastAsia="楷体"/>
          <w:color w:val="FF0000"/>
          <w:sz w:val="28"/>
          <w:szCs w:val="28"/>
        </w:rPr>
      </w:pPr>
    </w:p>
    <w:p>
      <w:pPr>
        <w:spacing w:line="360" w:lineRule="auto"/>
        <w:ind w:firstLine="480" w:firstLineChars="200"/>
        <w:rPr>
          <w:sz w:val="24"/>
        </w:rPr>
      </w:pPr>
      <w:r>
        <w:rPr>
          <w:rFonts w:hint="eastAsia"/>
          <w:sz w:val="24"/>
        </w:rPr>
        <w:t>参赛队提交创意组竞赛报名表格，见附件一。</w:t>
      </w:r>
    </w:p>
    <w:p>
      <w:pPr>
        <w:numPr>
          <w:ilvl w:val="0"/>
          <w:numId w:val="2"/>
        </w:numPr>
        <w:spacing w:line="360" w:lineRule="auto"/>
        <w:ind w:left="851"/>
        <w:rPr>
          <w:sz w:val="24"/>
        </w:rPr>
      </w:pPr>
      <w:r>
        <w:rPr>
          <w:rFonts w:hint="eastAsia"/>
          <w:sz w:val="24"/>
        </w:rPr>
        <w:t>参赛队伍在2016年7月25日前向竞赛组委会提交作品的初步技术报告及视频录像，创意组竞赛专家组进行评审，竞赛组委会于2016年8月1日公布参赛资格名单，同时公布竞赛评选细则。</w:t>
      </w:r>
    </w:p>
    <w:p>
      <w:pPr>
        <w:spacing w:line="360" w:lineRule="auto"/>
        <w:rPr>
          <w:sz w:val="24"/>
        </w:rPr>
      </w:pPr>
    </w:p>
    <w:p>
      <w:pPr>
        <w:pStyle w:val="2"/>
      </w:pPr>
      <w:r>
        <w:rPr>
          <w:rFonts w:hint="eastAsia"/>
        </w:rPr>
        <w:t>奖项设置：</w:t>
      </w:r>
    </w:p>
    <w:p>
      <w:pPr>
        <w:spacing w:line="360" w:lineRule="auto"/>
        <w:ind w:firstLine="480" w:firstLineChars="200"/>
        <w:rPr>
          <w:sz w:val="24"/>
        </w:rPr>
      </w:pPr>
      <w:r>
        <w:rPr>
          <w:rFonts w:hint="eastAsia"/>
          <w:sz w:val="24"/>
        </w:rPr>
        <w:t>创意赛将设立一等奖、二等奖。获奖队伍将获得奖项证书和纪念奖品。具体奖项数量将在报名截止后公布。</w:t>
      </w:r>
    </w:p>
    <w:p>
      <w:pPr>
        <w:spacing w:line="360" w:lineRule="auto"/>
        <w:rPr>
          <w:sz w:val="24"/>
        </w:rPr>
      </w:pPr>
    </w:p>
    <w:p>
      <w:pPr>
        <w:spacing w:line="360" w:lineRule="auto"/>
        <w:jc w:val="right"/>
        <w:rPr>
          <w:sz w:val="24"/>
        </w:rPr>
      </w:pPr>
      <w:r>
        <w:rPr>
          <w:rFonts w:hint="eastAsia"/>
          <w:sz w:val="24"/>
        </w:rPr>
        <w:t>智能车竞赛秘书处</w:t>
      </w:r>
    </w:p>
    <w:p>
      <w:pPr>
        <w:spacing w:line="360" w:lineRule="auto"/>
        <w:jc w:val="right"/>
        <w:rPr>
          <w:sz w:val="24"/>
        </w:rPr>
      </w:pPr>
      <w:r>
        <w:rPr>
          <w:rFonts w:hint="eastAsia"/>
          <w:sz w:val="24"/>
        </w:rPr>
        <w:t>2016-4-10</w:t>
      </w:r>
    </w:p>
    <w:p>
      <w:pPr>
        <w:spacing w:line="360" w:lineRule="auto"/>
        <w:rPr>
          <w:rFonts w:ascii="黑体" w:eastAsia="黑体"/>
          <w:sz w:val="28"/>
          <w:szCs w:val="28"/>
        </w:rPr>
      </w:pPr>
      <w:r>
        <w:rPr>
          <w:sz w:val="24"/>
        </w:rPr>
        <w:br w:type="page"/>
      </w:r>
      <w:r>
        <w:rPr>
          <w:rFonts w:hint="eastAsia" w:ascii="黑体" w:eastAsia="黑体"/>
          <w:sz w:val="28"/>
          <w:szCs w:val="28"/>
        </w:rPr>
        <w:t>附件一： 创意组竞赛报名表</w:t>
      </w:r>
    </w:p>
    <w:p>
      <w:pPr>
        <w:spacing w:line="360" w:lineRule="auto"/>
        <w:rPr>
          <w:rFonts w:ascii="黑体" w:eastAsia="黑体"/>
          <w:sz w:val="28"/>
          <w:szCs w:val="28"/>
        </w:rPr>
      </w:pPr>
    </w:p>
    <w:p>
      <w:pPr>
        <w:jc w:val="center"/>
        <w:rPr>
          <w:b/>
          <w:bCs/>
          <w:color w:val="000000"/>
          <w:sz w:val="36"/>
          <w:szCs w:val="32"/>
        </w:rPr>
      </w:pPr>
      <w:r>
        <w:rPr>
          <w:b/>
          <w:bCs/>
          <w:color w:val="000000"/>
          <w:sz w:val="36"/>
          <w:szCs w:val="32"/>
        </w:rPr>
        <w:t>第</w:t>
      </w:r>
      <w:r>
        <w:rPr>
          <w:rFonts w:hint="eastAsia"/>
          <w:b/>
          <w:bCs/>
          <w:color w:val="000000"/>
          <w:sz w:val="36"/>
          <w:szCs w:val="32"/>
        </w:rPr>
        <w:t>十一</w:t>
      </w:r>
      <w:r>
        <w:rPr>
          <w:b/>
          <w:bCs/>
          <w:color w:val="000000"/>
          <w:sz w:val="36"/>
          <w:szCs w:val="32"/>
        </w:rPr>
        <w:t>届“</w:t>
      </w:r>
      <w:r>
        <w:rPr>
          <w:rFonts w:hint="eastAsia"/>
          <w:b/>
          <w:bCs/>
          <w:color w:val="000000"/>
          <w:sz w:val="36"/>
          <w:szCs w:val="32"/>
        </w:rPr>
        <w:t>恩智浦</w:t>
      </w:r>
      <w:r>
        <w:rPr>
          <w:b/>
          <w:bCs/>
          <w:color w:val="000000"/>
          <w:sz w:val="36"/>
          <w:szCs w:val="32"/>
        </w:rPr>
        <w:t>”杯全国大学生智能</w:t>
      </w:r>
      <w:r>
        <w:rPr>
          <w:rFonts w:hint="eastAsia"/>
          <w:b/>
          <w:bCs/>
          <w:color w:val="000000"/>
          <w:sz w:val="36"/>
          <w:szCs w:val="32"/>
        </w:rPr>
        <w:t>汽车竞赛</w:t>
      </w:r>
    </w:p>
    <w:p>
      <w:pPr>
        <w:jc w:val="center"/>
        <w:rPr>
          <w:b/>
          <w:bCs/>
          <w:color w:val="000000"/>
          <w:sz w:val="36"/>
          <w:szCs w:val="32"/>
        </w:rPr>
      </w:pPr>
      <w:r>
        <w:rPr>
          <w:rFonts w:hint="eastAsia"/>
          <w:b/>
          <w:bCs/>
          <w:color w:val="000000"/>
          <w:sz w:val="36"/>
          <w:szCs w:val="32"/>
        </w:rPr>
        <w:t>创意组竞赛报名表</w:t>
      </w:r>
    </w:p>
    <w:p>
      <w:pPr>
        <w:jc w:val="center"/>
        <w:rPr>
          <w:b/>
          <w:bCs/>
          <w:color w:val="000000"/>
          <w:sz w:val="36"/>
          <w:szCs w:val="32"/>
        </w:rPr>
      </w:pPr>
    </w:p>
    <w:p>
      <w:pPr>
        <w:numPr>
          <w:ilvl w:val="0"/>
          <w:numId w:val="3"/>
        </w:numPr>
        <w:rPr>
          <w:b/>
          <w:bCs/>
          <w:sz w:val="32"/>
        </w:rPr>
      </w:pPr>
      <w:r>
        <w:rPr>
          <w:rFonts w:hint="eastAsia"/>
          <w:b/>
          <w:bCs/>
          <w:sz w:val="32"/>
        </w:rPr>
        <w:t>基本信息</w:t>
      </w:r>
    </w:p>
    <w:p>
      <w:pPr>
        <w:rPr>
          <w:b/>
          <w:bCs/>
          <w:sz w:val="28"/>
        </w:rPr>
      </w:pPr>
      <w:r>
        <w:rPr>
          <w:rFonts w:hint="eastAsia"/>
          <w:b/>
          <w:bCs/>
          <w:sz w:val="28"/>
        </w:rPr>
        <w:t>1、队伍基本信息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2700"/>
        <w:gridCol w:w="144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center"/>
          </w:tcPr>
          <w:p>
            <w:pPr>
              <w:jc w:val="center"/>
              <w:rPr>
                <w:sz w:val="24"/>
              </w:rPr>
            </w:pPr>
            <w:r>
              <w:rPr>
                <w:rFonts w:hint="eastAsia"/>
                <w:sz w:val="24"/>
              </w:rPr>
              <w:t>基本信息</w:t>
            </w:r>
          </w:p>
        </w:tc>
        <w:tc>
          <w:tcPr>
            <w:tcW w:w="1440" w:type="dxa"/>
            <w:vAlign w:val="center"/>
          </w:tcPr>
          <w:p>
            <w:pPr>
              <w:jc w:val="center"/>
              <w:rPr>
                <w:sz w:val="24"/>
              </w:rPr>
            </w:pPr>
            <w:r>
              <w:rPr>
                <w:rFonts w:hint="eastAsia"/>
                <w:sz w:val="24"/>
              </w:rPr>
              <w:t>队伍名称</w:t>
            </w:r>
          </w:p>
        </w:tc>
        <w:tc>
          <w:tcPr>
            <w:tcW w:w="2700" w:type="dxa"/>
            <w:vAlign w:val="center"/>
          </w:tcPr>
          <w:p>
            <w:pPr>
              <w:jc w:val="center"/>
              <w:rPr>
                <w:sz w:val="24"/>
              </w:rPr>
            </w:pPr>
          </w:p>
        </w:tc>
        <w:tc>
          <w:tcPr>
            <w:tcW w:w="1440" w:type="dxa"/>
            <w:vAlign w:val="center"/>
          </w:tcPr>
          <w:p>
            <w:pPr>
              <w:jc w:val="center"/>
              <w:rPr>
                <w:sz w:val="24"/>
              </w:rPr>
            </w:pPr>
            <w:r>
              <w:rPr>
                <w:rFonts w:hint="eastAsia"/>
                <w:sz w:val="24"/>
              </w:rPr>
              <w:t>所属学校</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Align w:val="center"/>
          </w:tcPr>
          <w:p>
            <w:pPr>
              <w:jc w:val="center"/>
              <w:rPr>
                <w:sz w:val="24"/>
              </w:rPr>
            </w:pPr>
            <w:r>
              <w:rPr>
                <w:rFonts w:hint="eastAsia"/>
                <w:sz w:val="24"/>
              </w:rPr>
              <w:t>组别</w:t>
            </w:r>
          </w:p>
        </w:tc>
        <w:tc>
          <w:tcPr>
            <w:tcW w:w="7694" w:type="dxa"/>
            <w:gridSpan w:val="4"/>
            <w:vAlign w:val="center"/>
          </w:tcPr>
          <w:p>
            <w:pPr>
              <w:jc w:val="center"/>
              <w:rPr>
                <w:sz w:val="24"/>
              </w:rPr>
            </w:pPr>
            <w:r>
              <w:rPr>
                <w:rFonts w:hint="eastAsia" w:asciiTheme="minorEastAsia" w:hAnsiTheme="minorEastAsia"/>
                <w:sz w:val="24"/>
              </w:rPr>
              <w:t>□</w:t>
            </w:r>
            <w:r>
              <w:rPr>
                <w:rFonts w:hint="eastAsia"/>
                <w:sz w:val="24"/>
              </w:rPr>
              <w:t xml:space="preserve"> 节能指标组              </w:t>
            </w:r>
            <w:r>
              <w:rPr>
                <w:rFonts w:hint="eastAsia" w:asciiTheme="minorEastAsia" w:hAnsiTheme="minorEastAsia"/>
                <w:sz w:val="24"/>
              </w:rPr>
              <w:t xml:space="preserve">□ </w:t>
            </w:r>
            <w:r>
              <w:rPr>
                <w:rFonts w:hint="eastAsia"/>
                <w:sz w:val="24"/>
              </w:rPr>
              <w:t xml:space="preserve">物联网主题组            </w:t>
            </w:r>
          </w:p>
        </w:tc>
      </w:tr>
    </w:tbl>
    <w:p>
      <w:pPr/>
    </w:p>
    <w:p>
      <w:pPr>
        <w:rPr>
          <w:b/>
          <w:sz w:val="28"/>
        </w:rPr>
      </w:pPr>
      <w:r>
        <w:rPr>
          <w:rFonts w:hint="eastAsia"/>
          <w:b/>
          <w:sz w:val="28"/>
        </w:rPr>
        <w:t>2、参赛队员信息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2700"/>
        <w:gridCol w:w="144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restart"/>
            <w:vAlign w:val="center"/>
          </w:tcPr>
          <w:p>
            <w:pPr>
              <w:jc w:val="center"/>
              <w:rPr>
                <w:sz w:val="24"/>
              </w:rPr>
            </w:pPr>
            <w:r>
              <w:rPr>
                <w:rFonts w:hint="eastAsia"/>
                <w:sz w:val="24"/>
              </w:rPr>
              <w:t>参赛队员信息</w:t>
            </w:r>
          </w:p>
        </w:tc>
        <w:tc>
          <w:tcPr>
            <w:tcW w:w="1440" w:type="dxa"/>
            <w:vAlign w:val="center"/>
          </w:tcPr>
          <w:p>
            <w:pPr>
              <w:jc w:val="center"/>
              <w:rPr>
                <w:sz w:val="24"/>
              </w:rPr>
            </w:pPr>
            <w:r>
              <w:rPr>
                <w:rFonts w:hint="eastAsia"/>
                <w:sz w:val="24"/>
              </w:rPr>
              <w:t>姓名</w:t>
            </w:r>
          </w:p>
        </w:tc>
        <w:tc>
          <w:tcPr>
            <w:tcW w:w="2700" w:type="dxa"/>
            <w:vAlign w:val="center"/>
          </w:tcPr>
          <w:p>
            <w:pPr>
              <w:jc w:val="center"/>
              <w:rPr>
                <w:sz w:val="24"/>
              </w:rPr>
            </w:pPr>
          </w:p>
        </w:tc>
        <w:tc>
          <w:tcPr>
            <w:tcW w:w="1440" w:type="dxa"/>
            <w:vAlign w:val="center"/>
          </w:tcPr>
          <w:p>
            <w:pPr>
              <w:jc w:val="center"/>
              <w:rPr>
                <w:sz w:val="24"/>
              </w:rPr>
            </w:pPr>
            <w:r>
              <w:rPr>
                <w:rFonts w:hint="eastAsia"/>
                <w:sz w:val="24"/>
              </w:rPr>
              <w:t>学号</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性别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年龄</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学生类别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班级</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联系电话</w:t>
            </w:r>
          </w:p>
        </w:tc>
        <w:tc>
          <w:tcPr>
            <w:tcW w:w="2114" w:type="dxa"/>
            <w:vAlign w:val="center"/>
          </w:tcPr>
          <w:p>
            <w:pPr>
              <w:jc w:val="center"/>
              <w:rPr>
                <w:sz w:val="24"/>
              </w:rPr>
            </w:pPr>
          </w:p>
        </w:tc>
      </w:tr>
      <w:tr>
        <w:tblPrEx>
          <w:tblLayout w:type="fixed"/>
          <w:tblCellMar>
            <w:top w:w="0" w:type="dxa"/>
            <w:left w:w="108" w:type="dxa"/>
            <w:bottom w:w="0" w:type="dxa"/>
            <w:right w:w="108" w:type="dxa"/>
          </w:tblCellMar>
        </w:tblPrEx>
        <w:trPr>
          <w:cantSpli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电子邮箱</w:t>
            </w:r>
          </w:p>
        </w:tc>
        <w:tc>
          <w:tcPr>
            <w:tcW w:w="6254" w:type="dxa"/>
            <w:gridSpan w:val="3"/>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restart"/>
            <w:vAlign w:val="center"/>
          </w:tcPr>
          <w:p>
            <w:pPr>
              <w:jc w:val="center"/>
              <w:rPr>
                <w:sz w:val="24"/>
              </w:rPr>
            </w:pPr>
            <w:r>
              <w:rPr>
                <w:rFonts w:hint="eastAsia"/>
                <w:sz w:val="24"/>
              </w:rPr>
              <w:t>参赛队员信息</w:t>
            </w:r>
          </w:p>
        </w:tc>
        <w:tc>
          <w:tcPr>
            <w:tcW w:w="1440" w:type="dxa"/>
            <w:vAlign w:val="center"/>
          </w:tcPr>
          <w:p>
            <w:pPr>
              <w:jc w:val="center"/>
              <w:rPr>
                <w:sz w:val="24"/>
              </w:rPr>
            </w:pPr>
            <w:r>
              <w:rPr>
                <w:rFonts w:hint="eastAsia"/>
                <w:sz w:val="24"/>
              </w:rPr>
              <w:t>姓名</w:t>
            </w:r>
          </w:p>
        </w:tc>
        <w:tc>
          <w:tcPr>
            <w:tcW w:w="2700" w:type="dxa"/>
            <w:vAlign w:val="center"/>
          </w:tcPr>
          <w:p>
            <w:pPr>
              <w:jc w:val="center"/>
              <w:rPr>
                <w:sz w:val="24"/>
              </w:rPr>
            </w:pPr>
          </w:p>
        </w:tc>
        <w:tc>
          <w:tcPr>
            <w:tcW w:w="1440" w:type="dxa"/>
            <w:vAlign w:val="center"/>
          </w:tcPr>
          <w:p>
            <w:pPr>
              <w:jc w:val="center"/>
              <w:rPr>
                <w:sz w:val="24"/>
              </w:rPr>
            </w:pPr>
            <w:r>
              <w:rPr>
                <w:rFonts w:hint="eastAsia"/>
                <w:sz w:val="24"/>
              </w:rPr>
              <w:t>学号</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性别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年龄</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学生类别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班级</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联系电话</w:t>
            </w:r>
          </w:p>
        </w:tc>
        <w:tc>
          <w:tcPr>
            <w:tcW w:w="2114" w:type="dxa"/>
            <w:vAlign w:val="center"/>
          </w:tcPr>
          <w:p>
            <w:pPr>
              <w:jc w:val="center"/>
              <w:rPr>
                <w:sz w:val="24"/>
              </w:rPr>
            </w:pPr>
          </w:p>
        </w:tc>
      </w:tr>
      <w:tr>
        <w:tblPrEx>
          <w:tblLayout w:type="fixed"/>
          <w:tblCellMar>
            <w:top w:w="0" w:type="dxa"/>
            <w:left w:w="108" w:type="dxa"/>
            <w:bottom w:w="0" w:type="dxa"/>
            <w:right w:w="108" w:type="dxa"/>
          </w:tblCellMar>
        </w:tblPrEx>
        <w:trPr>
          <w:cantSpli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电子邮箱</w:t>
            </w:r>
          </w:p>
        </w:tc>
        <w:tc>
          <w:tcPr>
            <w:tcW w:w="6254" w:type="dxa"/>
            <w:gridSpan w:val="3"/>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restart"/>
            <w:vAlign w:val="center"/>
          </w:tcPr>
          <w:p>
            <w:pPr>
              <w:jc w:val="center"/>
              <w:rPr>
                <w:sz w:val="24"/>
              </w:rPr>
            </w:pPr>
            <w:r>
              <w:rPr>
                <w:rFonts w:hint="eastAsia"/>
                <w:sz w:val="24"/>
              </w:rPr>
              <w:t>参赛队员信息</w:t>
            </w:r>
          </w:p>
        </w:tc>
        <w:tc>
          <w:tcPr>
            <w:tcW w:w="1440" w:type="dxa"/>
            <w:vAlign w:val="center"/>
          </w:tcPr>
          <w:p>
            <w:pPr>
              <w:jc w:val="center"/>
              <w:rPr>
                <w:sz w:val="24"/>
              </w:rPr>
            </w:pPr>
            <w:r>
              <w:rPr>
                <w:rFonts w:hint="eastAsia"/>
                <w:sz w:val="24"/>
              </w:rPr>
              <w:t>姓名</w:t>
            </w:r>
          </w:p>
        </w:tc>
        <w:tc>
          <w:tcPr>
            <w:tcW w:w="2700" w:type="dxa"/>
            <w:vAlign w:val="center"/>
          </w:tcPr>
          <w:p>
            <w:pPr>
              <w:jc w:val="center"/>
              <w:rPr>
                <w:sz w:val="24"/>
              </w:rPr>
            </w:pPr>
          </w:p>
        </w:tc>
        <w:tc>
          <w:tcPr>
            <w:tcW w:w="1440" w:type="dxa"/>
            <w:vAlign w:val="center"/>
          </w:tcPr>
          <w:p>
            <w:pPr>
              <w:jc w:val="center"/>
              <w:rPr>
                <w:sz w:val="24"/>
              </w:rPr>
            </w:pPr>
            <w:r>
              <w:rPr>
                <w:rFonts w:hint="eastAsia"/>
                <w:sz w:val="24"/>
              </w:rPr>
              <w:t>学号</w:t>
            </w:r>
          </w:p>
        </w:tc>
        <w:tc>
          <w:tcPr>
            <w:tcW w:w="2114" w:type="dxa"/>
            <w:vAlign w:val="center"/>
          </w:tcPr>
          <w:p>
            <w:pPr>
              <w:jc w:val="center"/>
              <w:rPr>
                <w:sz w:val="24"/>
              </w:rPr>
            </w:pPr>
          </w:p>
        </w:tc>
      </w:tr>
      <w:tr>
        <w:tblPrEx>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性别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年龄</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学生类别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班级</w:t>
            </w:r>
          </w:p>
        </w:tc>
        <w:tc>
          <w:tcPr>
            <w:tcW w:w="2114" w:type="dxa"/>
            <w:vAlign w:val="center"/>
          </w:tcPr>
          <w:p>
            <w:pPr>
              <w:jc w:val="center"/>
              <w:rPr>
                <w:sz w:val="24"/>
              </w:rPr>
            </w:pPr>
          </w:p>
        </w:tc>
      </w:tr>
      <w:tr>
        <w:tblPrEx>
          <w:tblLayout w:type="fixed"/>
          <w:tblCellMar>
            <w:top w:w="0" w:type="dxa"/>
            <w:left w:w="108" w:type="dxa"/>
            <w:bottom w:w="0" w:type="dxa"/>
            <w:right w:w="108" w:type="dxa"/>
          </w:tblCellMar>
        </w:tblPrEx>
        <w:trPr>
          <w:cantSplit/>
          <w:trHeight w:val="468"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系别</w:t>
            </w:r>
          </w:p>
        </w:tc>
        <w:tc>
          <w:tcPr>
            <w:tcW w:w="2700" w:type="dxa"/>
            <w:vAlign w:val="center"/>
          </w:tcPr>
          <w:p>
            <w:pPr>
              <w:jc w:val="center"/>
              <w:rPr>
                <w:sz w:val="24"/>
              </w:rPr>
            </w:pPr>
          </w:p>
        </w:tc>
        <w:tc>
          <w:tcPr>
            <w:tcW w:w="1440" w:type="dxa"/>
            <w:vAlign w:val="center"/>
          </w:tcPr>
          <w:p>
            <w:pPr>
              <w:jc w:val="center"/>
              <w:rPr>
                <w:sz w:val="24"/>
              </w:rPr>
            </w:pPr>
            <w:r>
              <w:rPr>
                <w:rFonts w:hint="eastAsia"/>
                <w:sz w:val="24"/>
              </w:rPr>
              <w:t>联系电话</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电子邮箱</w:t>
            </w:r>
          </w:p>
        </w:tc>
        <w:tc>
          <w:tcPr>
            <w:tcW w:w="6254" w:type="dxa"/>
            <w:gridSpan w:val="3"/>
            <w:vAlign w:val="center"/>
          </w:tcPr>
          <w:p>
            <w:pPr>
              <w:jc w:val="center"/>
              <w:rPr>
                <w:sz w:val="24"/>
              </w:rPr>
            </w:pPr>
          </w:p>
        </w:tc>
      </w:tr>
    </w:tbl>
    <w:p>
      <w:pPr>
        <w:rPr>
          <w:b/>
          <w:sz w:val="28"/>
        </w:rPr>
      </w:pPr>
      <w:r>
        <w:rPr>
          <w:rFonts w:hint="eastAsia"/>
        </w:rPr>
        <w:t>注：如果参赛队员超过3名队员，可以将上述表格扩展至5名队员。</w:t>
      </w:r>
    </w:p>
    <w:p>
      <w:pPr>
        <w:rPr>
          <w:b/>
          <w:sz w:val="28"/>
        </w:rPr>
      </w:pPr>
    </w:p>
    <w:p>
      <w:pPr>
        <w:rPr>
          <w:b/>
          <w:sz w:val="28"/>
        </w:rPr>
      </w:pPr>
      <w:r>
        <w:rPr>
          <w:rFonts w:hint="eastAsia"/>
          <w:b/>
          <w:sz w:val="28"/>
        </w:rPr>
        <w:t>3、指导教师信息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440"/>
        <w:gridCol w:w="2700"/>
        <w:gridCol w:w="144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restart"/>
            <w:vAlign w:val="center"/>
          </w:tcPr>
          <w:p>
            <w:pPr>
              <w:jc w:val="center"/>
              <w:rPr>
                <w:sz w:val="24"/>
              </w:rPr>
            </w:pPr>
            <w:r>
              <w:rPr>
                <w:rFonts w:hint="eastAsia"/>
                <w:sz w:val="24"/>
              </w:rPr>
              <w:t>带队教师信息</w:t>
            </w:r>
          </w:p>
          <w:p>
            <w:pPr>
              <w:jc w:val="center"/>
              <w:rPr>
                <w:sz w:val="24"/>
              </w:rPr>
            </w:pPr>
            <w:r>
              <w:rPr>
                <w:rFonts w:hint="eastAsia"/>
                <w:sz w:val="24"/>
              </w:rPr>
              <w:t>（1）</w:t>
            </w:r>
          </w:p>
        </w:tc>
        <w:tc>
          <w:tcPr>
            <w:tcW w:w="1440" w:type="dxa"/>
            <w:vAlign w:val="center"/>
          </w:tcPr>
          <w:p>
            <w:pPr>
              <w:jc w:val="center"/>
              <w:rPr>
                <w:sz w:val="24"/>
              </w:rPr>
            </w:pPr>
            <w:r>
              <w:rPr>
                <w:rFonts w:hint="eastAsia"/>
                <w:sz w:val="24"/>
              </w:rPr>
              <w:t>姓名</w:t>
            </w:r>
          </w:p>
        </w:tc>
        <w:tc>
          <w:tcPr>
            <w:tcW w:w="2700" w:type="dxa"/>
            <w:vAlign w:val="center"/>
          </w:tcPr>
          <w:p>
            <w:pPr>
              <w:jc w:val="center"/>
              <w:rPr>
                <w:sz w:val="24"/>
              </w:rPr>
            </w:pPr>
          </w:p>
        </w:tc>
        <w:tc>
          <w:tcPr>
            <w:tcW w:w="1440" w:type="dxa"/>
            <w:vAlign w:val="center"/>
          </w:tcPr>
          <w:p>
            <w:pPr>
              <w:jc w:val="center"/>
              <w:rPr>
                <w:sz w:val="24"/>
              </w:rPr>
            </w:pPr>
            <w:r>
              <w:rPr>
                <w:rFonts w:hint="eastAsia"/>
                <w:sz w:val="24"/>
              </w:rPr>
              <w:t>性别</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年龄</w:t>
            </w:r>
          </w:p>
        </w:tc>
        <w:tc>
          <w:tcPr>
            <w:tcW w:w="2700" w:type="dxa"/>
            <w:vAlign w:val="center"/>
          </w:tcPr>
          <w:p>
            <w:pPr>
              <w:jc w:val="center"/>
              <w:rPr>
                <w:sz w:val="24"/>
              </w:rPr>
            </w:pPr>
          </w:p>
        </w:tc>
        <w:tc>
          <w:tcPr>
            <w:tcW w:w="1440" w:type="dxa"/>
            <w:vAlign w:val="center"/>
          </w:tcPr>
          <w:p>
            <w:pPr>
              <w:jc w:val="center"/>
              <w:rPr>
                <w:sz w:val="24"/>
              </w:rPr>
            </w:pPr>
            <w:r>
              <w:rPr>
                <w:rFonts w:hint="eastAsia"/>
                <w:sz w:val="24"/>
              </w:rPr>
              <w:t>系别</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职务</w:t>
            </w:r>
          </w:p>
        </w:tc>
        <w:tc>
          <w:tcPr>
            <w:tcW w:w="2700" w:type="dxa"/>
            <w:vAlign w:val="center"/>
          </w:tcPr>
          <w:p>
            <w:pPr>
              <w:jc w:val="center"/>
              <w:rPr>
                <w:sz w:val="24"/>
              </w:rPr>
            </w:pPr>
          </w:p>
        </w:tc>
        <w:tc>
          <w:tcPr>
            <w:tcW w:w="1440" w:type="dxa"/>
            <w:vAlign w:val="center"/>
          </w:tcPr>
          <w:p>
            <w:pPr>
              <w:jc w:val="center"/>
              <w:rPr>
                <w:sz w:val="24"/>
              </w:rPr>
            </w:pPr>
            <w:r>
              <w:rPr>
                <w:rFonts w:hint="eastAsia"/>
                <w:sz w:val="24"/>
              </w:rPr>
              <w:t>职称</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固定电话</w:t>
            </w:r>
          </w:p>
        </w:tc>
        <w:tc>
          <w:tcPr>
            <w:tcW w:w="2700" w:type="dxa"/>
            <w:vAlign w:val="center"/>
          </w:tcPr>
          <w:p>
            <w:pPr>
              <w:jc w:val="center"/>
              <w:rPr>
                <w:sz w:val="24"/>
              </w:rPr>
            </w:pPr>
          </w:p>
        </w:tc>
        <w:tc>
          <w:tcPr>
            <w:tcW w:w="1440" w:type="dxa"/>
            <w:vAlign w:val="center"/>
          </w:tcPr>
          <w:p>
            <w:pPr>
              <w:jc w:val="center"/>
              <w:rPr>
                <w:sz w:val="24"/>
              </w:rPr>
            </w:pPr>
            <w:r>
              <w:rPr>
                <w:rFonts w:hint="eastAsia"/>
                <w:sz w:val="24"/>
              </w:rPr>
              <w:t>移动电话</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电子邮箱</w:t>
            </w:r>
          </w:p>
        </w:tc>
        <w:tc>
          <w:tcPr>
            <w:tcW w:w="6254" w:type="dxa"/>
            <w:gridSpan w:val="3"/>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通信地址</w:t>
            </w:r>
          </w:p>
        </w:tc>
        <w:tc>
          <w:tcPr>
            <w:tcW w:w="2700" w:type="dxa"/>
            <w:vAlign w:val="center"/>
          </w:tcPr>
          <w:p>
            <w:pPr>
              <w:jc w:val="center"/>
              <w:rPr>
                <w:sz w:val="24"/>
              </w:rPr>
            </w:pPr>
          </w:p>
        </w:tc>
        <w:tc>
          <w:tcPr>
            <w:tcW w:w="1440" w:type="dxa"/>
            <w:vAlign w:val="center"/>
          </w:tcPr>
          <w:p>
            <w:pPr>
              <w:jc w:val="center"/>
              <w:rPr>
                <w:sz w:val="24"/>
              </w:rPr>
            </w:pPr>
            <w:r>
              <w:rPr>
                <w:rFonts w:hint="eastAsia"/>
                <w:sz w:val="24"/>
              </w:rPr>
              <w:t>邮政编码</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restart"/>
            <w:vAlign w:val="center"/>
          </w:tcPr>
          <w:p>
            <w:pPr>
              <w:jc w:val="center"/>
              <w:rPr>
                <w:sz w:val="24"/>
              </w:rPr>
            </w:pPr>
            <w:r>
              <w:rPr>
                <w:rFonts w:hint="eastAsia"/>
                <w:sz w:val="24"/>
              </w:rPr>
              <w:t>带队教师信息</w:t>
            </w:r>
          </w:p>
          <w:p>
            <w:pPr>
              <w:jc w:val="center"/>
              <w:rPr>
                <w:sz w:val="24"/>
              </w:rPr>
            </w:pPr>
            <w:r>
              <w:rPr>
                <w:rFonts w:hint="eastAsia"/>
                <w:sz w:val="24"/>
              </w:rPr>
              <w:t>（2）</w:t>
            </w:r>
          </w:p>
          <w:p>
            <w:pPr>
              <w:jc w:val="center"/>
              <w:rPr>
                <w:sz w:val="24"/>
              </w:rPr>
            </w:pPr>
          </w:p>
          <w:p>
            <w:pPr>
              <w:jc w:val="center"/>
              <w:rPr>
                <w:sz w:val="24"/>
              </w:rPr>
            </w:pPr>
            <w:r>
              <w:rPr>
                <w:rFonts w:hint="eastAsia"/>
                <w:sz w:val="24"/>
              </w:rPr>
              <w:t>可选</w:t>
            </w:r>
          </w:p>
        </w:tc>
        <w:tc>
          <w:tcPr>
            <w:tcW w:w="1440" w:type="dxa"/>
            <w:vAlign w:val="center"/>
          </w:tcPr>
          <w:p>
            <w:pPr>
              <w:jc w:val="center"/>
              <w:rPr>
                <w:sz w:val="24"/>
              </w:rPr>
            </w:pPr>
            <w:r>
              <w:rPr>
                <w:rFonts w:hint="eastAsia"/>
                <w:sz w:val="24"/>
              </w:rPr>
              <w:t>姓名</w:t>
            </w:r>
          </w:p>
        </w:tc>
        <w:tc>
          <w:tcPr>
            <w:tcW w:w="2700" w:type="dxa"/>
            <w:vAlign w:val="center"/>
          </w:tcPr>
          <w:p>
            <w:pPr>
              <w:jc w:val="center"/>
              <w:rPr>
                <w:sz w:val="24"/>
              </w:rPr>
            </w:pPr>
          </w:p>
        </w:tc>
        <w:tc>
          <w:tcPr>
            <w:tcW w:w="1440" w:type="dxa"/>
            <w:vAlign w:val="center"/>
          </w:tcPr>
          <w:p>
            <w:pPr>
              <w:jc w:val="center"/>
              <w:rPr>
                <w:sz w:val="24"/>
              </w:rPr>
            </w:pPr>
            <w:r>
              <w:rPr>
                <w:rFonts w:hint="eastAsia"/>
                <w:sz w:val="24"/>
              </w:rPr>
              <w:t>性别</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年龄</w:t>
            </w:r>
          </w:p>
        </w:tc>
        <w:tc>
          <w:tcPr>
            <w:tcW w:w="2700" w:type="dxa"/>
            <w:vAlign w:val="center"/>
          </w:tcPr>
          <w:p>
            <w:pPr>
              <w:jc w:val="center"/>
              <w:rPr>
                <w:sz w:val="24"/>
              </w:rPr>
            </w:pPr>
          </w:p>
        </w:tc>
        <w:tc>
          <w:tcPr>
            <w:tcW w:w="1440" w:type="dxa"/>
            <w:vAlign w:val="center"/>
          </w:tcPr>
          <w:p>
            <w:pPr>
              <w:jc w:val="center"/>
              <w:rPr>
                <w:sz w:val="24"/>
              </w:rPr>
            </w:pPr>
            <w:r>
              <w:rPr>
                <w:rFonts w:hint="eastAsia"/>
                <w:sz w:val="24"/>
              </w:rPr>
              <w:t>系别</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职务</w:t>
            </w:r>
          </w:p>
        </w:tc>
        <w:tc>
          <w:tcPr>
            <w:tcW w:w="2700" w:type="dxa"/>
            <w:vAlign w:val="center"/>
          </w:tcPr>
          <w:p>
            <w:pPr>
              <w:jc w:val="center"/>
              <w:rPr>
                <w:sz w:val="24"/>
              </w:rPr>
            </w:pPr>
          </w:p>
        </w:tc>
        <w:tc>
          <w:tcPr>
            <w:tcW w:w="1440" w:type="dxa"/>
            <w:vAlign w:val="center"/>
          </w:tcPr>
          <w:p>
            <w:pPr>
              <w:jc w:val="center"/>
              <w:rPr>
                <w:sz w:val="24"/>
              </w:rPr>
            </w:pPr>
            <w:r>
              <w:rPr>
                <w:rFonts w:hint="eastAsia"/>
                <w:sz w:val="24"/>
              </w:rPr>
              <w:t>职称</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固定电话</w:t>
            </w:r>
          </w:p>
        </w:tc>
        <w:tc>
          <w:tcPr>
            <w:tcW w:w="2700" w:type="dxa"/>
            <w:vAlign w:val="center"/>
          </w:tcPr>
          <w:p>
            <w:pPr>
              <w:jc w:val="center"/>
              <w:rPr>
                <w:sz w:val="24"/>
              </w:rPr>
            </w:pPr>
          </w:p>
        </w:tc>
        <w:tc>
          <w:tcPr>
            <w:tcW w:w="1440" w:type="dxa"/>
            <w:vAlign w:val="center"/>
          </w:tcPr>
          <w:p>
            <w:pPr>
              <w:jc w:val="center"/>
              <w:rPr>
                <w:sz w:val="24"/>
              </w:rPr>
            </w:pPr>
            <w:r>
              <w:rPr>
                <w:rFonts w:hint="eastAsia"/>
                <w:sz w:val="24"/>
              </w:rPr>
              <w:t>移动电话</w:t>
            </w: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电子邮箱</w:t>
            </w:r>
          </w:p>
        </w:tc>
        <w:tc>
          <w:tcPr>
            <w:tcW w:w="2700" w:type="dxa"/>
            <w:vAlign w:val="center"/>
          </w:tcPr>
          <w:p>
            <w:pPr>
              <w:jc w:val="center"/>
              <w:rPr>
                <w:sz w:val="24"/>
              </w:rPr>
            </w:pPr>
          </w:p>
        </w:tc>
        <w:tc>
          <w:tcPr>
            <w:tcW w:w="1440" w:type="dxa"/>
            <w:vAlign w:val="center"/>
          </w:tcPr>
          <w:p>
            <w:pPr>
              <w:jc w:val="center"/>
              <w:rPr>
                <w:sz w:val="24"/>
              </w:rPr>
            </w:pPr>
          </w:p>
        </w:tc>
        <w:tc>
          <w:tcPr>
            <w:tcW w:w="2114"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1" w:hRule="atLeast"/>
        </w:trPr>
        <w:tc>
          <w:tcPr>
            <w:tcW w:w="828" w:type="dxa"/>
            <w:vMerge w:val="continue"/>
            <w:vAlign w:val="center"/>
          </w:tcPr>
          <w:p>
            <w:pPr>
              <w:jc w:val="center"/>
              <w:rPr>
                <w:sz w:val="24"/>
              </w:rPr>
            </w:pPr>
          </w:p>
        </w:tc>
        <w:tc>
          <w:tcPr>
            <w:tcW w:w="1440" w:type="dxa"/>
            <w:vAlign w:val="center"/>
          </w:tcPr>
          <w:p>
            <w:pPr>
              <w:jc w:val="center"/>
              <w:rPr>
                <w:sz w:val="24"/>
              </w:rPr>
            </w:pPr>
            <w:r>
              <w:rPr>
                <w:rFonts w:hint="eastAsia"/>
                <w:sz w:val="24"/>
              </w:rPr>
              <w:t>通信地址</w:t>
            </w:r>
          </w:p>
        </w:tc>
        <w:tc>
          <w:tcPr>
            <w:tcW w:w="2700" w:type="dxa"/>
            <w:vAlign w:val="center"/>
          </w:tcPr>
          <w:p>
            <w:pPr>
              <w:jc w:val="center"/>
              <w:rPr>
                <w:sz w:val="24"/>
              </w:rPr>
            </w:pPr>
          </w:p>
        </w:tc>
        <w:tc>
          <w:tcPr>
            <w:tcW w:w="1440" w:type="dxa"/>
            <w:vAlign w:val="center"/>
          </w:tcPr>
          <w:p>
            <w:pPr>
              <w:jc w:val="center"/>
              <w:rPr>
                <w:sz w:val="24"/>
              </w:rPr>
            </w:pPr>
            <w:r>
              <w:rPr>
                <w:rFonts w:hint="eastAsia"/>
                <w:sz w:val="24"/>
              </w:rPr>
              <w:t>邮政编码</w:t>
            </w:r>
          </w:p>
        </w:tc>
        <w:tc>
          <w:tcPr>
            <w:tcW w:w="2114" w:type="dxa"/>
            <w:vAlign w:val="center"/>
          </w:tcPr>
          <w:p>
            <w:pPr>
              <w:jc w:val="center"/>
              <w:rPr>
                <w:sz w:val="24"/>
              </w:rPr>
            </w:pPr>
          </w:p>
        </w:tc>
      </w:tr>
    </w:tbl>
    <w:p>
      <w:pPr/>
    </w:p>
    <w:p>
      <w:pPr/>
    </w:p>
    <w:p>
      <w:pPr>
        <w:numPr>
          <w:ilvl w:val="0"/>
          <w:numId w:val="3"/>
        </w:numPr>
        <w:rPr>
          <w:rFonts w:ascii="宋体" w:hAnsi="宋体"/>
          <w:b/>
          <w:bCs/>
          <w:sz w:val="28"/>
        </w:rPr>
      </w:pPr>
      <w:r>
        <w:rPr>
          <w:rFonts w:hint="eastAsia" w:ascii="宋体" w:hAnsi="宋体"/>
          <w:b/>
          <w:bCs/>
          <w:sz w:val="28"/>
        </w:rPr>
        <w:t>创意比赛作品简介</w:t>
      </w:r>
    </w:p>
    <w:p>
      <w:pPr>
        <w:numPr>
          <w:numId w:val="0"/>
        </w:numPr>
        <w:ind w:leftChars="0" w:firstLine="420" w:firstLineChars="0"/>
        <w:rPr>
          <w:rFonts w:hint="eastAsia" w:ascii="宋体" w:hAnsi="宋体" w:eastAsiaTheme="minorEastAsia"/>
          <w:b/>
          <w:bCs/>
          <w:sz w:val="28"/>
          <w:lang w:val="en-US" w:eastAsia="zh-CN"/>
        </w:rPr>
      </w:pPr>
      <w:r>
        <w:rPr>
          <w:rFonts w:hint="eastAsia" w:ascii="宋体" w:hAnsi="宋体"/>
          <w:b/>
          <w:bCs/>
          <w:sz w:val="28"/>
          <w:lang w:val="en-US" w:eastAsia="zh-CN"/>
        </w:rPr>
        <w:t>本作品采用LT4320和四个场效应管搭建的理想二极管整流桥对赛道电源做极性矫正，消除了二极管压降带来的损耗。采用buck变换将电压从12V稳压到5V，使用线性稳压将5V稳压到3.3V,在减小能耗和抑制电源纹波上取得平衡。处理器采用恩智浦公司的KL25系列低功耗单片机，在算法控制上合理运用了低功耗模式，并合理地设置系统时钟，最大限度地降低了系统功耗。小车运动采用两个空心杯伺服电机差速驱动和一个球式万向轮支撑</w:t>
      </w:r>
      <w:bookmarkStart w:id="0" w:name="_GoBack"/>
      <w:bookmarkEnd w:id="0"/>
      <w:r>
        <w:rPr>
          <w:rFonts w:hint="eastAsia" w:ascii="宋体" w:hAnsi="宋体"/>
          <w:b/>
          <w:bCs/>
          <w:sz w:val="28"/>
          <w:lang w:val="en-US" w:eastAsia="zh-CN"/>
        </w:rPr>
        <w:t>，在速度和功耗上取得平衡。循迹采用LDC系列电感数字传感器，能够非常精确地识别赛道。</w:t>
      </w: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rPr>
          <w:rFonts w:ascii="宋体" w:hAnsi="宋体"/>
          <w:b/>
          <w:bCs/>
          <w:sz w:val="28"/>
        </w:rPr>
      </w:pPr>
    </w:p>
    <w:p>
      <w:pPr>
        <w:spacing w:line="400" w:lineRule="exact"/>
        <w:rPr>
          <w:b/>
          <w:sz w:val="28"/>
        </w:rPr>
      </w:pPr>
      <w:r>
        <w:rPr>
          <w:rFonts w:hint="eastAsia"/>
          <w:b/>
          <w:sz w:val="28"/>
        </w:rPr>
        <w:t>三、学校推荐意见（盖公章）</w:t>
      </w:r>
    </w:p>
    <w:p>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6</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1D7F"/>
    <w:multiLevelType w:val="multilevel"/>
    <w:tmpl w:val="11EE1D7F"/>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D7C650C"/>
    <w:multiLevelType w:val="multilevel"/>
    <w:tmpl w:val="4D7C650C"/>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F9F2E17"/>
    <w:multiLevelType w:val="multilevel"/>
    <w:tmpl w:val="5F9F2E17"/>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644AA"/>
    <w:rsid w:val="000017C2"/>
    <w:rsid w:val="00042F5B"/>
    <w:rsid w:val="000716C0"/>
    <w:rsid w:val="00094D97"/>
    <w:rsid w:val="000A4007"/>
    <w:rsid w:val="001263DB"/>
    <w:rsid w:val="00194CF0"/>
    <w:rsid w:val="001C0E14"/>
    <w:rsid w:val="00214098"/>
    <w:rsid w:val="0025524E"/>
    <w:rsid w:val="00263719"/>
    <w:rsid w:val="002E10C8"/>
    <w:rsid w:val="00305907"/>
    <w:rsid w:val="003C387B"/>
    <w:rsid w:val="003D7B52"/>
    <w:rsid w:val="0042374F"/>
    <w:rsid w:val="00446403"/>
    <w:rsid w:val="00450365"/>
    <w:rsid w:val="004644AA"/>
    <w:rsid w:val="004671A2"/>
    <w:rsid w:val="00482F93"/>
    <w:rsid w:val="004A49A1"/>
    <w:rsid w:val="00540D38"/>
    <w:rsid w:val="00557C6B"/>
    <w:rsid w:val="006079B8"/>
    <w:rsid w:val="00672FEF"/>
    <w:rsid w:val="00687E71"/>
    <w:rsid w:val="006C595C"/>
    <w:rsid w:val="006D18C7"/>
    <w:rsid w:val="00707AA6"/>
    <w:rsid w:val="007731C9"/>
    <w:rsid w:val="007C110A"/>
    <w:rsid w:val="007C5AC4"/>
    <w:rsid w:val="007C5FBE"/>
    <w:rsid w:val="00826E3C"/>
    <w:rsid w:val="008561B7"/>
    <w:rsid w:val="00867CB8"/>
    <w:rsid w:val="00883971"/>
    <w:rsid w:val="0089104D"/>
    <w:rsid w:val="00894369"/>
    <w:rsid w:val="008C1FDD"/>
    <w:rsid w:val="008F0908"/>
    <w:rsid w:val="00920E46"/>
    <w:rsid w:val="00931C87"/>
    <w:rsid w:val="009332B1"/>
    <w:rsid w:val="0097175E"/>
    <w:rsid w:val="00997269"/>
    <w:rsid w:val="009C113F"/>
    <w:rsid w:val="00A66B9F"/>
    <w:rsid w:val="00B21CAB"/>
    <w:rsid w:val="00B37B8C"/>
    <w:rsid w:val="00B85871"/>
    <w:rsid w:val="00B86DD8"/>
    <w:rsid w:val="00BA3880"/>
    <w:rsid w:val="00C502CF"/>
    <w:rsid w:val="00CF19DC"/>
    <w:rsid w:val="00D05FC8"/>
    <w:rsid w:val="00D51A37"/>
    <w:rsid w:val="00D54CBB"/>
    <w:rsid w:val="00DA70C5"/>
    <w:rsid w:val="00DD6F88"/>
    <w:rsid w:val="00DD7B10"/>
    <w:rsid w:val="00DF6DE9"/>
    <w:rsid w:val="00E24ECC"/>
    <w:rsid w:val="00EA6526"/>
    <w:rsid w:val="00F62CE0"/>
    <w:rsid w:val="00F67DD0"/>
    <w:rsid w:val="00F94B65"/>
    <w:rsid w:val="076C18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9"/>
    <w:unhideWhenUsed/>
    <w:uiPriority w:val="99"/>
    <w:rPr>
      <w:b/>
      <w:bCs/>
    </w:rPr>
  </w:style>
  <w:style w:type="paragraph" w:styleId="4">
    <w:name w:val="annotation text"/>
    <w:basedOn w:val="1"/>
    <w:link w:val="18"/>
    <w:unhideWhenUsed/>
    <w:uiPriority w:val="99"/>
    <w:pPr>
      <w:jc w:val="left"/>
    </w:pPr>
  </w:style>
  <w:style w:type="paragraph" w:styleId="5">
    <w:name w:val="caption"/>
    <w:basedOn w:val="1"/>
    <w:next w:val="1"/>
    <w:unhideWhenUsed/>
    <w:qFormat/>
    <w:uiPriority w:val="0"/>
    <w:rPr>
      <w:rFonts w:ascii="Cambria" w:hAnsi="Cambria" w:eastAsia="黑体" w:cs="Times New Roman"/>
      <w:sz w:val="20"/>
      <w:szCs w:val="20"/>
    </w:rPr>
  </w:style>
  <w:style w:type="paragraph" w:styleId="6">
    <w:name w:val="Balloon Text"/>
    <w:basedOn w:val="1"/>
    <w:link w:val="16"/>
    <w:unhideWhenUsed/>
    <w:uiPriority w:val="99"/>
    <w:rPr>
      <w:sz w:val="18"/>
      <w:szCs w:val="18"/>
    </w:rPr>
  </w:style>
  <w:style w:type="paragraph" w:styleId="7">
    <w:name w:val="footer"/>
    <w:basedOn w:val="1"/>
    <w:link w:val="15"/>
    <w:unhideWhenUsed/>
    <w:uiPriority w:val="0"/>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Hyperlink"/>
    <w:uiPriority w:val="0"/>
    <w:rPr>
      <w:color w:val="0000FF"/>
      <w:u w:val="single"/>
    </w:rPr>
  </w:style>
  <w:style w:type="character" w:styleId="12">
    <w:name w:val="annotation reference"/>
    <w:basedOn w:val="9"/>
    <w:unhideWhenUsed/>
    <w:qFormat/>
    <w:uiPriority w:val="99"/>
    <w:rPr>
      <w:sz w:val="21"/>
      <w:szCs w:val="21"/>
    </w:rPr>
  </w:style>
  <w:style w:type="character" w:customStyle="1" w:styleId="14">
    <w:name w:val="页眉 字符"/>
    <w:basedOn w:val="9"/>
    <w:link w:val="8"/>
    <w:uiPriority w:val="99"/>
    <w:rPr>
      <w:sz w:val="18"/>
      <w:szCs w:val="18"/>
    </w:rPr>
  </w:style>
  <w:style w:type="character" w:customStyle="1" w:styleId="15">
    <w:name w:val="页脚 字符"/>
    <w:basedOn w:val="9"/>
    <w:link w:val="7"/>
    <w:uiPriority w:val="0"/>
    <w:rPr>
      <w:sz w:val="18"/>
      <w:szCs w:val="18"/>
    </w:rPr>
  </w:style>
  <w:style w:type="character" w:customStyle="1" w:styleId="16">
    <w:name w:val="批注框文本 字符"/>
    <w:basedOn w:val="9"/>
    <w:link w:val="6"/>
    <w:semiHidden/>
    <w:uiPriority w:val="99"/>
    <w:rPr>
      <w:sz w:val="18"/>
      <w:szCs w:val="18"/>
    </w:rPr>
  </w:style>
  <w:style w:type="character" w:customStyle="1" w:styleId="17">
    <w:name w:val="标题 2 字符"/>
    <w:basedOn w:val="9"/>
    <w:link w:val="2"/>
    <w:qFormat/>
    <w:uiPriority w:val="9"/>
    <w:rPr>
      <w:rFonts w:asciiTheme="majorHAnsi" w:hAnsiTheme="majorHAnsi" w:eastAsiaTheme="majorEastAsia" w:cstheme="majorBidi"/>
      <w:b/>
      <w:bCs/>
      <w:sz w:val="32"/>
      <w:szCs w:val="32"/>
    </w:rPr>
  </w:style>
  <w:style w:type="character" w:customStyle="1" w:styleId="18">
    <w:name w:val="批注文字 字符"/>
    <w:basedOn w:val="9"/>
    <w:link w:val="4"/>
    <w:semiHidden/>
    <w:uiPriority w:val="99"/>
  </w:style>
  <w:style w:type="character" w:customStyle="1" w:styleId="19">
    <w:name w:val="批注主题 字符"/>
    <w:basedOn w:val="18"/>
    <w:link w:val="3"/>
    <w:semiHidden/>
    <w:uiPriority w:val="99"/>
    <w:rPr>
      <w:b/>
      <w:bCs/>
    </w:rPr>
  </w:style>
  <w:style w:type="paragraph" w:customStyle="1" w:styleId="20">
    <w:name w:val="List Paragraph"/>
    <w:basedOn w:val="1"/>
    <w:qFormat/>
    <w:uiPriority w:val="34"/>
    <w:pPr>
      <w:ind w:firstLine="420" w:firstLineChars="200"/>
    </w:pPr>
  </w:style>
  <w:style w:type="paragraph" w:customStyle="1" w:styleId="21">
    <w:name w:val="Char Char Char Char"/>
    <w:basedOn w:val="1"/>
    <w:uiPriority w:val="0"/>
    <w:pPr>
      <w:tabs>
        <w:tab w:val="left" w:pos="360"/>
      </w:tabs>
    </w:pPr>
    <w:rPr>
      <w:rFonts w:ascii="Times New Roman" w:hAnsi="Times New Roman" w:eastAsia="宋体" w:cs="Times New Roman"/>
      <w:sz w:val="24"/>
      <w:szCs w:val="24"/>
    </w:rPr>
  </w:style>
  <w:style w:type="paragraph" w:customStyle="1" w:styleId="22">
    <w:name w:val="TextStyle"/>
    <w:basedOn w:val="1"/>
    <w:link w:val="23"/>
    <w:qFormat/>
    <w:uiPriority w:val="0"/>
    <w:rPr>
      <w:sz w:val="24"/>
    </w:rPr>
  </w:style>
  <w:style w:type="character" w:customStyle="1" w:styleId="23">
    <w:name w:val="TextStyle Char"/>
    <w:basedOn w:val="9"/>
    <w:link w:val="22"/>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81592-50A7-48FF-8D87-A64A921CFD8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400</Words>
  <Characters>2283</Characters>
  <Lines>19</Lines>
  <Paragraphs>5</Paragraphs>
  <TotalTime>0</TotalTime>
  <ScaleCrop>false</ScaleCrop>
  <LinksUpToDate>false</LinksUpToDate>
  <CharactersWithSpaces>2678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2015-05-26T16:14:00Z</dcterms:created>
  <dc:creator>ZHOQING</dc:creator>
  <cp:lastModifiedBy>DDK</cp:lastModifiedBy>
  <cp:lastPrinted>2015-05-24T10:55:00Z</cp:lastPrinted>
  <dcterms:modified xsi:type="dcterms:W3CDTF">2016-07-09T02:41:39Z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