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9690" w14:textId="24E56E60" w:rsidR="003B0A86" w:rsidRDefault="002C4352" w:rsidP="002C4352">
      <w:pPr>
        <w:pStyle w:val="1"/>
      </w:pPr>
      <w:r>
        <w:rPr>
          <w:rFonts w:hint="eastAsia"/>
        </w:rPr>
        <w:t>《登录页》</w:t>
      </w:r>
    </w:p>
    <w:p w14:paraId="67C4F0E3" w14:textId="63A3814D" w:rsidR="002C4352" w:rsidRDefault="002C4352" w:rsidP="002C4352">
      <w:r>
        <w:rPr>
          <w:noProof/>
        </w:rPr>
        <w:drawing>
          <wp:inline distT="0" distB="0" distL="0" distR="0" wp14:anchorId="12A455DF" wp14:editId="503908A4">
            <wp:extent cx="3781953" cy="7078063"/>
            <wp:effectExtent l="0" t="0" r="9525" b="8890"/>
            <wp:docPr id="1447698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98362" name="图片 14476983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2648" w14:textId="2470FCF8" w:rsidR="002C4352" w:rsidRDefault="002C4352" w:rsidP="002C4352">
      <w:r>
        <w:rPr>
          <w:rFonts w:hint="eastAsia"/>
        </w:rPr>
        <w:t>输入用户名密码后开始</w:t>
      </w:r>
      <w:r w:rsidR="006C027A">
        <w:rPr>
          <w:rFonts w:hint="eastAsia"/>
        </w:rPr>
        <w:t>向后台发起登录请求</w:t>
      </w:r>
      <w:r>
        <w:rPr>
          <w:rFonts w:hint="eastAsia"/>
        </w:rPr>
        <w:t>，</w:t>
      </w:r>
      <w:r w:rsidR="006C027A">
        <w:rPr>
          <w:rFonts w:hint="eastAsia"/>
        </w:rPr>
        <w:t>交互过程中</w:t>
      </w:r>
      <w:r>
        <w:rPr>
          <w:rFonts w:hint="eastAsia"/>
        </w:rPr>
        <w:t>要体现“登陆中”、“登陆失败”</w:t>
      </w:r>
      <w:r w:rsidR="006C027A">
        <w:rPr>
          <w:rFonts w:hint="eastAsia"/>
        </w:rPr>
        <w:t>等状态，登陆成功后将跳转至</w:t>
      </w:r>
      <w:r w:rsidR="006A53EE">
        <w:rPr>
          <w:rFonts w:hint="eastAsia"/>
        </w:rPr>
        <w:t>《</w:t>
      </w:r>
      <w:r w:rsidR="006C027A">
        <w:rPr>
          <w:rFonts w:hint="eastAsia"/>
        </w:rPr>
        <w:t>主页</w:t>
      </w:r>
      <w:r w:rsidR="006A53EE">
        <w:rPr>
          <w:rFonts w:hint="eastAsia"/>
        </w:rPr>
        <w:t>》</w:t>
      </w:r>
      <w:r w:rsidR="006C027A">
        <w:rPr>
          <w:rFonts w:hint="eastAsia"/>
        </w:rPr>
        <w:t>，并且不可以通过“后退”动作重新回到登录页。再次回到登录页需要通过“退出登录”操作、或者令牌超时后触发。</w:t>
      </w:r>
      <w:r w:rsidR="006A53EE">
        <w:rPr>
          <w:rFonts w:hint="eastAsia"/>
        </w:rPr>
        <w:t>（</w:t>
      </w:r>
      <w:r w:rsidR="000B07F8">
        <w:rPr>
          <w:rFonts w:hint="eastAsia"/>
        </w:rPr>
        <w:t>$</w:t>
      </w:r>
      <w:r w:rsidR="006A53EE">
        <w:rPr>
          <w:rFonts w:hint="eastAsia"/>
        </w:rPr>
        <w:t>r</w:t>
      </w:r>
      <w:r w:rsidR="006A53EE">
        <w:t>outer.replace(‘/home’);</w:t>
      </w:r>
      <w:r w:rsidR="006A53EE">
        <w:rPr>
          <w:rFonts w:hint="eastAsia"/>
        </w:rPr>
        <w:t>）</w:t>
      </w:r>
    </w:p>
    <w:p w14:paraId="2D9E7DDD" w14:textId="4036C8BF" w:rsidR="002C4352" w:rsidRDefault="006C027A" w:rsidP="002C4352">
      <w:r>
        <w:rPr>
          <w:rFonts w:hint="eastAsia"/>
        </w:rPr>
        <w:t>登录后记录登录信息，下次打开</w:t>
      </w:r>
      <w:r>
        <w:rPr>
          <w:rFonts w:hint="eastAsia"/>
        </w:rPr>
        <w:t>app</w:t>
      </w:r>
      <w:r>
        <w:rPr>
          <w:rFonts w:hint="eastAsia"/>
        </w:rPr>
        <w:t>后可以免登录直接以上次登录身份进入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4F6EC7EC" w14:textId="0935A156" w:rsidR="006A53EE" w:rsidRDefault="006A53EE" w:rsidP="006A53EE">
      <w:pPr>
        <w:pStyle w:val="1"/>
      </w:pPr>
      <w:r>
        <w:rPr>
          <w:rFonts w:hint="eastAsia"/>
        </w:rPr>
        <w:lastRenderedPageBreak/>
        <w:t>《</w:t>
      </w:r>
      <w:r>
        <w:rPr>
          <w:rFonts w:hint="eastAsia"/>
        </w:rPr>
        <w:t>主页</w:t>
      </w:r>
      <w:r>
        <w:rPr>
          <w:rFonts w:hint="eastAsia"/>
        </w:rPr>
        <w:t>》</w:t>
      </w:r>
    </w:p>
    <w:p w14:paraId="6003CBB3" w14:textId="482F08BB" w:rsidR="002C4352" w:rsidRDefault="006A53EE" w:rsidP="006A53EE">
      <w:pPr>
        <w:pStyle w:val="1"/>
      </w:pPr>
      <w:r>
        <w:rPr>
          <w:noProof/>
        </w:rPr>
        <w:drawing>
          <wp:inline distT="0" distB="0" distL="0" distR="0" wp14:anchorId="6EF96A5A" wp14:editId="7171FE85">
            <wp:extent cx="3810000" cy="7124700"/>
            <wp:effectExtent l="0" t="0" r="0" b="0"/>
            <wp:docPr id="892064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64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ACFF" w14:textId="5E6D29C8" w:rsidR="006A53EE" w:rsidRDefault="006A53EE" w:rsidP="006A53EE">
      <w:r>
        <w:rPr>
          <w:rFonts w:hint="eastAsia"/>
        </w:rPr>
        <w:t>这里列有</w:t>
      </w:r>
      <w:r>
        <w:rPr>
          <w:rFonts w:hint="eastAsia"/>
        </w:rPr>
        <w:t>3</w:t>
      </w:r>
      <w:r>
        <w:rPr>
          <w:rFonts w:hint="eastAsia"/>
        </w:rPr>
        <w:t>个固定按钮，和两个信息显示。信息显示包括：“当前用户名”、“登陆时间”。</w:t>
      </w:r>
    </w:p>
    <w:p w14:paraId="54FC215E" w14:textId="27EBCC32" w:rsidR="006A53EE" w:rsidRPr="006A53EE" w:rsidRDefault="006A53EE" w:rsidP="006A53EE">
      <w:pPr>
        <w:rPr>
          <w:rFonts w:hint="eastAsia"/>
        </w:rPr>
      </w:pPr>
      <w:r>
        <w:rPr>
          <w:rFonts w:hint="eastAsia"/>
        </w:rPr>
        <w:t>点击“拣配”按钮将会跳转至《</w:t>
      </w:r>
      <w:r w:rsidR="003A22E8">
        <w:rPr>
          <w:rFonts w:hint="eastAsia"/>
        </w:rPr>
        <w:t>查询出库单</w:t>
      </w:r>
      <w:r>
        <w:rPr>
          <w:rFonts w:hint="eastAsia"/>
        </w:rPr>
        <w:t>》页面。</w:t>
      </w:r>
      <w:r>
        <w:rPr>
          <w:rFonts w:hint="eastAsia"/>
        </w:rPr>
        <w:t>点击“</w:t>
      </w:r>
      <w:r>
        <w:rPr>
          <w:rFonts w:hint="eastAsia"/>
        </w:rPr>
        <w:t>查询拣配单</w:t>
      </w:r>
      <w:r>
        <w:rPr>
          <w:rFonts w:hint="eastAsia"/>
        </w:rPr>
        <w:t>”按钮将会跳转至《</w:t>
      </w:r>
      <w:r>
        <w:rPr>
          <w:rFonts w:hint="eastAsia"/>
        </w:rPr>
        <w:t>查询拣配单</w:t>
      </w:r>
      <w:r>
        <w:rPr>
          <w:rFonts w:hint="eastAsia"/>
        </w:rPr>
        <w:t>》页面。点击“</w:t>
      </w:r>
      <w:r>
        <w:rPr>
          <w:rFonts w:hint="eastAsia"/>
        </w:rPr>
        <w:t>退出登录</w:t>
      </w:r>
      <w:r>
        <w:rPr>
          <w:rFonts w:hint="eastAsia"/>
        </w:rPr>
        <w:t>”按钮将会</w:t>
      </w:r>
      <w:r>
        <w:rPr>
          <w:rFonts w:hint="eastAsia"/>
        </w:rPr>
        <w:t>询问用户是否确认退出登录，确认后重新回到登陆页面</w:t>
      </w:r>
      <w:r>
        <w:rPr>
          <w:rFonts w:hint="eastAsia"/>
        </w:rPr>
        <w:t>。</w:t>
      </w:r>
      <w:r w:rsidR="000B07F8">
        <w:rPr>
          <w:rFonts w:hint="eastAsia"/>
        </w:rPr>
        <w:t>并且不能再通过“后退”动作回到主页。</w:t>
      </w:r>
      <w:r>
        <w:rPr>
          <w:rFonts w:hint="eastAsia"/>
        </w:rPr>
        <w:t>（</w:t>
      </w:r>
      <w:r w:rsidR="000B07F8">
        <w:rPr>
          <w:rFonts w:hint="eastAsia"/>
        </w:rPr>
        <w:t>$</w:t>
      </w:r>
      <w:r>
        <w:rPr>
          <w:rFonts w:hint="eastAsia"/>
        </w:rPr>
        <w:t>r</w:t>
      </w:r>
      <w:r>
        <w:t>outer.replace(‘/</w:t>
      </w:r>
      <w:r>
        <w:t>login</w:t>
      </w:r>
      <w:r>
        <w:t>);</w:t>
      </w:r>
      <w:r>
        <w:rPr>
          <w:rFonts w:hint="eastAsia"/>
        </w:rPr>
        <w:t>）</w:t>
      </w:r>
    </w:p>
    <w:p w14:paraId="271F1173" w14:textId="31DB1DCD" w:rsidR="006A53EE" w:rsidRDefault="0094379C" w:rsidP="0094379C">
      <w:pPr>
        <w:pStyle w:val="1"/>
      </w:pPr>
      <w:r>
        <w:rPr>
          <w:rFonts w:hint="eastAsia"/>
        </w:rPr>
        <w:lastRenderedPageBreak/>
        <w:t>《查询出库单》</w:t>
      </w:r>
    </w:p>
    <w:p w14:paraId="7A120B83" w14:textId="5DDAF036" w:rsidR="0094379C" w:rsidRDefault="0094379C" w:rsidP="0094379C">
      <w:r>
        <w:rPr>
          <w:noProof/>
        </w:rPr>
        <w:drawing>
          <wp:inline distT="0" distB="0" distL="0" distR="0" wp14:anchorId="333E4198" wp14:editId="766723AE">
            <wp:extent cx="3705225" cy="7105650"/>
            <wp:effectExtent l="0" t="0" r="9525" b="0"/>
            <wp:docPr id="132195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C049" w14:textId="76CD52A4" w:rsidR="0094379C" w:rsidRDefault="0094379C" w:rsidP="0094379C">
      <w:r>
        <w:rPr>
          <w:rFonts w:hint="eastAsia"/>
        </w:rPr>
        <w:t>上有</w:t>
      </w:r>
      <w:r>
        <w:rPr>
          <w:rFonts w:hint="eastAsia"/>
        </w:rPr>
        <w:t>3</w:t>
      </w:r>
      <w:r>
        <w:rPr>
          <w:rFonts w:hint="eastAsia"/>
        </w:rPr>
        <w:t>个查询条件，选择日期区间、发货单号（输入框）、库区（单选）。其中库区的可选项值是静态的（前端写死即可），且只有一个选项：</w:t>
      </w:r>
    </w:p>
    <w:p w14:paraId="79D83745" w14:textId="77777777" w:rsidR="0094379C" w:rsidRPr="0094379C" w:rsidRDefault="0094379C" w:rsidP="0094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437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[{ </w:t>
      </w:r>
      <w:r w:rsidRPr="009437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label:</w:t>
      </w:r>
      <w:r w:rsidRPr="009437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37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"1403</w:t>
      </w:r>
      <w:r w:rsidRPr="0094379C">
        <w:rPr>
          <w:rFonts w:ascii="宋体" w:eastAsia="宋体" w:hAnsi="宋体" w:cs="宋体" w:hint="eastAsia"/>
          <w:color w:val="CE9178"/>
          <w:kern w:val="0"/>
          <w:sz w:val="21"/>
          <w:szCs w:val="21"/>
          <w14:ligatures w14:val="none"/>
        </w:rPr>
        <w:t>库区</w:t>
      </w:r>
      <w:r w:rsidRPr="009437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437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437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value:</w:t>
      </w:r>
      <w:r w:rsidRPr="009437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437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1403</w:t>
      </w:r>
      <w:r w:rsidRPr="009437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}]</w:t>
      </w:r>
    </w:p>
    <w:p w14:paraId="53B54E2A" w14:textId="0C3B23E1" w:rsidR="0094379C" w:rsidRDefault="0094379C" w:rsidP="0094379C">
      <w:r>
        <w:rPr>
          <w:rFonts w:hint="eastAsia"/>
        </w:rPr>
        <w:t>默认选中此项。</w:t>
      </w:r>
    </w:p>
    <w:p w14:paraId="17F969D1" w14:textId="484A0953" w:rsidR="002D6D76" w:rsidRDefault="002D6D76" w:rsidP="002D6D76">
      <w:r>
        <w:rPr>
          <w:rFonts w:hint="eastAsia"/>
        </w:rPr>
        <w:lastRenderedPageBreak/>
        <w:t>点击“</w:t>
      </w:r>
      <w:r>
        <w:rPr>
          <w:rFonts w:hint="eastAsia"/>
        </w:rPr>
        <w:t>返回</w:t>
      </w:r>
      <w:r>
        <w:rPr>
          <w:rFonts w:hint="eastAsia"/>
        </w:rPr>
        <w:t>”按钮后</w:t>
      </w:r>
      <w:r>
        <w:rPr>
          <w:rFonts w:hint="eastAsia"/>
        </w:rPr>
        <w:t>执行“后退”操作（路由后退），点击“查询”按钮后跳转至《出库单查询结果》页。</w:t>
      </w:r>
    </w:p>
    <w:p w14:paraId="57E16238" w14:textId="2B9BB944" w:rsidR="002D6D76" w:rsidRDefault="002D6D76" w:rsidP="002D6D76">
      <w:pPr>
        <w:pStyle w:val="1"/>
      </w:pPr>
      <w:r>
        <w:rPr>
          <w:rFonts w:hint="eastAsia"/>
        </w:rPr>
        <w:t>《出库单查询结果》</w:t>
      </w:r>
    </w:p>
    <w:p w14:paraId="179C62C7" w14:textId="6F053E9E" w:rsidR="002D6D76" w:rsidRDefault="00536895" w:rsidP="002D6D76">
      <w:r>
        <w:rPr>
          <w:noProof/>
        </w:rPr>
        <w:drawing>
          <wp:inline distT="0" distB="0" distL="0" distR="0" wp14:anchorId="37403673" wp14:editId="3575A7C7">
            <wp:extent cx="3810000" cy="7124700"/>
            <wp:effectExtent l="0" t="0" r="0" b="0"/>
            <wp:docPr id="2020491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91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DF34" w14:textId="7D195BCD" w:rsidR="00536895" w:rsidRDefault="00536895" w:rsidP="002D6D76">
      <w:r>
        <w:rPr>
          <w:rFonts w:hint="eastAsia"/>
        </w:rPr>
        <w:t>根据上级页面传过来的参数查询并展示表格数据。</w:t>
      </w:r>
    </w:p>
    <w:p w14:paraId="139056AE" w14:textId="07CC9AFC" w:rsidR="001A79FF" w:rsidRDefault="001A79FF" w:rsidP="002D6D76">
      <w:r>
        <w:rPr>
          <w:rFonts w:hint="eastAsia"/>
        </w:rPr>
        <w:t>点击“返回”按钮触发路由后退动作。点击“刷新”按钮则触发重新查询动作。点击“查看”按钮后判断是否已经选中了表格当中的一条数据，如果没有则提示用户选中一条表格</w:t>
      </w:r>
      <w:r>
        <w:rPr>
          <w:rFonts w:hint="eastAsia"/>
        </w:rPr>
        <w:lastRenderedPageBreak/>
        <w:t>数据，如果已经选中某一条数据，则</w:t>
      </w:r>
      <w:r w:rsidR="00A11459">
        <w:rPr>
          <w:rFonts w:hint="eastAsia"/>
        </w:rPr>
        <w:t>附带参数</w:t>
      </w:r>
      <w:r>
        <w:rPr>
          <w:rFonts w:hint="eastAsia"/>
        </w:rPr>
        <w:t>跳转至《出库单</w:t>
      </w:r>
      <w:r w:rsidR="00A11459">
        <w:rPr>
          <w:rFonts w:hint="eastAsia"/>
        </w:rPr>
        <w:t>内容</w:t>
      </w:r>
      <w:r>
        <w:rPr>
          <w:rFonts w:hint="eastAsia"/>
        </w:rPr>
        <w:t>》</w:t>
      </w:r>
      <w:r w:rsidR="00A11459">
        <w:rPr>
          <w:rFonts w:hint="eastAsia"/>
        </w:rPr>
        <w:t>，参数为整条数据</w:t>
      </w:r>
      <w:r>
        <w:rPr>
          <w:rFonts w:hint="eastAsia"/>
        </w:rPr>
        <w:t>（根据选中的数据展示</w:t>
      </w:r>
      <w:r w:rsidR="00BB5016">
        <w:rPr>
          <w:rFonts w:hint="eastAsia"/>
        </w:rPr>
        <w:t>其</w:t>
      </w:r>
      <w:r>
        <w:rPr>
          <w:rFonts w:hint="eastAsia"/>
        </w:rPr>
        <w:t>具体详情）。</w:t>
      </w:r>
    </w:p>
    <w:p w14:paraId="1845A32A" w14:textId="7A015E3C" w:rsidR="00A11459" w:rsidRDefault="00A11459" w:rsidP="00A11459">
      <w:pPr>
        <w:pStyle w:val="1"/>
      </w:pPr>
      <w:r>
        <w:rPr>
          <w:rFonts w:hint="eastAsia"/>
        </w:rPr>
        <w:t>《出库单内容》</w:t>
      </w:r>
    </w:p>
    <w:p w14:paraId="1E5A872C" w14:textId="478A1833" w:rsidR="00A11459" w:rsidRDefault="00A11459" w:rsidP="00A11459">
      <w:r>
        <w:rPr>
          <w:noProof/>
        </w:rPr>
        <w:drawing>
          <wp:inline distT="0" distB="0" distL="0" distR="0" wp14:anchorId="17CF2FC7" wp14:editId="02689134">
            <wp:extent cx="3876675" cy="7086600"/>
            <wp:effectExtent l="0" t="0" r="9525" b="0"/>
            <wp:docPr id="992465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65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2B01" w14:textId="77777777" w:rsidR="007C5976" w:rsidRDefault="00A11459" w:rsidP="00A11459">
      <w:r>
        <w:rPr>
          <w:rFonts w:hint="eastAsia"/>
        </w:rPr>
        <w:t>根据传参将值分别填入以上空格（只读）内</w:t>
      </w:r>
      <w:r w:rsidR="00FB43A1">
        <w:rPr>
          <w:rFonts w:hint="eastAsia"/>
        </w:rPr>
        <w:t>用以展示</w:t>
      </w:r>
      <w:r w:rsidR="00400BEC">
        <w:rPr>
          <w:rFonts w:hint="eastAsia"/>
        </w:rPr>
        <w:t>。</w:t>
      </w:r>
    </w:p>
    <w:p w14:paraId="6B8B0715" w14:textId="7DD92B9C" w:rsidR="00A11459" w:rsidRDefault="005E1C94" w:rsidP="00A11459">
      <w:r>
        <w:rPr>
          <w:rFonts w:hint="eastAsia"/>
        </w:rPr>
        <w:lastRenderedPageBreak/>
        <w:t>点击“车号”右侧的按钮用来选择车号，跳转至《选择车号》。</w:t>
      </w:r>
      <w:r w:rsidR="007C5976">
        <w:rPr>
          <w:rFonts w:hint="eastAsia"/>
        </w:rPr>
        <w:t>点击“返回”按钮触发路由后退。点击“扫描”按钮需判断必须已经选择了车号（车号不能为空），跳转至《扫描结果》</w:t>
      </w:r>
    </w:p>
    <w:p w14:paraId="15297A18" w14:textId="045A053B" w:rsidR="007C5976" w:rsidRDefault="007C5976" w:rsidP="007C5976">
      <w:pPr>
        <w:pStyle w:val="1"/>
      </w:pPr>
      <w:r>
        <w:rPr>
          <w:rFonts w:hint="eastAsia"/>
        </w:rPr>
        <w:t>《扫描结果</w:t>
      </w:r>
      <w:r>
        <w:rPr>
          <w:rFonts w:hint="eastAsia"/>
        </w:rPr>
        <w:t>/</w:t>
      </w:r>
      <w:r>
        <w:rPr>
          <w:rFonts w:hint="eastAsia"/>
        </w:rPr>
        <w:t>拣配》</w:t>
      </w:r>
    </w:p>
    <w:p w14:paraId="418CF7EB" w14:textId="67BD6999" w:rsidR="007C5976" w:rsidRDefault="007C5976" w:rsidP="007C5976">
      <w:r>
        <w:rPr>
          <w:noProof/>
        </w:rPr>
        <w:drawing>
          <wp:inline distT="0" distB="0" distL="0" distR="0" wp14:anchorId="6888EE38" wp14:editId="6827B9CD">
            <wp:extent cx="3810000" cy="7410450"/>
            <wp:effectExtent l="0" t="0" r="0" b="0"/>
            <wp:docPr id="1004001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01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BE94" w14:textId="76271F47" w:rsidR="007C5976" w:rsidRDefault="007C5976" w:rsidP="007C5976">
      <w:r>
        <w:rPr>
          <w:noProof/>
        </w:rPr>
        <w:lastRenderedPageBreak/>
        <w:drawing>
          <wp:inline distT="0" distB="0" distL="0" distR="0" wp14:anchorId="55E7E293" wp14:editId="3BEBFDF0">
            <wp:extent cx="3905250" cy="7277100"/>
            <wp:effectExtent l="0" t="0" r="0" b="0"/>
            <wp:docPr id="789765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65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7A9E" w14:textId="32D0A35D" w:rsidR="007C5976" w:rsidRDefault="007C5976" w:rsidP="007C5976">
      <w:pPr>
        <w:rPr>
          <w:rFonts w:hint="eastAsia"/>
        </w:rPr>
      </w:pPr>
      <w:r>
        <w:rPr>
          <w:rFonts w:hint="eastAsia"/>
        </w:rPr>
        <w:t>点击左上方箭头触发路由后退。点击右上角“扫描”触发手机摄像头扫描。</w:t>
      </w:r>
    </w:p>
    <w:p w14:paraId="4370A799" w14:textId="50025897" w:rsidR="007C5976" w:rsidRDefault="00A40153" w:rsidP="007C5976">
      <w:pPr>
        <w:rPr>
          <w:rFonts w:hint="eastAsia"/>
        </w:rPr>
      </w:pPr>
      <w:r>
        <w:rPr>
          <w:rFonts w:hint="eastAsia"/>
        </w:rPr>
        <w:t>此页面需添加监听事件，如果长时间（</w:t>
      </w:r>
      <w:r>
        <w:rPr>
          <w:rFonts w:hint="eastAsia"/>
        </w:rPr>
        <w:t>7</w:t>
      </w:r>
      <w:r>
        <w:t>200</w:t>
      </w:r>
      <w:r>
        <w:rPr>
          <w:rFonts w:hint="eastAsia"/>
        </w:rPr>
        <w:t>秒）停留在此页面没有动作的话将会自动进行登出动作并跳出到《登录页》。</w:t>
      </w:r>
    </w:p>
    <w:p w14:paraId="0021F6DD" w14:textId="1BCD6D73" w:rsidR="007C5976" w:rsidRDefault="00A40153" w:rsidP="007C5976">
      <w:r>
        <w:rPr>
          <w:rFonts w:hint="eastAsia"/>
        </w:rPr>
        <w:t>当监听到扫描的新数据后，需要对数据进行如下判断：</w:t>
      </w:r>
    </w:p>
    <w:p w14:paraId="391CA14D" w14:textId="194A6499" w:rsidR="00A40153" w:rsidRDefault="00A40153" w:rsidP="00A40153">
      <w:pPr>
        <w:pStyle w:val="a4"/>
        <w:numPr>
          <w:ilvl w:val="0"/>
          <w:numId w:val="1"/>
        </w:numPr>
      </w:pPr>
      <w:r>
        <w:rPr>
          <w:rFonts w:hint="eastAsia"/>
        </w:rPr>
        <w:t>先验证条码是否符合标准格式，方法函数如下：</w:t>
      </w:r>
    </w:p>
    <w:p w14:paraId="624248E3" w14:textId="77777777" w:rsidR="00A40153" w:rsidRPr="00A40153" w:rsidRDefault="00A40153" w:rsidP="00A4015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01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</w:t>
      </w:r>
      <w:r w:rsidRPr="00A40153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检查条码是否符合规范</w:t>
      </w:r>
    </w:p>
    <w:p w14:paraId="23F31AD6" w14:textId="77777777" w:rsidR="00A40153" w:rsidRPr="00A40153" w:rsidRDefault="00A40153" w:rsidP="00A4015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0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tool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checkBarcodeIfqualified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0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594C93" w14:textId="77777777" w:rsidR="00A40153" w:rsidRPr="00A40153" w:rsidRDefault="00A40153" w:rsidP="00A4015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40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standard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0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1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RegExp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CDB6C29" w14:textId="77777777" w:rsidR="00A40153" w:rsidRPr="00A40153" w:rsidRDefault="00A40153" w:rsidP="00A4015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A40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^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124010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1-9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][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A40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{2}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1-9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A40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0-2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])((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1-9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</w:t>
      </w:r>
      <w:r w:rsidRPr="00A40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((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</w:t>
      </w:r>
      <w:r w:rsidRPr="00A40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2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)[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])</w:t>
      </w:r>
      <w:r w:rsidRPr="00A40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30</w:t>
      </w:r>
      <w:r w:rsidRPr="00A40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31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)[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A401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A401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{12}</w:t>
      </w:r>
      <w:r w:rsidRPr="00A40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A40153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D122AE" w14:textId="77777777" w:rsidR="00A40153" w:rsidRPr="00A40153" w:rsidRDefault="00A40153" w:rsidP="00A4015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1A2C597C" w14:textId="77777777" w:rsidR="00A40153" w:rsidRPr="00A40153" w:rsidRDefault="00A40153" w:rsidP="00A4015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401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bool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40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standard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1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40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&amp;&amp; </w:t>
      </w:r>
      <w:r w:rsidRPr="00A40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401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401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71AF95" w14:textId="77777777" w:rsidR="00A40153" w:rsidRPr="00A40153" w:rsidRDefault="00A40153" w:rsidP="00A4015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401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401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bool</w:t>
      </w: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69B02F" w14:textId="77777777" w:rsidR="00A40153" w:rsidRPr="00A40153" w:rsidRDefault="00A40153" w:rsidP="00A40153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401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7C1B347" w14:textId="5C29F879" w:rsidR="00A40153" w:rsidRDefault="00EB4081" w:rsidP="00A40153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不符合规范时，提示用户“此条码不符合规范！”并停止后续动作。符合规范时，向后台请求验证条码是否已经拣配</w:t>
      </w:r>
      <w:r>
        <w:t>C</w:t>
      </w:r>
      <w:r>
        <w:rPr>
          <w:rFonts w:hint="eastAsia"/>
        </w:rPr>
        <w:t>heck</w:t>
      </w:r>
      <w:r>
        <w:t>BatchNo</w:t>
      </w:r>
      <w:r>
        <w:rPr>
          <w:rFonts w:hint="eastAsia"/>
        </w:rPr>
        <w:t>。如果已经拣配，则提示用户“该批次已经拣配装车，请勿重复选择！”，如果未拣配则继续解码操作。</w:t>
      </w:r>
    </w:p>
    <w:p w14:paraId="6A05579F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如果未拣配</w:t>
      </w:r>
    </w:p>
    <w:p w14:paraId="69FF4D65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490558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按规则解析条码</w:t>
      </w:r>
    </w:p>
    <w:p w14:paraId="465EB8CA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E40397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6A790B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shengchanriqi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B275E3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kunxuhao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61459A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B8115F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kunjingzhong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7F169E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8939294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checkIfExist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existDatabar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6B06D1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})</w:t>
      </w:r>
    </w:p>
    <w:p w14:paraId="64F14B9A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(({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})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EE3E52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D98E6E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39E61C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}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A3D72F9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refs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tips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B4081">
        <w:rPr>
          <w:rFonts w:ascii="宋体" w:eastAsia="宋体" w:hAnsi="宋体" w:cs="宋体"/>
          <w:color w:val="CE9178"/>
          <w:kern w:val="0"/>
          <w:sz w:val="21"/>
          <w:szCs w:val="21"/>
          <w14:ligatures w14:val="none"/>
        </w:rPr>
        <w:t>该批次已经选择，请勿重复选择！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709A24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D62F32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77DD5C04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});</w:t>
      </w:r>
    </w:p>
    <w:p w14:paraId="021FF0E8" w14:textId="77777777" w:rsidR="00EB4081" w:rsidRPr="00EB4081" w:rsidRDefault="00EB4081" w:rsidP="00EB4081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}</w:t>
      </w:r>
    </w:p>
    <w:p w14:paraId="010E6725" w14:textId="54BE1664" w:rsidR="007C5976" w:rsidRDefault="007C5976" w:rsidP="007C5976"/>
    <w:p w14:paraId="2FCED504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解码规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则</w:t>
      </w:r>
    </w:p>
    <w:p w14:paraId="2CCEC29C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0CB171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FFFC90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企业代码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三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位</w:t>
      </w:r>
    </w:p>
    <w:p w14:paraId="3F890936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qiyedaima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3341D9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产品类别代码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二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位</w:t>
      </w:r>
    </w:p>
    <w:p w14:paraId="5471E484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chanpinleibie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588F1F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产品等级代码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二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位</w:t>
      </w:r>
    </w:p>
    <w:p w14:paraId="507752B5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chanpindengji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ACB74F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生产日期代码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六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位</w:t>
      </w:r>
    </w:p>
    <w:p w14:paraId="59010519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shengchanriqi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2D8127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产品批号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四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位</w:t>
      </w:r>
    </w:p>
    <w:p w14:paraId="47C06C51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chanpinpihao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082D47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捆序号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三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位</w:t>
      </w:r>
    </w:p>
    <w:p w14:paraId="20BDCC12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kunxuhao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4A88C3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捆净重代码</w:t>
      </w: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五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位</w:t>
      </w:r>
    </w:p>
    <w:p w14:paraId="426D597C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kunjingzhong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EB4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`.`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B4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80ED02C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5517ED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A83C753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6C82881A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AC3C30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qiyedaima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88DE942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chanpinleibie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3A716C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chanpindengji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1E4488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shengchanriqi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C37D877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chanpinpihao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783CDF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kunxuhao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C42994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kunjingzhong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7BE231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7BA139F4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733942C5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74199CA8" w14:textId="77777777" w:rsidR="007C5976" w:rsidRDefault="007C5976" w:rsidP="007C5976"/>
    <w:p w14:paraId="4DB557DA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EB4081">
        <w:rPr>
          <w:rFonts w:ascii="宋体" w:eastAsia="宋体" w:hAnsi="宋体" w:cs="宋体" w:hint="eastAsia"/>
          <w:color w:val="6A9955"/>
          <w:kern w:val="0"/>
          <w:sz w:val="21"/>
          <w:szCs w:val="21"/>
          <w14:ligatures w14:val="none"/>
        </w:rPr>
        <w:t>检查是否已存</w:t>
      </w:r>
      <w:r w:rsidRPr="00EB4081">
        <w:rPr>
          <w:rFonts w:ascii="宋体" w:eastAsia="宋体" w:hAnsi="宋体" w:cs="宋体"/>
          <w:color w:val="6A9955"/>
          <w:kern w:val="0"/>
          <w:sz w:val="21"/>
          <w:szCs w:val="21"/>
          <w14:ligatures w14:val="none"/>
        </w:rPr>
        <w:t>在</w:t>
      </w:r>
    </w:p>
    <w:p w14:paraId="40F81AA4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checkIfExist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22D442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3590D1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barcode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01552D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002D827B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EB40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B40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EB40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F36812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B4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resolve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B4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0EC6E01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});</w:t>
      </w:r>
    </w:p>
    <w:p w14:paraId="19450125" w14:textId="77777777" w:rsidR="00EB4081" w:rsidRPr="00EB4081" w:rsidRDefault="00EB4081" w:rsidP="00EB40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B40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ACF8077" w14:textId="75AFF8AD" w:rsidR="00EB4081" w:rsidRDefault="00EB4081" w:rsidP="007C5976">
      <w:r>
        <w:rPr>
          <w:rFonts w:hint="eastAsia"/>
        </w:rPr>
        <w:t>解码完成后要判断此解码数据是否已经存在于上方表格中，如果已存在，则提示用户“不要重复添加”。如果未存在，则将此解码数据作为表格数据添加在上方表格当中。</w:t>
      </w:r>
      <w:r w:rsidR="00991F63">
        <w:rPr>
          <w:rFonts w:hint="eastAsia"/>
        </w:rPr>
        <w:t>注意，新加入的数据条要放在最上面。</w:t>
      </w:r>
    </w:p>
    <w:p w14:paraId="4FAB6D9A" w14:textId="43AA0B55" w:rsidR="008679AD" w:rsidRDefault="008679AD" w:rsidP="007C5976">
      <w:r>
        <w:rPr>
          <w:rFonts w:hint="eastAsia"/>
        </w:rPr>
        <w:t>下方表格的数据展示：</w:t>
      </w:r>
    </w:p>
    <w:p w14:paraId="21872C6E" w14:textId="37198E3A" w:rsidR="008679AD" w:rsidRDefault="008679AD" w:rsidP="008679AD">
      <w:pPr>
        <w:pStyle w:val="a4"/>
        <w:numPr>
          <w:ilvl w:val="0"/>
          <w:numId w:val="1"/>
        </w:numPr>
      </w:pPr>
      <w:r>
        <w:rPr>
          <w:rFonts w:hint="eastAsia"/>
        </w:rPr>
        <w:t>“应拣”：由上及页面跳转至此页面后带过来的参数中（不变）。</w:t>
      </w:r>
    </w:p>
    <w:p w14:paraId="3A2619B5" w14:textId="118BB132" w:rsidR="008679AD" w:rsidRDefault="008679AD" w:rsidP="008679AD">
      <w:pPr>
        <w:pStyle w:val="a4"/>
        <w:numPr>
          <w:ilvl w:val="0"/>
          <w:numId w:val="1"/>
        </w:numPr>
      </w:pPr>
      <w:r>
        <w:rPr>
          <w:rFonts w:hint="eastAsia"/>
        </w:rPr>
        <w:t>“已拣”：上方表格所有数据字段“</w:t>
      </w:r>
      <w:r>
        <w:rPr>
          <w:rFonts w:hint="eastAsia"/>
        </w:rPr>
        <w:t>weight</w:t>
      </w:r>
      <w:r>
        <w:rPr>
          <w:rFonts w:hint="eastAsia"/>
        </w:rPr>
        <w:t>”的加和。</w:t>
      </w:r>
    </w:p>
    <w:p w14:paraId="34EA18E6" w14:textId="0A44173A" w:rsidR="008679AD" w:rsidRDefault="008679AD" w:rsidP="008679AD">
      <w:pPr>
        <w:pStyle w:val="a4"/>
        <w:numPr>
          <w:ilvl w:val="0"/>
          <w:numId w:val="1"/>
        </w:numPr>
      </w:pPr>
      <w:r>
        <w:rPr>
          <w:rFonts w:hint="eastAsia"/>
        </w:rPr>
        <w:t>“缺少”：</w:t>
      </w:r>
      <w:r>
        <w:rPr>
          <w:rFonts w:hint="eastAsia"/>
        </w:rPr>
        <w:t>“应拣”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“已拣”</w:t>
      </w:r>
      <w:r w:rsidR="00623906">
        <w:rPr>
          <w:rFonts w:hint="eastAsia"/>
        </w:rPr>
        <w:t>。</w:t>
      </w:r>
    </w:p>
    <w:p w14:paraId="180DCE55" w14:textId="77777777" w:rsidR="00623906" w:rsidRDefault="008679AD" w:rsidP="00623906">
      <w:pPr>
        <w:pStyle w:val="a4"/>
        <w:numPr>
          <w:ilvl w:val="0"/>
          <w:numId w:val="1"/>
        </w:numPr>
      </w:pPr>
      <w:r>
        <w:rPr>
          <w:rFonts w:hint="eastAsia"/>
        </w:rPr>
        <w:t>“皮重”：</w:t>
      </w:r>
      <w:r w:rsidR="00623906">
        <w:rPr>
          <w:rFonts w:hint="eastAsia"/>
        </w:rPr>
        <w:t>由上及页面跳转至此页面后带过来的参数中（不变）。</w:t>
      </w:r>
    </w:p>
    <w:p w14:paraId="0A34AE95" w14:textId="1CEB0721" w:rsidR="008679AD" w:rsidRDefault="00623906" w:rsidP="008679AD">
      <w:pPr>
        <w:pStyle w:val="a4"/>
        <w:numPr>
          <w:ilvl w:val="0"/>
          <w:numId w:val="1"/>
        </w:numPr>
      </w:pPr>
      <w:r>
        <w:rPr>
          <w:rFonts w:hint="eastAsia"/>
        </w:rPr>
        <w:t>“捆数”：上方表格的数据条数（默认为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00C49664" w14:textId="7C7635CE" w:rsidR="00623906" w:rsidRDefault="00623906" w:rsidP="008679AD">
      <w:pPr>
        <w:pStyle w:val="a4"/>
        <w:numPr>
          <w:ilvl w:val="0"/>
          <w:numId w:val="1"/>
        </w:numPr>
      </w:pPr>
      <w:r>
        <w:rPr>
          <w:rFonts w:hint="eastAsia"/>
        </w:rPr>
        <w:t>“合计”：</w:t>
      </w:r>
      <w:r>
        <w:rPr>
          <w:rFonts w:hint="eastAsia"/>
        </w:rPr>
        <w:t>“已拣”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皮重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14:paraId="54266F9C" w14:textId="0E410B0D" w:rsidR="008679AD" w:rsidRDefault="00623906" w:rsidP="007C5976">
      <w:r>
        <w:rPr>
          <w:rFonts w:hint="eastAsia"/>
        </w:rPr>
        <w:t>以上数据均精确到小数点后四位。</w:t>
      </w:r>
    </w:p>
    <w:p w14:paraId="1BFA0146" w14:textId="4A2E3743" w:rsidR="008679AD" w:rsidRDefault="00A32D38" w:rsidP="007C5976">
      <w:r>
        <w:rPr>
          <w:rFonts w:hint="eastAsia"/>
        </w:rPr>
        <w:t>点击“确认”按钮，询问用户是否确认扫描完成？</w:t>
      </w:r>
      <w:r w:rsidR="00425C50">
        <w:rPr>
          <w:rFonts w:hint="eastAsia"/>
        </w:rPr>
        <w:t>确认后将上方表格内的数据全部上传到数据库中保存。保存成功后清空表格内的数据。</w:t>
      </w:r>
    </w:p>
    <w:p w14:paraId="2BF1F865" w14:textId="0EC59172" w:rsidR="008679AD" w:rsidRDefault="006C2884" w:rsidP="007C5976">
      <w:r>
        <w:rPr>
          <w:rFonts w:hint="eastAsia"/>
        </w:rPr>
        <w:t>点击“手动”按钮，带上方表格内的数据作为参数跳转至《手动不合格条码信息》</w:t>
      </w:r>
    </w:p>
    <w:p w14:paraId="14032CBC" w14:textId="165A0A51" w:rsidR="002F4F9E" w:rsidRDefault="002F4F9E" w:rsidP="007C5976">
      <w:pPr>
        <w:rPr>
          <w:rFonts w:hint="eastAsia"/>
        </w:rPr>
      </w:pPr>
      <w:r>
        <w:rPr>
          <w:rFonts w:hint="eastAsia"/>
        </w:rPr>
        <w:lastRenderedPageBreak/>
        <w:t>点击“剔除”按钮，</w:t>
      </w:r>
      <w:r w:rsidR="007130F6">
        <w:rPr>
          <w:rFonts w:hint="eastAsia"/>
        </w:rPr>
        <w:t>将上方表格中选中的一条数据从表格中剔除出去，并重新计算下方表格</w:t>
      </w:r>
      <w:r w:rsidR="00E46F6B">
        <w:rPr>
          <w:rFonts w:hint="eastAsia"/>
        </w:rPr>
        <w:t>应展示</w:t>
      </w:r>
      <w:r w:rsidR="007130F6">
        <w:rPr>
          <w:rFonts w:hint="eastAsia"/>
        </w:rPr>
        <w:t>的数据。</w:t>
      </w:r>
    </w:p>
    <w:p w14:paraId="47CD6254" w14:textId="3B604A6F" w:rsidR="008679AD" w:rsidRDefault="00B8341B" w:rsidP="00B8341B">
      <w:pPr>
        <w:pStyle w:val="1"/>
      </w:pPr>
      <w:r>
        <w:rPr>
          <w:rFonts w:hint="eastAsia"/>
        </w:rPr>
        <w:t>《手动不合格条码信息》</w:t>
      </w:r>
    </w:p>
    <w:p w14:paraId="5B82807C" w14:textId="5E47B92C" w:rsidR="008679AD" w:rsidRDefault="00814BE2" w:rsidP="007C5976">
      <w:r>
        <w:rPr>
          <w:noProof/>
        </w:rPr>
        <w:drawing>
          <wp:inline distT="0" distB="0" distL="0" distR="0" wp14:anchorId="0097C639" wp14:editId="599C2823">
            <wp:extent cx="3810000" cy="7410450"/>
            <wp:effectExtent l="0" t="0" r="0" b="0"/>
            <wp:docPr id="1366854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54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6A41" w14:textId="5935C659" w:rsidR="008679AD" w:rsidRDefault="00814BE2" w:rsidP="007C5976">
      <w:r>
        <w:rPr>
          <w:rFonts w:hint="eastAsia"/>
        </w:rPr>
        <w:t>批次号、编号为必填项。</w:t>
      </w:r>
    </w:p>
    <w:p w14:paraId="4F11D02C" w14:textId="41C0753E" w:rsidR="00814BE2" w:rsidRDefault="00814BE2" w:rsidP="007C5976">
      <w:r>
        <w:rPr>
          <w:rFonts w:hint="eastAsia"/>
        </w:rPr>
        <w:lastRenderedPageBreak/>
        <w:t>点击“查询”按钮，根据批次号和编号查询条码。将查询到的条码填充至下方“条形码”输入框内。如果没查询到则提示用户查不到。此时用户可以在“条形码”手动输入条码。</w:t>
      </w:r>
    </w:p>
    <w:p w14:paraId="09C9E173" w14:textId="69F6F005" w:rsidR="00EE5F94" w:rsidRDefault="00EE5F94" w:rsidP="007C5976">
      <w:r>
        <w:rPr>
          <w:rFonts w:hint="eastAsia"/>
        </w:rPr>
        <w:t>点击“取消”触发路由后退。点击“确定”后按照《扫描结果》页内的条码是否符合规范的逻辑进行检验一遍，通过后带着条码作为</w:t>
      </w:r>
      <w:r w:rsidR="002A6F5B">
        <w:rPr>
          <w:rFonts w:hint="eastAsia"/>
        </w:rPr>
        <w:t>参数</w:t>
      </w:r>
      <w:r>
        <w:rPr>
          <w:rFonts w:hint="eastAsia"/>
        </w:rPr>
        <w:t>，</w:t>
      </w:r>
      <w:r w:rsidR="00D72161">
        <w:rPr>
          <w:rFonts w:hint="eastAsia"/>
        </w:rPr>
        <w:t>返回</w:t>
      </w:r>
      <w:r w:rsidR="00D72161">
        <w:rPr>
          <w:rFonts w:hint="eastAsia"/>
        </w:rPr>
        <w:t>《扫描结果》页</w:t>
      </w:r>
      <w:r w:rsidR="00D72161">
        <w:rPr>
          <w:rFonts w:hint="eastAsia"/>
        </w:rPr>
        <w:t>并将之</w:t>
      </w:r>
      <w:r w:rsidR="002A6F5B">
        <w:rPr>
          <w:rFonts w:hint="eastAsia"/>
        </w:rPr>
        <w:t>作为一条新数据</w:t>
      </w:r>
      <w:r>
        <w:rPr>
          <w:rFonts w:hint="eastAsia"/>
        </w:rPr>
        <w:t>添加在的上方表格内。</w:t>
      </w:r>
    </w:p>
    <w:p w14:paraId="5A171DCB" w14:textId="5D2224F7" w:rsidR="002B593D" w:rsidRDefault="002B593D" w:rsidP="002B593D">
      <w:pPr>
        <w:pStyle w:val="1"/>
      </w:pPr>
      <w:r>
        <w:rPr>
          <w:rFonts w:hint="eastAsia"/>
        </w:rPr>
        <w:lastRenderedPageBreak/>
        <w:t>《选择车号》</w:t>
      </w:r>
    </w:p>
    <w:p w14:paraId="1572C891" w14:textId="7DB69C0B" w:rsidR="002B593D" w:rsidRDefault="002B593D" w:rsidP="002B593D">
      <w:r>
        <w:rPr>
          <w:noProof/>
        </w:rPr>
        <w:drawing>
          <wp:inline distT="0" distB="0" distL="0" distR="0" wp14:anchorId="618D4DDA" wp14:editId="04F087C7">
            <wp:extent cx="3810000" cy="7410450"/>
            <wp:effectExtent l="0" t="0" r="0" b="0"/>
            <wp:docPr id="463837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37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008A" w14:textId="02405123" w:rsidR="002B593D" w:rsidRDefault="002B593D" w:rsidP="002B593D">
      <w:r>
        <w:rPr>
          <w:rFonts w:hint="eastAsia"/>
        </w:rPr>
        <w:t>上方查询条件是日期区间。</w:t>
      </w:r>
    </w:p>
    <w:p w14:paraId="48B23968" w14:textId="39F31CCC" w:rsidR="002B593D" w:rsidRDefault="002B593D" w:rsidP="002B593D">
      <w:r>
        <w:rPr>
          <w:rFonts w:hint="eastAsia"/>
        </w:rPr>
        <w:t>点击“查询”按钮</w:t>
      </w:r>
      <w:r w:rsidR="00997A21">
        <w:rPr>
          <w:rFonts w:hint="eastAsia"/>
        </w:rPr>
        <w:t>，根据上方条件查询表格数据。</w:t>
      </w:r>
      <w:r w:rsidR="0058232F">
        <w:rPr>
          <w:rFonts w:hint="eastAsia"/>
        </w:rPr>
        <w:t>点击表格内某一条数据后，将当中的车牌号作为值填充至下方“车牌号”中。</w:t>
      </w:r>
    </w:p>
    <w:p w14:paraId="40FAB412" w14:textId="77777777" w:rsidR="008F79FA" w:rsidRDefault="008F79FA" w:rsidP="002B593D">
      <w:r>
        <w:rPr>
          <w:rFonts w:hint="eastAsia"/>
        </w:rPr>
        <w:t>点击表格内的一条数据将此数据中的车牌号填入“车牌号”。</w:t>
      </w:r>
    </w:p>
    <w:p w14:paraId="3CB07263" w14:textId="0E34A8FA" w:rsidR="00FC7A52" w:rsidRDefault="00FC7A52" w:rsidP="002B593D">
      <w:r>
        <w:rPr>
          <w:rFonts w:hint="eastAsia"/>
        </w:rPr>
        <w:lastRenderedPageBreak/>
        <w:t>点击“确认”按钮，先判断</w:t>
      </w:r>
      <w:r w:rsidR="008F79FA">
        <w:rPr>
          <w:rFonts w:hint="eastAsia"/>
        </w:rPr>
        <w:t>“车牌号”是否是空的，若为空则提示用户必须选择车号。若不为空则将车号作为参数返回页面《出库单内容》，将之填在“车号”中。</w:t>
      </w:r>
    </w:p>
    <w:p w14:paraId="5051A3BC" w14:textId="07A8864D" w:rsidR="00CE553F" w:rsidRDefault="00CE553F" w:rsidP="002B593D">
      <w:r>
        <w:rPr>
          <w:rFonts w:hint="eastAsia"/>
        </w:rPr>
        <w:t>“手动确认”按钮可以删除掉。</w:t>
      </w:r>
    </w:p>
    <w:p w14:paraId="041C68FF" w14:textId="11182D2F" w:rsidR="000C1DD1" w:rsidRDefault="000C1DD1" w:rsidP="000C1DD1">
      <w:pPr>
        <w:pStyle w:val="1"/>
      </w:pPr>
      <w:r>
        <w:rPr>
          <w:rFonts w:hint="eastAsia"/>
        </w:rPr>
        <w:t>《查询拣配单》</w:t>
      </w:r>
    </w:p>
    <w:p w14:paraId="3B794292" w14:textId="31D470F2" w:rsidR="000C1DD1" w:rsidRDefault="005C074C" w:rsidP="000C1DD1">
      <w:r>
        <w:rPr>
          <w:noProof/>
        </w:rPr>
        <w:drawing>
          <wp:inline distT="0" distB="0" distL="0" distR="0" wp14:anchorId="3DFDB10E" wp14:editId="487E4851">
            <wp:extent cx="3810000" cy="7410450"/>
            <wp:effectExtent l="0" t="0" r="0" b="0"/>
            <wp:docPr id="403624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24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59B4" w14:textId="6866EEDC" w:rsidR="005C074C" w:rsidRDefault="005C074C" w:rsidP="000C1DD1">
      <w:r>
        <w:rPr>
          <w:rFonts w:hint="eastAsia"/>
        </w:rPr>
        <w:lastRenderedPageBreak/>
        <w:t>两个查询条件，手动输入框“发货单号”和日期区间选择器。</w:t>
      </w:r>
    </w:p>
    <w:p w14:paraId="5597593F" w14:textId="2AD5CDBB" w:rsidR="005C074C" w:rsidRDefault="005C074C" w:rsidP="000C1DD1">
      <w:r>
        <w:rPr>
          <w:rFonts w:hint="eastAsia"/>
        </w:rPr>
        <w:t>点击“返回”触发路由后退。</w:t>
      </w:r>
    </w:p>
    <w:p w14:paraId="73FEBC02" w14:textId="4DB3E4C5" w:rsidR="005C074C" w:rsidRDefault="005C074C" w:rsidP="000C1DD1">
      <w:r>
        <w:rPr>
          <w:rFonts w:hint="eastAsia"/>
        </w:rPr>
        <w:t>点击“查询”，带着条件跳转至《拣配单查询结果》</w:t>
      </w:r>
    </w:p>
    <w:p w14:paraId="333DD6A9" w14:textId="28E1A9C0" w:rsidR="005C074C" w:rsidRDefault="005C074C" w:rsidP="005C074C">
      <w:pPr>
        <w:pStyle w:val="1"/>
      </w:pPr>
      <w:r>
        <w:rPr>
          <w:rFonts w:hint="eastAsia"/>
        </w:rPr>
        <w:t>《拣配单查询结果》</w:t>
      </w:r>
    </w:p>
    <w:p w14:paraId="6D06321C" w14:textId="0D169096" w:rsidR="005C074C" w:rsidRDefault="005C074C" w:rsidP="005C074C">
      <w:r>
        <w:rPr>
          <w:noProof/>
        </w:rPr>
        <w:drawing>
          <wp:inline distT="0" distB="0" distL="0" distR="0" wp14:anchorId="35B57B45" wp14:editId="0E46E96D">
            <wp:extent cx="3810000" cy="7410450"/>
            <wp:effectExtent l="0" t="0" r="0" b="0"/>
            <wp:docPr id="1502411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11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55A8" w14:textId="2F535790" w:rsidR="005C074C" w:rsidRDefault="005C074C" w:rsidP="005C074C">
      <w:r>
        <w:rPr>
          <w:rFonts w:hint="eastAsia"/>
        </w:rPr>
        <w:lastRenderedPageBreak/>
        <w:t>根据上级页面传来的查询参数查询表格数据。</w:t>
      </w:r>
    </w:p>
    <w:p w14:paraId="278DDD24" w14:textId="2240B142" w:rsidR="005C074C" w:rsidRDefault="005C074C" w:rsidP="005C074C">
      <w:r>
        <w:rPr>
          <w:rFonts w:hint="eastAsia"/>
        </w:rPr>
        <w:t>点击“返回”触发路由后退。</w:t>
      </w:r>
    </w:p>
    <w:p w14:paraId="06AA5FFC" w14:textId="2E2A781C" w:rsidR="005C074C" w:rsidRDefault="005C074C" w:rsidP="005C074C">
      <w:r>
        <w:rPr>
          <w:rFonts w:hint="eastAsia"/>
        </w:rPr>
        <w:t>点击“删除”按钮（</w:t>
      </w:r>
      <w:r>
        <w:rPr>
          <w:rFonts w:hint="eastAsia"/>
        </w:rPr>
        <w:t>要求先选中一条表格数据</w:t>
      </w:r>
      <w:r>
        <w:rPr>
          <w:rFonts w:hint="eastAsia"/>
        </w:rPr>
        <w:t>），判断词条数据是否已经装车，若已装车则不允许删除，否则询问用户是否要删除此条数据。确认后调用后台接口删除此条数据。</w:t>
      </w:r>
    </w:p>
    <w:p w14:paraId="604C6CFA" w14:textId="09039DA9" w:rsidR="005948FF" w:rsidRDefault="005948FF" w:rsidP="005C074C">
      <w:r>
        <w:rPr>
          <w:rFonts w:hint="eastAsia"/>
        </w:rPr>
        <w:t>点击“</w:t>
      </w:r>
      <w:r>
        <w:rPr>
          <w:rFonts w:hint="eastAsia"/>
        </w:rPr>
        <w:t>明细</w:t>
      </w:r>
      <w:r>
        <w:rPr>
          <w:rFonts w:hint="eastAsia"/>
        </w:rPr>
        <w:t>”按钮（要求先选中一条表格数据），</w:t>
      </w:r>
      <w:r>
        <w:rPr>
          <w:rFonts w:hint="eastAsia"/>
        </w:rPr>
        <w:t>跳转至《拣配单明细》</w:t>
      </w:r>
    </w:p>
    <w:p w14:paraId="7E23355F" w14:textId="514E045C" w:rsidR="005948FF" w:rsidRDefault="005948FF" w:rsidP="005948FF">
      <w:pPr>
        <w:pStyle w:val="1"/>
      </w:pPr>
      <w:r>
        <w:rPr>
          <w:rFonts w:hint="eastAsia"/>
        </w:rPr>
        <w:lastRenderedPageBreak/>
        <w:t>《拣配单明细》</w:t>
      </w:r>
    </w:p>
    <w:p w14:paraId="54D1C400" w14:textId="5BD2F021" w:rsidR="005948FF" w:rsidRDefault="007101A6" w:rsidP="005948FF">
      <w:r>
        <w:rPr>
          <w:noProof/>
        </w:rPr>
        <w:drawing>
          <wp:inline distT="0" distB="0" distL="0" distR="0" wp14:anchorId="4653148E" wp14:editId="7C485B02">
            <wp:extent cx="3810000" cy="7410450"/>
            <wp:effectExtent l="0" t="0" r="0" b="0"/>
            <wp:docPr id="1234058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58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324" w14:textId="74868F86" w:rsidR="007101A6" w:rsidRDefault="007101A6" w:rsidP="005948FF">
      <w:r>
        <w:rPr>
          <w:rFonts w:hint="eastAsia"/>
        </w:rPr>
        <w:t>用路由带来的参数作为查询根据查询详情数据展现在表格中。</w:t>
      </w:r>
    </w:p>
    <w:p w14:paraId="648CA479" w14:textId="1C4B7EE4" w:rsidR="007101A6" w:rsidRPr="005948FF" w:rsidRDefault="007101A6" w:rsidP="005948FF">
      <w:pPr>
        <w:rPr>
          <w:rFonts w:hint="eastAsia"/>
        </w:rPr>
      </w:pPr>
      <w:r>
        <w:rPr>
          <w:rFonts w:hint="eastAsia"/>
        </w:rPr>
        <w:t>点击“返回”触发路由后退。</w:t>
      </w:r>
    </w:p>
    <w:sectPr w:rsidR="007101A6" w:rsidRPr="005948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C5103"/>
    <w:multiLevelType w:val="hybridMultilevel"/>
    <w:tmpl w:val="839A1EBE"/>
    <w:lvl w:ilvl="0" w:tplc="CB9A5BA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75205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38"/>
    <w:rsid w:val="000B07F8"/>
    <w:rsid w:val="000C1DD1"/>
    <w:rsid w:val="001A79FF"/>
    <w:rsid w:val="002A6F5B"/>
    <w:rsid w:val="002B593D"/>
    <w:rsid w:val="002C4352"/>
    <w:rsid w:val="002D6D76"/>
    <w:rsid w:val="002F4F9E"/>
    <w:rsid w:val="003A22E8"/>
    <w:rsid w:val="003B0A86"/>
    <w:rsid w:val="00400BEC"/>
    <w:rsid w:val="00425C50"/>
    <w:rsid w:val="00536895"/>
    <w:rsid w:val="0058232F"/>
    <w:rsid w:val="005948FF"/>
    <w:rsid w:val="005C074C"/>
    <w:rsid w:val="005E1C94"/>
    <w:rsid w:val="00604E38"/>
    <w:rsid w:val="00623906"/>
    <w:rsid w:val="006A53EE"/>
    <w:rsid w:val="006C027A"/>
    <w:rsid w:val="006C2884"/>
    <w:rsid w:val="007101A6"/>
    <w:rsid w:val="007130F6"/>
    <w:rsid w:val="007C5976"/>
    <w:rsid w:val="00814BE2"/>
    <w:rsid w:val="008679AD"/>
    <w:rsid w:val="008F79FA"/>
    <w:rsid w:val="0094379C"/>
    <w:rsid w:val="00991F63"/>
    <w:rsid w:val="00997A21"/>
    <w:rsid w:val="00A11459"/>
    <w:rsid w:val="00A32D38"/>
    <w:rsid w:val="00A40153"/>
    <w:rsid w:val="00B8341B"/>
    <w:rsid w:val="00BB5016"/>
    <w:rsid w:val="00BE62BB"/>
    <w:rsid w:val="00CE553F"/>
    <w:rsid w:val="00D72161"/>
    <w:rsid w:val="00E46F6B"/>
    <w:rsid w:val="00EB4081"/>
    <w:rsid w:val="00EE5F94"/>
    <w:rsid w:val="00FB43A1"/>
    <w:rsid w:val="00FC7A52"/>
    <w:rsid w:val="00F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1DFD"/>
  <w15:chartTrackingRefBased/>
  <w15:docId w15:val="{90940872-C599-4519-A5D7-987EA65C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4352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2C4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4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z</dc:creator>
  <cp:keywords/>
  <dc:description/>
  <cp:lastModifiedBy>bc z</cp:lastModifiedBy>
  <cp:revision>34</cp:revision>
  <dcterms:created xsi:type="dcterms:W3CDTF">2023-08-25T01:30:00Z</dcterms:created>
  <dcterms:modified xsi:type="dcterms:W3CDTF">2023-08-25T05:26:00Z</dcterms:modified>
</cp:coreProperties>
</file>