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1"/>
              <w:left w:val="single" w:color="1F3864" w:sz="1"/>
              <w:bottom w:val="single" w:color="1F3864" w:sz="1"/>
              <w:right w:val="single" w:color="1F3864" w:sz="1"/>
            </w:tcBorders>
            <w:shd w:fill="1F3864" w:val="clear"/>
            <w:tcMar>
              <w:top w:type="dxa" w:w="400"/>
              <w:left w:type="dxa" w:w="400"/>
              <w:bottom w:type="dxa" w:w="380"/>
              <w:right w:type="dxa" w:w="400"/>
            </w:tcMar>
          </w:tcPr>
          <w:p>
            <w:pPr>
              <w:pStyle w:val="Heading1"/>
            </w:pPr>
            <w:r>
              <w:rPr>
                <w:rFonts w:ascii="Arial" w:cs="Arial" w:eastAsia="Arial" w:hAnsi="Arial"/>
                <w:b/>
                <w:bCs/>
                <w:color w:val="FFFFFF"/>
                <w:sz w:val="52"/>
                <w:szCs w:val="52"/>
              </w:rPr>
              <w:t xml:space="preserve">GeoClaw Global Deployment</w:t>
            </w:r>
          </w:p>
          <w:p>
            <w:r>
              <w:rPr>
                <w:rFonts w:ascii="Arial" w:cs="Arial" w:eastAsia="Arial" w:hAnsi="Arial"/>
                <w:color w:val="B8D4F0"/>
                <w:sz w:val="30"/>
                <w:szCs w:val="30"/>
              </w:rPr>
              <w:t xml:space="preserve">Coverage Analysis &amp; Advisory Report</w:t>
            </w:r>
          </w:p>
          <w:p>
            <w:pPr>
              <w:spacing w:before="0" w:after="120"/>
            </w:pPr>
          </w:p>
          <w:p>
            <w:r>
              <w:rPr>
                <w:rFonts w:ascii="Arial" w:cs="Arial" w:eastAsia="Arial" w:hAnsi="Arial"/>
                <w:b/>
                <w:bCs/>
                <w:color w:val="8BBCD4"/>
                <w:sz w:val="20"/>
                <w:szCs w:val="20"/>
              </w:rPr>
              <w:t xml:space="preserve">Scope: </w:t>
            </w:r>
            <w:r>
              <w:rPr>
                <w:rFonts w:ascii="Arial" w:cs="Arial" w:eastAsia="Arial" w:hAnsi="Arial"/>
                <w:color w:val="C8DCF0"/>
                <w:sz w:val="20"/>
                <w:szCs w:val="20"/>
              </w:rPr>
              <w:t xml:space="preserve">Global city support capabilities, data source assessment, China-specific features, and strategic roadmap</w:t>
            </w:r>
          </w:p>
          <w:p>
            <w:r>
              <w:rPr>
                <w:rFonts w:ascii="Arial" w:cs="Arial" w:eastAsia="Arial" w:hAnsi="Arial"/>
                <w:b/>
                <w:bCs/>
                <w:color w:val="8BBCD4"/>
                <w:sz w:val="20"/>
                <w:szCs w:val="20"/>
              </w:rPr>
              <w:t xml:space="preserve">Audience: </w:t>
            </w:r>
            <w:r>
              <w:rPr>
                <w:rFonts w:ascii="Arial" w:cs="Arial" w:eastAsia="Arial" w:hAnsi="Arial"/>
                <w:color w:val="C8DCF0"/>
                <w:sz w:val="20"/>
                <w:szCs w:val="20"/>
              </w:rPr>
              <w:t xml:space="preserve">International researchers, urban planners, GIS practitioners, and institutional evaluators</w:t>
            </w:r>
          </w:p>
          <w:p>
            <w:r>
              <w:rPr>
                <w:rFonts w:ascii="Arial" w:cs="Arial" w:eastAsia="Arial" w:hAnsi="Arial"/>
                <w:b/>
                <w:bCs/>
                <w:color w:val="8BBCD4"/>
                <w:sz w:val="20"/>
                <w:szCs w:val="20"/>
              </w:rPr>
              <w:t xml:space="preserve">Version: </w:t>
            </w:r>
            <w:r>
              <w:rPr>
                <w:rFonts w:ascii="Arial" w:cs="Arial" w:eastAsia="Arial" w:hAnsi="Arial"/>
                <w:color w:val="C8DCF0"/>
                <w:sz w:val="20"/>
                <w:szCs w:val="20"/>
              </w:rPr>
              <w:t xml:space="preserve">GeoClaw v3.0.0  ·  UrbanComp Lab, China University of Geosciences (Wuhan)  ·  urbancomp.net</w:t>
            </w:r>
          </w:p>
        </w:tc>
      </w:tr>
    </w:tbl>
    <w:p>
      <w:pPr>
        <w:spacing w:before="0" w:after="280"/>
      </w:pPr>
    </w:p>
    <w:p>
      <w:pPr>
        <w:pStyle w:val="Heading2"/>
      </w:pPr>
      <w:r>
        <w:rPr>
          <w:rFonts w:ascii="Arial" w:cs="Arial" w:eastAsia="Arial" w:hAnsi="Arial"/>
          <w:b/>
          <w:bCs/>
          <w:color w:val="1F3864"/>
          <w:sz w:val="28"/>
          <w:szCs w:val="28"/>
        </w:rPr>
        <w:t xml:space="preserve">Executive Summary</w:t>
      </w:r>
    </w:p>
    <w:p>
      <w:pPr>
        <w:pBdr>
          <w:bottom w:val="single" w:color="1F3864" w:sz="4" w:space="1"/>
        </w:pBdr>
        <w:spacing w:before="60" w:after="80"/>
      </w:pPr>
    </w:p>
    <w:p>
      <w:pPr>
        <w:spacing w:before="0" w:after="80"/>
      </w:pPr>
    </w:p>
    <w:p>
      <w:r>
        <w:rPr>
          <w:rFonts w:ascii="Arial" w:cs="Arial" w:eastAsia="Arial" w:hAnsi="Arial"/>
          <w:b w:val="false"/>
          <w:bCs w:val="false"/>
          <w:color w:val="333333"/>
          <w:sz w:val="22"/>
          <w:szCs w:val="22"/>
        </w:rPr>
        <w:t xml:space="preserve">GeoClaw v3.0.0 is an open-source, AI-augmented geospatial analysis framework designed around natural language interaction. Its core analytical engine — spatial operations, network analysis, raster processing, and the Spatial Reasoning Engine (SRE) — carries no geographic restrictions whatsoever. Any dataset from any location on Earth can be loaded and analyzed.</w:t>
      </w:r>
    </w:p>
    <w:p>
      <w:pPr>
        <w:spacing w:before="0" w:after="80"/>
      </w:pPr>
    </w:p>
    <w:p>
      <w:r>
        <w:rPr>
          <w:rFonts w:ascii="Arial" w:cs="Arial" w:eastAsia="Arial" w:hAnsi="Arial"/>
          <w:b w:val="false"/>
          <w:bCs w:val="false"/>
          <w:color w:val="333333"/>
          <w:sz w:val="22"/>
          <w:szCs w:val="22"/>
        </w:rPr>
        <w:t xml:space="preserve">In practice, the quality of experience for international users depends primarily on the coverage quality of OpenStreetMap (OSM), which GeoClaw uses for automated data acquisition. Global major cities — particularly in North America, Europe, East Asia, and Southeast Asia — enjoy excellent OSM coverage and are fully supported out of the box. Chinese cities benefit additionally from native three-coordinate-system conversion (WGS-84 / GCJ-02 / BD-09), a feature unique to the Chinese geospatial data ecosystem.</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40"/>
        </w:tblCellMar>
      </w:tblPr>
      <w:tblGrid>
        <w:gridCol w:w="9360"/>
      </w:tblGrid>
      <w:tr>
        <w:tc>
          <w:tcPr>
            <w:tcW w:type="dxa" w:w="9360"/>
            <w:tcBorders>
              <w:top w:val="single" w:color="375623" w:sz="1"/>
              <w:left w:val="single" w:color="375623" w:sz="1"/>
              <w:bottom w:val="single" w:color="375623" w:sz="1"/>
              <w:right w:val="single" w:color="375623" w:sz="1"/>
            </w:tcBorders>
            <w:shd w:fill="E2EFDA" w:val="clear"/>
            <w:tcMar>
              <w:top w:type="dxa" w:w="100"/>
              <w:left w:type="dxa" w:w="180"/>
              <w:bottom w:type="dxa" w:w="100"/>
              <w:right w:type="dxa" w:w="180"/>
            </w:tcMar>
          </w:tcPr>
          <w:p>
            <w:r>
              <w:rPr>
                <w:rFonts w:ascii="Arial" w:cs="Arial" w:eastAsia="Arial" w:hAnsi="Arial"/>
                <w:b/>
                <w:bCs/>
                <w:color w:val="375623"/>
                <w:sz w:val="22"/>
                <w:szCs w:val="22"/>
              </w:rPr>
              <w:t xml:space="preserve">[OK]  </w:t>
            </w:r>
            <w:r>
              <w:rPr>
                <w:rFonts w:ascii="Arial" w:cs="Arial" w:eastAsia="Arial" w:hAnsi="Arial"/>
                <w:b/>
                <w:bCs/>
                <w:color w:val="375623"/>
                <w:sz w:val="22"/>
                <w:szCs w:val="22"/>
              </w:rPr>
              <w:t xml:space="preserve">Bottom line:  </w:t>
            </w:r>
            <w:r>
              <w:rPr>
                <w:rFonts w:ascii="Arial" w:cs="Arial" w:eastAsia="Arial" w:hAnsi="Arial"/>
                <w:color w:val="333333"/>
                <w:sz w:val="21"/>
                <w:szCs w:val="21"/>
              </w:rPr>
              <w:t xml:space="preserve">GeoClaw supports all global cities at the analytical layer. Automated data download quality mirrors OSM coverage — excellent for major world cities, variable for smaller or data-sparse regions.</w:t>
            </w:r>
          </w:p>
        </w:tc>
      </w:tr>
    </w:tbl>
    <w:p>
      <w:pPr>
        <w:spacing w:before="0" w:after="200"/>
      </w:pPr>
    </w:p>
    <w:p>
      <w:pPr>
        <w:pStyle w:val="Heading2"/>
      </w:pPr>
      <w:r>
        <w:rPr>
          <w:rFonts w:ascii="Arial" w:cs="Arial" w:eastAsia="Arial" w:hAnsi="Arial"/>
          <w:b/>
          <w:bCs/>
          <w:color w:val="1F3864"/>
          <w:sz w:val="28"/>
          <w:szCs w:val="28"/>
        </w:rPr>
        <w:t xml:space="preserve">1.  Architecture: What Is and Is Not Geography-Dependent</w:t>
      </w:r>
    </w:p>
    <w:p>
      <w:pPr>
        <w:pBdr>
          <w:bottom w:val="single" w:color="1F3864" w:sz="4" w:space="1"/>
        </w:pBdr>
        <w:spacing w:before="60" w:after="80"/>
      </w:pPr>
    </w:p>
    <w:p>
      <w:pPr>
        <w:spacing w:before="0" w:after="80"/>
      </w:pPr>
    </w:p>
    <w:p>
      <w:pPr>
        <w:pStyle w:val="Heading3"/>
      </w:pPr>
      <w:r>
        <w:rPr>
          <w:rFonts w:ascii="Arial" w:cs="Arial" w:eastAsia="Arial" w:hAnsi="Arial"/>
          <w:b/>
          <w:bCs/>
          <w:color w:val="2E75B6"/>
          <w:sz w:val="24"/>
          <w:szCs w:val="24"/>
        </w:rPr>
        <w:t xml:space="preserve">1.1  Geography-Independent Capabilities (Universal)</w:t>
      </w:r>
    </w:p>
    <w:p>
      <w:pPr>
        <w:spacing w:before="0" w:after="60"/>
      </w:pPr>
    </w:p>
    <w:p>
      <w:r>
        <w:rPr>
          <w:rFonts w:ascii="Arial" w:cs="Arial" w:eastAsia="Arial" w:hAnsi="Arial"/>
          <w:b w:val="false"/>
          <w:bCs w:val="false"/>
          <w:color w:val="333333"/>
          <w:sz w:val="22"/>
          <w:szCs w:val="22"/>
        </w:rPr>
        <w:t xml:space="preserve">The following capabilities operate identically regardless of which city, country, or continent the data comes from:</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2800"/>
        <w:gridCol w:w="6226"/>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Capability &amp; Global Notes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Spatial Analysis (spatial_ops)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Buffer, clip, overlay, nearest-neighbor, kernel density estimation — pure geometry, fully universal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Network Analysis (network.py)</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Shortest path, isochrone, service area — driven by OSMnx; works wherever OSM road network exists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Raster Analysis (raster_ops)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DEM slope/aspect/hillshade, zonal statistics, reclassification — format-based, no location dependency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Natural Language Layer</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Intent parsing, GeoAgent dialogue — language-model driven; supports Chinese and English queries equally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Spatial Reasoning Engine (SRE)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All three phases (rule engine, LLM reasoning, uncertainty quantification) are geography-agnostic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Memory System</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Short- and long-term memory, session archive, vector search — purely structural, no location logic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Skill System</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User-defined analytical modules run identically in any region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Cartography</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Static Matplotlib maps and interactive Folium maps render any geographic extent</w:t>
            </w:r>
          </w:p>
        </w:tc>
      </w:tr>
    </w:tbl>
    <w:p>
      <w:pPr>
        <w:spacing w:before="0" w:after="120"/>
      </w:pPr>
    </w:p>
    <w:p>
      <w:pPr>
        <w:pStyle w:val="Heading3"/>
      </w:pPr>
      <w:r>
        <w:rPr>
          <w:rFonts w:ascii="Arial" w:cs="Arial" w:eastAsia="Arial" w:hAnsi="Arial"/>
          <w:b/>
          <w:bCs/>
          <w:color w:val="2E75B6"/>
          <w:sz w:val="24"/>
          <w:szCs w:val="24"/>
        </w:rPr>
        <w:t xml:space="preserve">1.2  Geography-Sensitive Capabilities (Data-Source Dependent)</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2800"/>
        <w:gridCol w:w="6226"/>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6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Dependency &amp; Impact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Automated OSM download (io/osm.py)</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Quality mirrors local OSM contributor density. Major world cities: excellent. Tier-3+ cities: variable.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Road network analysis via OSMnx</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Requires OSM road data for the target area. No OSM = no routing; user must supply own network dataset.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Tianditu POI API (io/remote.py)</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China-specific data source. International users must substitute equivalent national/commercial APIs.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Coordinate transformation (utils/)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GCJ-02 / BD-09 conversion is China-only. No impact on international users (WGS-84 used everywhere else).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Built-in demo data (data/wuhan/)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Current demo data covers Wuhan only. No limitation on loading external datasets for any city.</w:t>
            </w:r>
          </w:p>
        </w:tc>
      </w:tr>
    </w:tbl>
    <w:p>
      <w:pPr>
        <w:spacing w:before="0" w:after="200"/>
      </w:pPr>
    </w:p>
    <w:p>
      <w:pPr>
        <w:pStyle w:val="Heading2"/>
      </w:pPr>
      <w:r>
        <w:rPr>
          <w:rFonts w:ascii="Arial" w:cs="Arial" w:eastAsia="Arial" w:hAnsi="Arial"/>
          <w:b/>
          <w:bCs/>
          <w:color w:val="1F3864"/>
          <w:sz w:val="28"/>
          <w:szCs w:val="28"/>
        </w:rPr>
        <w:t xml:space="preserve">2.  Global City Coverage Assessment</w:t>
      </w:r>
    </w:p>
    <w:p>
      <w:pPr>
        <w:pBdr>
          <w:bottom w:val="single" w:color="1F3864" w:sz="4" w:space="1"/>
        </w:pBdr>
        <w:spacing w:before="60" w:after="80"/>
      </w:pPr>
    </w:p>
    <w:p>
      <w:pPr>
        <w:spacing w:before="0" w:after="80"/>
      </w:pPr>
    </w:p>
    <w:p>
      <w:r>
        <w:rPr>
          <w:rFonts w:ascii="Arial" w:cs="Arial" w:eastAsia="Arial" w:hAnsi="Arial"/>
          <w:b w:val="false"/>
          <w:bCs w:val="false"/>
          <w:color w:val="333333"/>
          <w:sz w:val="22"/>
          <w:szCs w:val="22"/>
        </w:rPr>
        <w:t xml:space="preserve">The table below rates GeoClaw's out-of-the-box experience (i.e., using the built-in OSM data download, without supplying external datasets) for major regions of the world. The ratings reflect OSM data maturity, not any limitation within GeoClaw itself.</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3000"/>
        <w:gridCol w:w="1600"/>
        <w:gridCol w:w="47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Region / City Examples</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OSM Quality</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color w:val="FFFFFF"/>
                <w:sz w:val="20"/>
                <w:szCs w:val="20"/>
              </w:rPr>
              <w:t xml:space="preserve">Notes for GeoClaw Users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Western Europe
London · Paris · Berlin · Amsterdam · Madrid</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19"/>
                <w:szCs w:val="19"/>
              </w:rPr>
              <w:t xml:space="preserve">[OK] Excellent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Among the world's best-mapped regions. Full road network, buildings, POIs. All GeoClaw features work seamlessly.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North America
New York · Los Angeles · Chicago · Toronto · Vancouver</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19"/>
                <w:szCs w:val="19"/>
              </w:rPr>
              <w:t xml:space="preserve">[OK] Excellent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Dense OSM coverage in metro areas. Suburban and rural areas slightly less complete but generally reliable.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East Asia (non-China)
Tokyo · Seoul · Singapore · Taipei · Osaka</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19"/>
                <w:szCs w:val="19"/>
              </w:rPr>
              <w:t xml:space="preserve">[OK] Excellent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Very high OSM quality, particularly Japan and Singapore. Ideal for comparative urban studies with Chinese cities.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Southeast Asia (major cities)
Bangkok · Jakarta · Kuala Lumpur · Ho Chi Minh City</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19"/>
                <w:szCs w:val="19"/>
              </w:rPr>
              <w:t xml:space="preserve">[OK] Good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Major metro areas well-covered. Peri-urban zones may be sparse. Road network sufficient for most analyses.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Australia &amp; New Zealand
Sydney · Melbourne · Auckland · Brisbane</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19"/>
                <w:szCs w:val="19"/>
              </w:rPr>
              <w:t xml:space="preserve">[OK] Excellent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Comprehensive OSM mapping. Government open data actively feeds OSM, giving strong attribute coverage.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Latin America (major cities)
São Paulo · Mexico City · Buenos Aires · Bogotá · Santiago</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19"/>
                <w:szCs w:val="19"/>
              </w:rPr>
              <w:t xml:space="preserve">[OK] Good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Core urban areas well-mapped. Secondary cities and informal settlements less complete.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South Asia
Mumbai · Delhi · Bangalore · Dhaka · Colombo</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BF8F00"/>
                <w:sz w:val="19"/>
                <w:szCs w:val="19"/>
              </w:rPr>
              <w:t xml:space="preserve">[!] Moderate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Rapidly improving. Dense commercial districts well-mapped; residential areas variable. Road topology sometimes incomplete.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Middle East &amp; North Africa
Dubai · Riyadh · Cairo · Istanbul · Casablanca</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BF8F00"/>
                <w:sz w:val="19"/>
                <w:szCs w:val="19"/>
              </w:rPr>
              <w:t xml:space="preserve">[!] Moderate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Gulf city-states (Dubai, Abu Dhabi) have strong coverage. Other MENA cities improving but inconsistent.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Sub-Saharan Africa
Nairobi · Lagos · Cape Town · Accra · Addis Ababa</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BF8F00"/>
                <w:sz w:val="19"/>
                <w:szCs w:val="19"/>
              </w:rPr>
              <w:t xml:space="preserve">[!] Variable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Humanitarian OSM mapping has improved coverage significantly. Capital cities usable; smaller cities sparse.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China (all tiers)
Beijing · Shanghai · Wuhan · Chengdu · Tier-3 cities</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BF8F00"/>
                <w:sz w:val="19"/>
                <w:szCs w:val="19"/>
              </w:rPr>
              <w:t xml:space="preserve">[!] Variable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See Section 3 for detailed China analysis. Coordinate system complexity adds unique challenges.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Small cities &amp; rural areas
(worldwide)</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BF8F00"/>
                <w:sz w:val="19"/>
                <w:szCs w:val="19"/>
              </w:rPr>
              <w:t xml:space="preserve">[!] Variable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OSM coverage is the limiting factor globally, not GeoClaw. Users should supply their own datasets.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40"/>
        </w:tblCellMar>
      </w:tblPr>
      <w:tblGrid>
        <w:gridCol w:w="9360"/>
      </w:tblGrid>
      <w:tr>
        <w:tc>
          <w:tcPr>
            <w:tcW w:type="dxa" w:w="9360"/>
            <w:tcBorders>
              <w:top w:val="single" w:color="2E75B6" w:sz="1"/>
              <w:left w:val="single" w:color="2E75B6" w:sz="1"/>
              <w:bottom w:val="single" w:color="2E75B6" w:sz="1"/>
              <w:right w:val="single" w:color="2E75B6" w:sz="1"/>
            </w:tcBorders>
            <w:shd w:fill="D5E8F0" w:val="clear"/>
            <w:tcMar>
              <w:top w:type="dxa" w:w="100"/>
              <w:left w:type="dxa" w:w="180"/>
              <w:bottom w:type="dxa" w:w="100"/>
              <w:right w:type="dxa" w:w="180"/>
            </w:tcMar>
          </w:tcPr>
          <w:p>
            <w:r>
              <w:rPr>
                <w:rFonts w:ascii="Arial" w:cs="Arial" w:eastAsia="Arial" w:hAnsi="Arial"/>
                <w:b/>
                <w:bCs/>
                <w:color w:val="2E75B6"/>
                <w:sz w:val="22"/>
                <w:szCs w:val="22"/>
              </w:rPr>
              <w:t xml:space="preserve">[TIP]  </w:t>
            </w:r>
            <w:r>
              <w:rPr>
                <w:rFonts w:ascii="Arial" w:cs="Arial" w:eastAsia="Arial" w:hAnsi="Arial"/>
                <w:b/>
                <w:bCs/>
                <w:color w:val="2E75B6"/>
                <w:sz w:val="22"/>
                <w:szCs w:val="22"/>
              </w:rPr>
              <w:t xml:space="preserve">Recommendation:  </w:t>
            </w:r>
            <w:r>
              <w:rPr>
                <w:rFonts w:ascii="Arial" w:cs="Arial" w:eastAsia="Arial" w:hAnsi="Arial"/>
                <w:color w:val="333333"/>
                <w:sz w:val="21"/>
                <w:szCs w:val="21"/>
              </w:rPr>
              <w:t xml:space="preserve">For any city not listed above, the quickest way to assess feasibility is to run: geoclaw-claude ask "download [city name] road network" — if OSMnx returns data, all network-dependent analyses will work.</w:t>
            </w:r>
          </w:p>
        </w:tc>
      </w:tr>
    </w:tbl>
    <w:p>
      <w:pPr>
        <w:spacing w:before="0" w:after="200"/>
      </w:pPr>
    </w:p>
    <w:p>
      <w:r>
        <w:br w:type="page"/>
      </w:r>
    </w:p>
    <w:p>
      <w:pPr>
        <w:pStyle w:val="Heading2"/>
      </w:pPr>
      <w:r>
        <w:rPr>
          <w:rFonts w:ascii="Arial" w:cs="Arial" w:eastAsia="Arial" w:hAnsi="Arial"/>
          <w:b/>
          <w:bCs/>
          <w:color w:val="1F3864"/>
          <w:sz w:val="28"/>
          <w:szCs w:val="28"/>
        </w:rPr>
        <w:t xml:space="preserve">3.  China-Specific Capabilities: A Technical Deep Dive</w:t>
      </w:r>
    </w:p>
    <w:p>
      <w:pPr>
        <w:pBdr>
          <w:bottom w:val="single" w:color="1F3864" w:sz="4" w:space="1"/>
        </w:pBdr>
        <w:spacing w:before="60" w:after="80"/>
      </w:pPr>
    </w:p>
    <w:p>
      <w:pPr>
        <w:spacing w:before="0" w:after="80"/>
      </w:pPr>
    </w:p>
    <w:p>
      <w:r>
        <w:rPr>
          <w:rFonts w:ascii="Arial" w:cs="Arial" w:eastAsia="Arial" w:hAnsi="Arial"/>
          <w:b w:val="false"/>
          <w:bCs w:val="false"/>
          <w:color w:val="333333"/>
          <w:sz w:val="22"/>
          <w:szCs w:val="22"/>
        </w:rPr>
        <w:t xml:space="preserve">GeoClaw includes a set of capabilities built specifically for the Chinese geospatial data ecosystem. These are transparent to international users but critical for anyone working with Chinese datasets.</w:t>
      </w:r>
    </w:p>
    <w:p>
      <w:pPr>
        <w:spacing w:before="0" w:after="120"/>
      </w:pPr>
    </w:p>
    <w:p>
      <w:pPr>
        <w:pStyle w:val="Heading3"/>
      </w:pPr>
      <w:r>
        <w:rPr>
          <w:rFonts w:ascii="Arial" w:cs="Arial" w:eastAsia="Arial" w:hAnsi="Arial"/>
          <w:b/>
          <w:bCs/>
          <w:color w:val="2E75B6"/>
          <w:sz w:val="24"/>
          <w:szCs w:val="24"/>
        </w:rPr>
        <w:t xml:space="preserve">3.1  The Three-Coordinate-System Problem</w:t>
      </w:r>
    </w:p>
    <w:p>
      <w:pPr>
        <w:spacing w:before="0" w:after="60"/>
      </w:pPr>
    </w:p>
    <w:p>
      <w:r>
        <w:rPr>
          <w:rFonts w:ascii="Arial" w:cs="Arial" w:eastAsia="Arial" w:hAnsi="Arial"/>
          <w:b w:val="false"/>
          <w:bCs w:val="false"/>
          <w:color w:val="333333"/>
          <w:sz w:val="22"/>
          <w:szCs w:val="22"/>
        </w:rPr>
        <w:t xml:space="preserve">China mandates the use of a proprietary encrypted coordinate system (GCJ-02, informally "Mars Coordinates") for all publicly available maps. A second system (BD-09, "Baidu Coordinates") is used exclusively by Baidu Maps. This means data from different Chinese sources can be offset by tens to hundreds of meters if coordinate systems are not carefully managed — a problem that does not exist anywhere else in the world.</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3000"/>
        <w:gridCol w:w="6026"/>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Coordinate System</w:t>
            </w:r>
          </w:p>
        </w:tc>
        <w:tc>
          <w:tcPr>
            <w:tcW w:type="dxa" w:w="6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Used By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WGS-84</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GPS devices, international standards, OpenStreetMap, satellite imagery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GCJ-02 (Mars Coords)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Gaode (Amap), Tencent Maps, WeChat, most Chinese government data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BD-09 (Baidu Coords)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Baidu Maps exclusively</w:t>
            </w:r>
          </w:p>
        </w:tc>
      </w:tr>
    </w:tbl>
    <w:p>
      <w:pPr>
        <w:spacing w:before="0" w:after="80"/>
      </w:pPr>
    </w:p>
    <w:p>
      <w:r>
        <w:rPr>
          <w:rFonts w:ascii="Arial" w:cs="Arial" w:eastAsia="Arial" w:hAnsi="Arial"/>
          <w:b w:val="false"/>
          <w:bCs w:val="false"/>
          <w:color w:val="333333"/>
          <w:sz w:val="22"/>
          <w:szCs w:val="22"/>
        </w:rPr>
        <w:t xml:space="preserve">GeoClaw's utils/coord_transform.py implements all six bidirectional conversions among these three systems, with batch-layer support via transform_layer(). This is a native capability unavailable in most international GIS tools.</w:t>
      </w:r>
    </w:p>
    <w:p>
      <w:pPr>
        <w:spacing w:before="0" w:after="120"/>
      </w:pPr>
    </w:p>
    <w:p>
      <w:pPr>
        <w:pStyle w:val="Heading3"/>
      </w:pPr>
      <w:r>
        <w:rPr>
          <w:rFonts w:ascii="Arial" w:cs="Arial" w:eastAsia="Arial" w:hAnsi="Arial"/>
          <w:b/>
          <w:bCs/>
          <w:color w:val="2E75B6"/>
          <w:sz w:val="24"/>
          <w:szCs w:val="24"/>
        </w:rPr>
        <w:t xml:space="preserve">3.2  Why OSM Quality Is Lower in China</w:t>
      </w:r>
    </w:p>
    <w:p>
      <w:pPr>
        <w:spacing w:before="0" w:after="60"/>
      </w:pPr>
    </w:p>
    <w:p>
      <w:r>
        <w:rPr>
          <w:rFonts w:ascii="Arial" w:cs="Arial" w:eastAsia="Arial" w:hAnsi="Arial"/>
          <w:b w:val="false"/>
          <w:bCs w:val="false"/>
          <w:color w:val="333333"/>
          <w:sz w:val="22"/>
          <w:szCs w:val="22"/>
        </w:rPr>
        <w:t xml:space="preserve">Because Chinese law requires all public map data to use GCJ-02, OSM contributors in China face a structural problem: GPS traces recorded by standard devices (WGS-84) cannot be directly uploaded to OSM without introducing systematic offset errors. As a result:</w:t>
      </w:r>
    </w:p>
    <w:p>
      <w:pPr>
        <w:spacing w:before="0" w:after="60"/>
      </w:pPr>
    </w:p>
    <w:p>
      <w:pPr>
        <w:pStyle w:val="ListParagraph"/>
        <w:numPr>
          <w:ilvl w:val="0"/>
          <w:numId w:val="2"/>
        </w:numPr>
      </w:pPr>
      <w:r>
        <w:rPr>
          <w:rFonts w:ascii="Arial" w:cs="Arial" w:eastAsia="Arial" w:hAnsi="Arial"/>
          <w:color w:val="333333"/>
          <w:sz w:val="21"/>
          <w:szCs w:val="21"/>
        </w:rPr>
        <w:t xml:space="preserve">Major Chinese cities (Beijing, Shanghai, Guangzhou, Wuhan, Chengdu, etc.) have reasonable OSM coverage for road networks and key POIs, but attribute completeness is lower than comparable global cities.</w:t>
      </w:r>
    </w:p>
    <w:p>
      <w:pPr>
        <w:pStyle w:val="ListParagraph"/>
        <w:numPr>
          <w:ilvl w:val="0"/>
          <w:numId w:val="2"/>
        </w:numPr>
      </w:pPr>
      <w:r>
        <w:rPr>
          <w:rFonts w:ascii="Arial" w:cs="Arial" w:eastAsia="Arial" w:hAnsi="Arial"/>
          <w:color w:val="333333"/>
          <w:sz w:val="21"/>
          <w:szCs w:val="21"/>
        </w:rPr>
        <w:t xml:space="preserve">Tier-3 and smaller cities may have sparse or outdated OSM data.</w:t>
      </w:r>
    </w:p>
    <w:p>
      <w:pPr>
        <w:pStyle w:val="ListParagraph"/>
        <w:numPr>
          <w:ilvl w:val="0"/>
          <w:numId w:val="2"/>
        </w:numPr>
      </w:pPr>
      <w:r>
        <w:rPr>
          <w:rFonts w:ascii="Arial" w:cs="Arial" w:eastAsia="Arial" w:hAnsi="Arial"/>
          <w:color w:val="333333"/>
          <w:sz w:val="21"/>
          <w:szCs w:val="21"/>
        </w:rPr>
        <w:t xml:space="preserve">Building footprints and detailed POI data are significantly less complete than in equivalent European or North American cities.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40"/>
        </w:tblCellMar>
      </w:tblPr>
      <w:tblGrid>
        <w:gridCol w:w="9360"/>
      </w:tblGrid>
      <w:tr>
        <w:tc>
          <w:tcPr>
            <w:tcW w:type="dxa" w:w="9360"/>
            <w:tcBorders>
              <w:top w:val="single" w:color="BF8F00" w:sz="1"/>
              <w:left w:val="single" w:color="BF8F00" w:sz="1"/>
              <w:bottom w:val="single" w:color="BF8F00" w:sz="1"/>
              <w:right w:val="single" w:color="BF8F00" w:sz="1"/>
            </w:tcBorders>
            <w:shd w:fill="FFF2CC" w:val="clear"/>
            <w:tcMar>
              <w:top w:type="dxa" w:w="100"/>
              <w:left w:type="dxa" w:w="180"/>
              <w:bottom w:type="dxa" w:w="100"/>
              <w:right w:type="dxa" w:w="180"/>
            </w:tcMar>
          </w:tcPr>
          <w:p>
            <w:r>
              <w:rPr>
                <w:rFonts w:ascii="Arial" w:cs="Arial" w:eastAsia="Arial" w:hAnsi="Arial"/>
                <w:b/>
                <w:bCs/>
                <w:color w:val="BF8F00"/>
                <w:sz w:val="22"/>
                <w:szCs w:val="22"/>
              </w:rPr>
              <w:t xml:space="preserve">[!]  </w:t>
            </w:r>
            <w:r>
              <w:rPr>
                <w:rFonts w:ascii="Arial" w:cs="Arial" w:eastAsia="Arial" w:hAnsi="Arial"/>
                <w:b/>
                <w:bCs/>
                <w:color w:val="BF8F00"/>
                <w:sz w:val="22"/>
                <w:szCs w:val="22"/>
              </w:rPr>
              <w:t xml:space="preserve">For China-focused users:  </w:t>
            </w:r>
            <w:r>
              <w:rPr>
                <w:rFonts w:ascii="Arial" w:cs="Arial" w:eastAsia="Arial" w:hAnsi="Arial"/>
                <w:color w:val="333333"/>
                <w:sz w:val="21"/>
                <w:szCs w:val="21"/>
              </w:rPr>
              <w:t xml:space="preserve">We recommend supplementing OSM data with authoritative Chinese sources: Gaode (Amap) Open Platform, Tianditu (National Geomatics Center), and provincial government open data portals. GeoClaw's Tianditu API connector (io/remote.py) supports direct POI acquisition.</w:t>
            </w:r>
          </w:p>
        </w:tc>
      </w:tr>
    </w:tbl>
    <w:p>
      <w:pPr>
        <w:spacing w:before="0" w:after="200"/>
      </w:pPr>
    </w:p>
    <w:p>
      <w:pPr>
        <w:pStyle w:val="Heading2"/>
      </w:pPr>
      <w:r>
        <w:rPr>
          <w:rFonts w:ascii="Arial" w:cs="Arial" w:eastAsia="Arial" w:hAnsi="Arial"/>
          <w:b/>
          <w:bCs/>
          <w:color w:val="1F3864"/>
          <w:sz w:val="28"/>
          <w:szCs w:val="28"/>
        </w:rPr>
        <w:t xml:space="preserve">4.  How International Users Should Work With GeoClaw</w:t>
      </w:r>
    </w:p>
    <w:p>
      <w:pPr>
        <w:pBdr>
          <w:bottom w:val="single" w:color="1F3864" w:sz="4" w:space="1"/>
        </w:pBdr>
        <w:spacing w:before="60" w:after="80"/>
      </w:pPr>
    </w:p>
    <w:p>
      <w:pPr>
        <w:spacing w:before="0" w:after="80"/>
      </w:pPr>
    </w:p>
    <w:p>
      <w:pPr>
        <w:pStyle w:val="Heading3"/>
      </w:pPr>
      <w:r>
        <w:rPr>
          <w:rFonts w:ascii="Arial" w:cs="Arial" w:eastAsia="Arial" w:hAnsi="Arial"/>
          <w:b/>
          <w:bCs/>
          <w:color w:val="2E75B6"/>
          <w:sz w:val="24"/>
          <w:szCs w:val="24"/>
        </w:rPr>
        <w:t xml:space="preserve">4.1  Scenario A — Major Global City (Recommended Starting Point)</w:t>
      </w:r>
    </w:p>
    <w:p>
      <w:pPr>
        <w:spacing w:before="0" w:after="60"/>
      </w:pPr>
    </w:p>
    <w:p>
      <w:r>
        <w:rPr>
          <w:rFonts w:ascii="Arial" w:cs="Arial" w:eastAsia="Arial" w:hAnsi="Arial"/>
          <w:b w:val="false"/>
          <w:bCs w:val="false"/>
          <w:color w:val="333333"/>
          <w:sz w:val="22"/>
          <w:szCs w:val="22"/>
        </w:rPr>
        <w:t xml:space="preserve">For well-mapped cities (see Section 2), GeoClaw works out of the box with no configuration beyond an optional API key:</w:t>
      </w:r>
    </w:p>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026"/>
      </w:tblGrid>
      <w:tr>
        <w:tc>
          <w:tcPr>
            <w:tcW w:type="dxa" w:w="9026"/>
            <w:tcBorders>
              <w:top w:val="single" w:color="AAAAAA" w:sz="1"/>
              <w:left w:val="single" w:color="AAAAAA" w:sz="1"/>
              <w:bottom w:val="single" w:color="AAAAAA" w:sz="1"/>
              <w:right w:val="single" w:color="AAAAAA" w:sz="1"/>
            </w:tcBorders>
            <w:shd w:fill="2D2D2D" w:val="clear"/>
            <w:tcMar>
              <w:top w:type="dxa" w:w="120"/>
              <w:left w:type="dxa" w:w="200"/>
              <w:bottom w:type="dxa" w:w="120"/>
              <w:right w:type="dxa" w:w="200"/>
            </w:tcMar>
          </w:tcPr>
          <w:p>
            <w:r>
              <w:rPr>
                <w:rFonts w:ascii="Courier New" w:cs="Courier New" w:eastAsia="Courier New" w:hAnsi="Courier New"/>
                <w:color w:val="75715E"/>
                <w:sz w:val="18"/>
                <w:szCs w:val="18"/>
              </w:rPr>
              <w:t xml:space="preserve"># Download data for any major city</w:t>
            </w:r>
          </w:p>
          <w:p>
            <w:r>
              <w:rPr>
                <w:rFonts w:ascii="Courier New" w:cs="Courier New" w:eastAsia="Courier New" w:hAnsi="Courier New"/>
                <w:color w:val="F8F8F2"/>
                <w:sz w:val="18"/>
                <w:szCs w:val="18"/>
              </w:rPr>
              <w:t xml:space="preserve">geoclaw-claude ask "download Tokyo metro stations"</w:t>
            </w:r>
          </w:p>
          <w:p>
            <w:r>
              <w:rPr>
                <w:rFonts w:ascii="Courier New" w:cs="Courier New" w:eastAsia="Courier New" w:hAnsi="Courier New"/>
                <w:color w:val="F8F8F2"/>
                <w:sz w:val="18"/>
                <w:szCs w:val="18"/>
              </w:rPr>
              <w:t xml:space="preserve">geoclaw-claude ask "download London parks and green spaces"</w:t>
            </w:r>
          </w:p>
          <w:p>
            <w:r>
              <w:rPr>
                <w:rFonts w:ascii="Courier New" w:cs="Courier New" w:eastAsia="Courier New" w:hAnsi="Courier New"/>
                <w:color w:val="F8F8F2"/>
                <w:sz w:val="18"/>
                <w:szCs w:val="18"/>
              </w:rPr>
              <w:t xml:space="preserve">geoclaw-claude ask "download New York City hospitals"</w:t>
            </w:r>
          </w:p>
          <w:p>
            <w:pPr>
              <w:spacing w:before="0" w:after="40"/>
            </w:pPr>
          </w:p>
          <w:p>
            <w:r>
              <w:rPr>
                <w:rFonts w:ascii="Courier New" w:cs="Courier New" w:eastAsia="Courier New" w:hAnsi="Courier New"/>
                <w:color w:val="75715E"/>
                <w:sz w:val="18"/>
                <w:szCs w:val="18"/>
              </w:rPr>
              <w:t xml:space="preserve"># Run analysis — identical syntax regardless of city</w:t>
            </w:r>
          </w:p>
          <w:p>
            <w:r>
              <w:rPr>
                <w:rFonts w:ascii="Courier New" w:cs="Courier New" w:eastAsia="Courier New" w:hAnsi="Courier New"/>
                <w:color w:val="F8F8F2"/>
                <w:sz w:val="18"/>
                <w:szCs w:val="18"/>
              </w:rPr>
              <w:t xml:space="preserve">geoclaw-claude ask "buffer Tokyo metro stations by 500 meters"</w:t>
            </w:r>
          </w:p>
          <w:p>
            <w:r>
              <w:rPr>
                <w:rFonts w:ascii="Courier New" w:cs="Courier New" w:eastAsia="Courier New" w:hAnsi="Courier New"/>
                <w:color w:val="F8F8F2"/>
                <w:sz w:val="18"/>
                <w:szCs w:val="18"/>
              </w:rPr>
              <w:t xml:space="preserve">geoclaw-claude ask "where in London is suitable for a new hospital?"</w:t>
            </w:r>
          </w:p>
        </w:tc>
      </w:tr>
    </w:tbl>
    <w:p>
      <w:pPr>
        <w:spacing w:before="0" w:after="120"/>
      </w:pPr>
    </w:p>
    <w:p>
      <w:pPr>
        <w:pStyle w:val="Heading3"/>
      </w:pPr>
      <w:r>
        <w:rPr>
          <w:rFonts w:ascii="Arial" w:cs="Arial" w:eastAsia="Arial" w:hAnsi="Arial"/>
          <w:b/>
          <w:bCs/>
          <w:color w:val="2E75B6"/>
          <w:sz w:val="24"/>
          <w:szCs w:val="24"/>
        </w:rPr>
        <w:t xml:space="preserve">4.2  Scenario B — User-Supplied Data (Any City, Anywhere)</w:t>
      </w:r>
    </w:p>
    <w:p>
      <w:pPr>
        <w:spacing w:before="0" w:after="60"/>
      </w:pPr>
    </w:p>
    <w:p>
      <w:r>
        <w:rPr>
          <w:rFonts w:ascii="Arial" w:cs="Arial" w:eastAsia="Arial" w:hAnsi="Arial"/>
          <w:b w:val="false"/>
          <w:bCs w:val="false"/>
          <w:color w:val="333333"/>
          <w:sz w:val="22"/>
          <w:szCs w:val="22"/>
        </w:rPr>
        <w:t xml:space="preserve">When OSM coverage is insufficient, or when users have access to higher-quality national/commercial datasets, GeoClaw can load any GeoJSON or Shapefile directly. This path removes the OSM dependency entirely and is recommended for research requiring data accuracy:</w:t>
      </w:r>
    </w:p>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9026"/>
      </w:tblGrid>
      <w:tr>
        <w:tc>
          <w:tcPr>
            <w:tcW w:type="dxa" w:w="9026"/>
            <w:tcBorders>
              <w:top w:val="single" w:color="AAAAAA" w:sz="1"/>
              <w:left w:val="single" w:color="AAAAAA" w:sz="1"/>
              <w:bottom w:val="single" w:color="AAAAAA" w:sz="1"/>
              <w:right w:val="single" w:color="AAAAAA" w:sz="1"/>
            </w:tcBorders>
            <w:shd w:fill="2D2D2D" w:val="clear"/>
            <w:tcMar>
              <w:top w:type="dxa" w:w="120"/>
              <w:left w:type="dxa" w:w="200"/>
              <w:bottom w:type="dxa" w:w="120"/>
              <w:right w:type="dxa" w:w="200"/>
            </w:tcMar>
          </w:tcPr>
          <w:p>
            <w:r>
              <w:rPr>
                <w:rFonts w:ascii="Courier New" w:cs="Courier New" w:eastAsia="Courier New" w:hAnsi="Courier New"/>
                <w:color w:val="75715E"/>
                <w:sz w:val="18"/>
                <w:szCs w:val="18"/>
              </w:rPr>
              <w:t xml:space="preserve"># Load local data files — works for any city worldwide</w:t>
            </w:r>
          </w:p>
          <w:p>
            <w:r>
              <w:rPr>
                <w:rFonts w:ascii="Courier New" w:cs="Courier New" w:eastAsia="Courier New" w:hAnsi="Courier New"/>
                <w:color w:val="F8F8F2"/>
                <w:sz w:val="18"/>
                <w:szCs w:val="18"/>
              </w:rPr>
              <w:t xml:space="preserve">geoclaw-claude ask "load /data/nairobi_hospitals.geojson"</w:t>
            </w:r>
          </w:p>
          <w:p>
            <w:r>
              <w:rPr>
                <w:rFonts w:ascii="Courier New" w:cs="Courier New" w:eastAsia="Courier New" w:hAnsi="Courier New"/>
                <w:color w:val="F8F8F2"/>
                <w:sz w:val="18"/>
                <w:szCs w:val="18"/>
              </w:rPr>
              <w:t xml:space="preserve">geoclaw-claude ask "load /data/jakarta_roads.shp"</w:t>
            </w:r>
          </w:p>
          <w:p>
            <w:pPr>
              <w:spacing w:before="0" w:after="40"/>
            </w:pPr>
          </w:p>
          <w:p>
            <w:r>
              <w:rPr>
                <w:rFonts w:ascii="Courier New" w:cs="Courier New" w:eastAsia="Courier New" w:hAnsi="Courier New"/>
                <w:color w:val="75715E"/>
                <w:sz w:val="18"/>
                <w:szCs w:val="18"/>
              </w:rPr>
              <w:t xml:space="preserve"># Python API</w:t>
            </w:r>
          </w:p>
          <w:p>
            <w:r>
              <w:rPr>
                <w:rFonts w:ascii="Courier New" w:cs="Courier New" w:eastAsia="Courier New" w:hAnsi="Courier New"/>
                <w:color w:val="AE81FF"/>
                <w:sz w:val="18"/>
                <w:szCs w:val="18"/>
              </w:rPr>
              <w:t xml:space="preserve">import geopandas as gpd</w:t>
            </w:r>
          </w:p>
          <w:p>
            <w:r>
              <w:rPr>
                <w:rFonts w:ascii="Courier New" w:cs="Courier New" w:eastAsia="Courier New" w:hAnsi="Courier New"/>
                <w:color w:val="AE81FF"/>
                <w:sz w:val="18"/>
                <w:szCs w:val="18"/>
              </w:rPr>
              <w:t xml:space="preserve">from geoclaw_claude.core.layer import GeoLayer</w:t>
            </w:r>
          </w:p>
          <w:p>
            <w:r>
              <w:rPr>
                <w:rFonts w:ascii="Courier New" w:cs="Courier New" w:eastAsia="Courier New" w:hAnsi="Courier New"/>
                <w:color w:val="F8F8F2"/>
                <w:sz w:val="18"/>
                <w:szCs w:val="18"/>
              </w:rPr>
              <w:t xml:space="preserve">layer = GeoLayer(gpd.read_file("my_city_data.geojson"), name="My City")</w:t>
            </w:r>
          </w:p>
        </w:tc>
      </w:tr>
    </w:tbl>
    <w:p>
      <w:pPr>
        <w:spacing w:before="0" w:after="120"/>
      </w:pPr>
    </w:p>
    <w:p>
      <w:pPr>
        <w:pStyle w:val="Heading3"/>
      </w:pPr>
      <w:r>
        <w:rPr>
          <w:rFonts w:ascii="Arial" w:cs="Arial" w:eastAsia="Arial" w:hAnsi="Arial"/>
          <w:b/>
          <w:bCs/>
          <w:color w:val="2E75B6"/>
          <w:sz w:val="24"/>
          <w:szCs w:val="24"/>
        </w:rPr>
        <w:t xml:space="preserve">4.3  Language Support</w:t>
      </w:r>
    </w:p>
    <w:p>
      <w:pPr>
        <w:spacing w:before="0" w:after="60"/>
      </w:pPr>
    </w:p>
    <w:p>
      <w:r>
        <w:rPr>
          <w:rFonts w:ascii="Arial" w:cs="Arial" w:eastAsia="Arial" w:hAnsi="Arial"/>
          <w:b w:val="false"/>
          <w:bCs w:val="false"/>
          <w:color w:val="333333"/>
          <w:sz w:val="22"/>
          <w:szCs w:val="22"/>
        </w:rPr>
        <w:t xml:space="preserve">GeoClaw's natural language layer is model-driven, not rule-based, so it supports any language that the configured LLM backend understands. In practice:</w:t>
      </w:r>
    </w:p>
    <w:p>
      <w:pPr>
        <w:spacing w:before="0" w:after="60"/>
      </w:pPr>
    </w:p>
    <w:p>
      <w:pPr>
        <w:pStyle w:val="ListParagraph"/>
        <w:numPr>
          <w:ilvl w:val="0"/>
          <w:numId w:val="2"/>
        </w:numPr>
      </w:pPr>
      <w:r>
        <w:rPr>
          <w:rFonts w:ascii="Arial" w:cs="Arial" w:eastAsia="Arial" w:hAnsi="Arial"/>
          <w:color w:val="333333"/>
          <w:sz w:val="21"/>
          <w:szCs w:val="21"/>
        </w:rPr>
        <w:t xml:space="preserve">Chinese and English are fully tested and recommended for production use.</w:t>
      </w:r>
    </w:p>
    <w:p>
      <w:pPr>
        <w:pStyle w:val="ListParagraph"/>
        <w:numPr>
          <w:ilvl w:val="0"/>
          <w:numId w:val="2"/>
        </w:numPr>
      </w:pPr>
      <w:r>
        <w:rPr>
          <w:rFonts w:ascii="Arial" w:cs="Arial" w:eastAsia="Arial" w:hAnsi="Arial"/>
          <w:color w:val="333333"/>
          <w:sz w:val="21"/>
          <w:szCs w:val="21"/>
        </w:rPr>
        <w:t xml:space="preserve">French, German, Japanese, Spanish, Korean, and other major languages work well with Claude or GPT-4 backends, though the rule-mode fallback (offline, no API key) is keyword-matched in Chinese/English only.</w:t>
      </w:r>
    </w:p>
    <w:p>
      <w:pPr>
        <w:pStyle w:val="ListParagraph"/>
        <w:numPr>
          <w:ilvl w:val="0"/>
          <w:numId w:val="2"/>
        </w:numPr>
      </w:pPr>
      <w:r>
        <w:rPr>
          <w:rFonts w:ascii="Arial" w:cs="Arial" w:eastAsia="Arial" w:hAnsi="Arial"/>
          <w:color w:val="333333"/>
          <w:sz w:val="21"/>
          <w:szCs w:val="21"/>
        </w:rPr>
        <w:t xml:space="preserve">Users working in other languages may prefer to configure an LLM API key to ensure the AI parsing path is always available.</w:t>
      </w:r>
    </w:p>
    <w:p>
      <w:pPr>
        <w:spacing w:before="0" w:after="200"/>
      </w:pPr>
    </w:p>
    <w:p>
      <w:r>
        <w:br w:type="page"/>
      </w:r>
    </w:p>
    <w:p>
      <w:pPr>
        <w:pStyle w:val="Heading2"/>
      </w:pPr>
      <w:r>
        <w:rPr>
          <w:rFonts w:ascii="Arial" w:cs="Arial" w:eastAsia="Arial" w:hAnsi="Arial"/>
          <w:b/>
          <w:bCs/>
          <w:color w:val="1F3864"/>
          <w:sz w:val="28"/>
          <w:szCs w:val="28"/>
        </w:rPr>
        <w:t xml:space="preserve">5.  Comparative Advantage: Global vs. China Use Cases</w:t>
      </w:r>
    </w:p>
    <w:p>
      <w:pPr>
        <w:pBdr>
          <w:bottom w:val="single" w:color="1F3864" w:sz="4" w:space="1"/>
        </w:pBdr>
        <w:spacing w:before="60" w:after="80"/>
      </w:pP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2600"/>
        <w:gridCol w:w="6426"/>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6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Global Cities  vs.  Chinese Cities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Data acquisition</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Global: OSM auto-download, generally excellent for major cities
China: OSM moderate; Tianditu + Gaode APIs available as supplements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Coordinate system</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Global: WGS-84 standard, no conversion needed
China: Three-system problem (WGS-84 / GCJ-02 / BD-09); GeoClaw handles all six conversions natively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Road network analysis</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Global (esp. Europe/N. America/Japan): Very high OSM road quality
China: OSM road networks usable for major cities; accuracy lower than global peers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POI completeness</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Global major cities: Strong OSM POI coverage
China: OSM POI limited; Tianditu/Gaode integration partially compensates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Analytical functions</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Identical — all 17+ NL operation categories, SRE, Skill system, Memory work uniformly worldwide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Human mobility analysis</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Identical — trackintel integration works for any GPS trajectory dataset regardless of origin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Out-of-the-box experience</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Global major cities: Excellent
China tier-1/2: Good
China tier-3+: Requires user-supplied data</w:t>
            </w:r>
          </w:p>
        </w:tc>
      </w:tr>
    </w:tbl>
    <w:p>
      <w:pPr>
        <w:spacing w:before="0" w:after="200"/>
      </w:pPr>
    </w:p>
    <w:p>
      <w:pPr>
        <w:pStyle w:val="Heading2"/>
      </w:pPr>
      <w:r>
        <w:rPr>
          <w:rFonts w:ascii="Arial" w:cs="Arial" w:eastAsia="Arial" w:hAnsi="Arial"/>
          <w:b/>
          <w:bCs/>
          <w:color w:val="1F3864"/>
          <w:sz w:val="28"/>
          <w:szCs w:val="28"/>
        </w:rPr>
        <w:t xml:space="preserve">6.  Strategic Recommendations for Global Expansion</w:t>
      </w:r>
    </w:p>
    <w:p>
      <w:pPr>
        <w:pBdr>
          <w:bottom w:val="single" w:color="1F3864" w:sz="4" w:space="1"/>
        </w:pBdr>
        <w:spacing w:before="60" w:after="80"/>
      </w:pPr>
    </w:p>
    <w:p>
      <w:pPr>
        <w:spacing w:before="0" w:after="80"/>
      </w:pPr>
    </w:p>
    <w:p>
      <w:r>
        <w:rPr>
          <w:rFonts w:ascii="Arial" w:cs="Arial" w:eastAsia="Arial" w:hAnsi="Arial"/>
          <w:b w:val="false"/>
          <w:bCs w:val="false"/>
          <w:color w:val="333333"/>
          <w:sz w:val="22"/>
          <w:szCs w:val="22"/>
        </w:rPr>
        <w:t xml:space="preserve">The following recommendations are prioritized by impact and implementation effort. They address both near-term usability improvements for international users and longer-term architectural enhancements.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1200"/>
        <w:gridCol w:w="2200"/>
        <w:gridCol w:w="59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Recommended Action</w:t>
            </w:r>
          </w:p>
        </w:tc>
      </w:tr>
      <w:tr>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00000"/>
                <w:sz w:val="21"/>
                <w:szCs w:val="21"/>
              </w:rPr>
              <w:t xml:space="preserve">P1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Multi-language NL rule fallback</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Extend the offline rule-based parser (currently Chinese/English only) to cover at least French, German, Spanish, Japanese, and Arabic keyword sets. Low engineering effort; high impact for users without API key access.</w:t>
            </w:r>
          </w:p>
        </w:tc>
      </w:tr>
      <w:tr>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00000"/>
                <w:sz w:val="21"/>
                <w:szCs w:val="21"/>
              </w:rPr>
              <w:t xml:space="preserve">P1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Global demo datasets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Add at least two non-Chinese city demo datasets (e.g., Tokyo and New York) alongside the existing Wuhan data. This makes evaluation and onboarding tangible for international users.</w:t>
            </w:r>
          </w:p>
        </w:tc>
      </w:tr>
      <w:tr>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00000"/>
                <w:sz w:val="21"/>
                <w:szCs w:val="21"/>
              </w:rPr>
              <w:t xml:space="preserve">P1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International data source connectors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Implement connectors for globally accessible open data APIs: Overture Maps (Microsoft/Meta, superior POI coverage), NYC Open Data, Eurostat GISCO, and government WFS endpoints for EU member states.</w:t>
            </w:r>
          </w:p>
        </w:tc>
      </w:tr>
      <w:tr>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BF8F00"/>
                <w:sz w:val="21"/>
                <w:szCs w:val="21"/>
              </w:rPr>
              <w:t xml:space="preserve">P2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Localized documentation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Translate the Beginner's Guide and core User Guide into at least English (complete), French, and Japanese. The Technical Reference can remain English-only for v3.x.</w:t>
            </w:r>
          </w:p>
        </w:tc>
      </w:tr>
      <w:tr>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BF8F00"/>
                <w:sz w:val="21"/>
                <w:szCs w:val="21"/>
              </w:rPr>
              <w:t xml:space="preserve">P2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OSM quality pre-flight check</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Add a utility function assess_osm_coverage(city_name) that queries OSM and returns a coverage confidence score before the user invests in an analysis. Prevents silent failures on sparse-data cities.</w:t>
            </w:r>
          </w:p>
        </w:tc>
      </w:tr>
      <w:tr>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BF8F00"/>
                <w:sz w:val="21"/>
                <w:szCs w:val="21"/>
              </w:rPr>
              <w:t xml:space="preserve">P2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Overture Maps integration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Overture Maps provides globally harmonized building footprints, road networks, and POIs with commercial-grade completeness. Integration as an alternative to OSM would significantly raise the quality floor for all regions.</w:t>
            </w:r>
          </w:p>
        </w:tc>
      </w:tr>
      <w:tr>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1"/>
                <w:szCs w:val="21"/>
              </w:rPr>
              <w:t xml:space="preserve">P3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Regional CRS awareness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For regions with well-established local coordinate reference systems (e.g., OSGB36 in the UK, RGF93 in France, JGD2011 in Japan), add automatic CRS detection and reprojection guidance in the SRE uncertainty assessment layer.</w:t>
            </w:r>
          </w:p>
        </w:tc>
      </w:tr>
      <w:tr>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1"/>
                <w:szCs w:val="21"/>
              </w:rPr>
              <w:t xml:space="preserve">P3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Community Skill library</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Establish a public Skill registry where regional contributors can share analysis modules tailored to local data formats, national statistical boundaries, and regulatory GIS standards.</w:t>
            </w:r>
          </w:p>
        </w:tc>
      </w:tr>
      <w:tr>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1"/>
                <w:szCs w:val="21"/>
              </w:rPr>
              <w:t xml:space="preserve">P3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Federated memory for global teams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The roadmap item for shared long-term memory (privacy-preserving, cross-team) is particularly valuable for international research consortia running parallel urban studies across multiple cities.</w:t>
            </w:r>
          </w:p>
        </w:tc>
      </w:tr>
    </w:tbl>
    <w:p>
      <w:pPr>
        <w:spacing w:before="0" w:after="200"/>
      </w:pPr>
    </w:p>
    <w:p>
      <w:pPr>
        <w:pStyle w:val="Heading2"/>
      </w:pPr>
      <w:r>
        <w:rPr>
          <w:rFonts w:ascii="Arial" w:cs="Arial" w:eastAsia="Arial" w:hAnsi="Arial"/>
          <w:b/>
          <w:bCs/>
          <w:color w:val="1F3864"/>
          <w:sz w:val="28"/>
          <w:szCs w:val="28"/>
        </w:rPr>
        <w:t xml:space="preserve">7.  Summary: Coverage Matrix at a Glance</w:t>
      </w:r>
    </w:p>
    <w:p>
      <w:pPr>
        <w:pBdr>
          <w:bottom w:val="single" w:color="1F3864" w:sz="4" w:space="1"/>
        </w:pBdr>
        <w:spacing w:before="60" w:after="80"/>
      </w:pP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3200"/>
        <w:gridCol w:w="5826"/>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5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Coverage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Spatial analysis (any user-supplied data)</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Fully global — no geographic restrictions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Natural language interface</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Fully global — Chinese and English optimized; other languages via LLM backend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SRE reasoning engine</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Fully global — no geographic logic in reasoning pipeline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Skill system</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Fully global — user-defined modules run anywhere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Auto data download (OSM)</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[OK] Excellent: W. Europe, N. America, Japan, Singapore, Australia
[!] Good: SE Asia, Latin America major cities
[!] Variable: S. Asia, MENA, Africa, China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Coordinate conversion</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[CN] China-specific (WGS-84 &lt;-&gt; GCJ-02 &lt;-&gt; BD-09);
[GLOBAL] WGS-84 standard used globally by default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Built-in demo data</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[CN] Wuhan only (v3.0.0); global city demos planned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Tianditu POI connector</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[CN] China only; international equivalents recommended (see Section 6)</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40"/>
        </w:tblCellMar>
      </w:tblPr>
      <w:tblGrid>
        <w:gridCol w:w="9360"/>
      </w:tblGrid>
      <w:tr>
        <w:tc>
          <w:tcPr>
            <w:tcW w:type="dxa" w:w="9360"/>
            <w:tcBorders>
              <w:top w:val="single" w:color="2E75B6" w:sz="1"/>
              <w:left w:val="single" w:color="2E75B6" w:sz="1"/>
              <w:bottom w:val="single" w:color="2E75B6" w:sz="1"/>
              <w:right w:val="single" w:color="2E75B6" w:sz="1"/>
            </w:tcBorders>
            <w:shd w:fill="D5E8F0" w:val="clear"/>
            <w:tcMar>
              <w:top w:type="dxa" w:w="100"/>
              <w:left w:type="dxa" w:w="180"/>
              <w:bottom w:type="dxa" w:w="100"/>
              <w:right w:type="dxa" w:w="180"/>
            </w:tcMar>
          </w:tcPr>
          <w:p>
            <w:r>
              <w:rPr>
                <w:rFonts w:ascii="Arial" w:cs="Arial" w:eastAsia="Arial" w:hAnsi="Arial"/>
                <w:b/>
                <w:bCs/>
                <w:color w:val="2E75B6"/>
                <w:sz w:val="22"/>
                <w:szCs w:val="22"/>
              </w:rPr>
              <w:t xml:space="preserve">[NOTE]  </w:t>
            </w:r>
            <w:r>
              <w:rPr>
                <w:rFonts w:ascii="Arial" w:cs="Arial" w:eastAsia="Arial" w:hAnsi="Arial"/>
                <w:b/>
                <w:bCs/>
                <w:color w:val="2E75B6"/>
                <w:sz w:val="22"/>
                <w:szCs w:val="22"/>
              </w:rPr>
              <w:t xml:space="preserve">For evaluators and institutional users:  </w:t>
            </w:r>
            <w:r>
              <w:rPr>
                <w:rFonts w:ascii="Arial" w:cs="Arial" w:eastAsia="Arial" w:hAnsi="Arial"/>
                <w:color w:val="333333"/>
                <w:sz w:val="21"/>
                <w:szCs w:val="21"/>
              </w:rPr>
              <w:t xml:space="preserve">GeoClaw's analytical capabilities are production-ready for any global major city today. The primary gap for international deployment is documentation localization and the availability of non-Chinese demo datasets — both addressable in the near term without architectural changes.</w:t>
            </w:r>
          </w:p>
        </w:tc>
      </w:tr>
    </w:tbl>
    <w:p>
      <w:pPr>
        <w:spacing w:before="0"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95959" w:sz="1"/>
              <w:left w:val="single" w:color="595959" w:sz="1"/>
              <w:bottom w:val="single" w:color="595959" w:sz="1"/>
              <w:right w:val="single" w:color="595959" w:sz="1"/>
            </w:tcBorders>
            <w:shd w:fill="3C3C3C" w:val="clear"/>
            <w:tcMar>
              <w:top w:type="dxa" w:w="140"/>
              <w:left w:type="dxa" w:w="360"/>
              <w:bottom w:type="dxa" w:w="140"/>
              <w:right w:type="dxa" w:w="360"/>
            </w:tcMar>
          </w:tcPr>
          <w:p>
            <w:pPr>
              <w:jc w:val="center"/>
            </w:pPr>
            <w:r>
              <w:rPr>
                <w:rFonts w:ascii="Arial" w:cs="Arial" w:eastAsia="Arial" w:hAnsi="Arial"/>
                <w:color w:val="AAAAAA"/>
                <w:sz w:val="18"/>
                <w:szCs w:val="18"/>
              </w:rPr>
              <w:t xml:space="preserve">GeoClaw v3.0.0  ·  UrbanComp Lab  ·  China University of Geosciences (Wuhan)  ·  urbancomp.net</w:t>
            </w:r>
          </w:p>
          <w:p>
            <w:pPr>
              <w:jc w:val="center"/>
            </w:pPr>
            <w:r>
              <w:rPr>
                <w:rFonts w:ascii="Arial" w:cs="Arial" w:eastAsia="Arial" w:hAnsi="Arial"/>
                <w:color w:val="888888"/>
                <w:sz w:val="16"/>
                <w:szCs w:val="16"/>
              </w:rPr>
              <w:t xml:space="preserve">Released under MIT License  ·  github.com/whuyao/GeoClaw_Claude</w:t>
            </w:r>
          </w:p>
        </w:tc>
      </w:tr>
    </w:tbl>
    <w:sectPr>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840" w:hanging="240"/>
      </w:pPr>
    </w:lvl>
  </w:abstractNum>
  <w:abstractNum w:abstractNumId="4"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0"/>
      <w:outlineLvl w:val="0"/>
    </w:pPr>
    <w:rPr>
      <w:rFonts w:ascii="Arial" w:cs="Arial" w:eastAsia="Arial" w:hAnsi="Arial"/>
      <w:b/>
      <w:bCs/>
      <w:color w:val="FFFFFF"/>
      <w:sz w:val="34"/>
      <w:szCs w:val="34"/>
    </w:rPr>
  </w:style>
  <w:style w:type="paragraph" w:styleId="Heading2">
    <w:name w:val="Heading 2"/>
    <w:basedOn w:val="Normal"/>
    <w:next w:val="Normal"/>
    <w:qFormat/>
    <w:pPr>
      <w:spacing w:before="300" w:after="140"/>
      <w:outlineLvl w:val="1"/>
    </w:pPr>
    <w:rPr>
      <w:rFonts w:ascii="Arial" w:cs="Arial" w:eastAsia="Arial" w:hAnsi="Arial"/>
      <w:b/>
      <w:bCs/>
      <w:color w:val="1F3864"/>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2026-03-08T09:17:48.509Z</dcterms:created>
  <dcterms:modified xsi:type="dcterms:W3CDTF">2026-03-08T09:17:48.510Z</dcterms:modified>
</cp:coreProperties>
</file>

<file path=docProps/custom.xml><?xml version="1.0" encoding="utf-8"?>
<Properties xmlns="http://schemas.openxmlformats.org/officeDocument/2006/custom-properties" xmlns:vt="http://schemas.openxmlformats.org/officeDocument/2006/docPropsVTypes"/>
</file>