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139D" w:rsidRDefault="00E235E4" w:rsidP="00C804FD">
      <w:pPr>
        <w:pStyle w:val="1"/>
      </w:pPr>
      <w:r w:rsidRPr="00E235E4">
        <w:t xml:space="preserve">Statistical analysis of </w:t>
      </w:r>
      <w:r w:rsidR="00C804FD" w:rsidRPr="00C804FD">
        <w:t>gut microbiome</w:t>
      </w:r>
      <w:r w:rsidRPr="00E235E4">
        <w:t xml:space="preserve"> in cases of health and disease</w:t>
      </w:r>
    </w:p>
    <w:p w:rsidR="00627057" w:rsidRPr="00C804FD" w:rsidRDefault="00627057"/>
    <w:p w:rsidR="00E235E4" w:rsidRDefault="00E235E4">
      <w:pPr>
        <w:rPr>
          <w:rFonts w:hint="eastAsia"/>
        </w:rPr>
      </w:pPr>
      <w:r w:rsidRPr="00E235E4">
        <w:t>Table 1 Data sets collected and processed through standardized pipeline</w:t>
      </w:r>
    </w:p>
    <w:p w:rsidR="00627057" w:rsidRDefault="00627057"/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40"/>
        <w:gridCol w:w="1019"/>
        <w:gridCol w:w="1127"/>
        <w:gridCol w:w="859"/>
        <w:gridCol w:w="899"/>
        <w:gridCol w:w="1165"/>
      </w:tblGrid>
      <w:tr w:rsidR="00627057" w:rsidRPr="00627057" w:rsidTr="00627057">
        <w:trPr>
          <w:trHeight w:val="840"/>
          <w:jc w:val="center"/>
        </w:trPr>
        <w:tc>
          <w:tcPr>
            <w:tcW w:w="912" w:type="dxa"/>
            <w:hideMark/>
          </w:tcPr>
          <w:p w:rsidR="00627057" w:rsidRPr="00627057" w:rsidRDefault="00627057" w:rsidP="00627057">
            <w:pPr>
              <w:rPr>
                <w:b/>
                <w:bCs/>
              </w:rPr>
            </w:pPr>
            <w:r w:rsidRPr="00627057">
              <w:rPr>
                <w:b/>
                <w:bCs/>
              </w:rPr>
              <w:t>Dataset ID</w:t>
            </w:r>
          </w:p>
        </w:tc>
        <w:tc>
          <w:tcPr>
            <w:tcW w:w="951" w:type="dxa"/>
            <w:hideMark/>
          </w:tcPr>
          <w:p w:rsidR="00627057" w:rsidRPr="00627057" w:rsidRDefault="00627057">
            <w:pPr>
              <w:rPr>
                <w:b/>
                <w:bCs/>
              </w:rPr>
            </w:pPr>
            <w:r w:rsidRPr="00627057">
              <w:rPr>
                <w:b/>
                <w:bCs/>
              </w:rPr>
              <w:t>Controls</w:t>
            </w:r>
          </w:p>
        </w:tc>
        <w:tc>
          <w:tcPr>
            <w:tcW w:w="1045" w:type="dxa"/>
            <w:hideMark/>
          </w:tcPr>
          <w:p w:rsidR="00627057" w:rsidRPr="00627057" w:rsidRDefault="00627057">
            <w:pPr>
              <w:rPr>
                <w:b/>
                <w:bCs/>
              </w:rPr>
            </w:pPr>
            <w:r w:rsidRPr="00627057">
              <w:rPr>
                <w:b/>
                <w:bCs/>
              </w:rPr>
              <w:t>N (controls)</w:t>
            </w:r>
          </w:p>
        </w:tc>
        <w:tc>
          <w:tcPr>
            <w:tcW w:w="859" w:type="dxa"/>
            <w:hideMark/>
          </w:tcPr>
          <w:p w:rsidR="00627057" w:rsidRPr="00627057" w:rsidRDefault="00627057">
            <w:pPr>
              <w:rPr>
                <w:b/>
                <w:bCs/>
              </w:rPr>
            </w:pPr>
            <w:r w:rsidRPr="00627057">
              <w:rPr>
                <w:b/>
                <w:bCs/>
              </w:rPr>
              <w:t>Cases</w:t>
            </w:r>
          </w:p>
        </w:tc>
        <w:tc>
          <w:tcPr>
            <w:tcW w:w="899" w:type="dxa"/>
            <w:hideMark/>
          </w:tcPr>
          <w:p w:rsidR="00627057" w:rsidRPr="00627057" w:rsidRDefault="00627057">
            <w:pPr>
              <w:rPr>
                <w:b/>
                <w:bCs/>
              </w:rPr>
            </w:pPr>
            <w:r w:rsidRPr="00627057">
              <w:rPr>
                <w:b/>
                <w:bCs/>
              </w:rPr>
              <w:t>N (cases)</w:t>
            </w:r>
          </w:p>
        </w:tc>
        <w:tc>
          <w:tcPr>
            <w:tcW w:w="1094" w:type="dxa"/>
            <w:hideMark/>
          </w:tcPr>
          <w:p w:rsidR="00627057" w:rsidRPr="00627057" w:rsidRDefault="00627057">
            <w:pPr>
              <w:rPr>
                <w:b/>
                <w:bCs/>
              </w:rPr>
            </w:pPr>
            <w:r w:rsidRPr="00627057">
              <w:rPr>
                <w:b/>
                <w:bCs/>
              </w:rPr>
              <w:t>Reference</w:t>
            </w:r>
          </w:p>
        </w:tc>
      </w:tr>
      <w:tr w:rsidR="00627057" w:rsidRPr="00627057" w:rsidTr="00627057">
        <w:trPr>
          <w:trHeight w:val="840"/>
          <w:jc w:val="center"/>
        </w:trPr>
        <w:tc>
          <w:tcPr>
            <w:tcW w:w="912" w:type="dxa"/>
            <w:hideMark/>
          </w:tcPr>
          <w:p w:rsidR="00627057" w:rsidRPr="00627057" w:rsidRDefault="00627057">
            <w:proofErr w:type="spellStart"/>
            <w:r w:rsidRPr="00627057">
              <w:t>Gevers</w:t>
            </w:r>
            <w:proofErr w:type="spellEnd"/>
            <w:r w:rsidRPr="00627057">
              <w:t xml:space="preserve"> 2014, IBD</w:t>
            </w:r>
          </w:p>
        </w:tc>
        <w:tc>
          <w:tcPr>
            <w:tcW w:w="951" w:type="dxa"/>
            <w:hideMark/>
          </w:tcPr>
          <w:p w:rsidR="00627057" w:rsidRPr="00627057" w:rsidRDefault="00627057">
            <w:r w:rsidRPr="00627057">
              <w:t>non-IBD</w:t>
            </w:r>
          </w:p>
        </w:tc>
        <w:tc>
          <w:tcPr>
            <w:tcW w:w="1045" w:type="dxa"/>
            <w:hideMark/>
          </w:tcPr>
          <w:p w:rsidR="00627057" w:rsidRPr="00627057" w:rsidRDefault="00627057">
            <w:r w:rsidRPr="00627057">
              <w:t>16</w:t>
            </w:r>
          </w:p>
        </w:tc>
        <w:tc>
          <w:tcPr>
            <w:tcW w:w="859" w:type="dxa"/>
            <w:hideMark/>
          </w:tcPr>
          <w:p w:rsidR="00627057" w:rsidRPr="00627057" w:rsidRDefault="00627057">
            <w:r w:rsidRPr="00627057">
              <w:t>CD</w:t>
            </w:r>
          </w:p>
        </w:tc>
        <w:tc>
          <w:tcPr>
            <w:tcW w:w="899" w:type="dxa"/>
            <w:hideMark/>
          </w:tcPr>
          <w:p w:rsidR="00627057" w:rsidRPr="00627057" w:rsidRDefault="00627057">
            <w:r w:rsidRPr="00627057">
              <w:t>146</w:t>
            </w:r>
          </w:p>
        </w:tc>
        <w:tc>
          <w:tcPr>
            <w:tcW w:w="1094" w:type="dxa"/>
            <w:hideMark/>
          </w:tcPr>
          <w:p w:rsidR="00627057" w:rsidRPr="00627057" w:rsidRDefault="00627057">
            <w:pPr>
              <w:rPr>
                <w:u w:val="single"/>
              </w:rPr>
            </w:pPr>
            <w:hyperlink r:id="rId4" w:anchor="ref-CR26" w:tooltip="Gevers, D. et al. The treatment-naive microbiome in new-onset crohn’s disease. Cell Host Microbe &#10;                           15, 382–392 (2014)." w:history="1">
              <w:r w:rsidRPr="00627057">
                <w:rPr>
                  <w:rStyle w:val="a3"/>
                  <w:rFonts w:hint="eastAsia"/>
                </w:rPr>
                <w:t>26</w:t>
              </w:r>
            </w:hyperlink>
          </w:p>
        </w:tc>
      </w:tr>
      <w:tr w:rsidR="00627057" w:rsidRPr="00627057" w:rsidTr="00627057">
        <w:trPr>
          <w:trHeight w:val="840"/>
          <w:jc w:val="center"/>
        </w:trPr>
        <w:tc>
          <w:tcPr>
            <w:tcW w:w="912" w:type="dxa"/>
            <w:hideMark/>
          </w:tcPr>
          <w:p w:rsidR="00627057" w:rsidRPr="00627057" w:rsidRDefault="00627057">
            <w:pPr>
              <w:rPr>
                <w:rFonts w:hint="eastAsia"/>
              </w:rPr>
            </w:pPr>
            <w:r w:rsidRPr="00627057">
              <w:t>Morgan 2012, IBD</w:t>
            </w:r>
          </w:p>
        </w:tc>
        <w:tc>
          <w:tcPr>
            <w:tcW w:w="951" w:type="dxa"/>
            <w:hideMark/>
          </w:tcPr>
          <w:p w:rsidR="00627057" w:rsidRPr="00627057" w:rsidRDefault="00627057">
            <w:r w:rsidRPr="00627057">
              <w:t>H</w:t>
            </w:r>
          </w:p>
        </w:tc>
        <w:tc>
          <w:tcPr>
            <w:tcW w:w="0" w:type="auto"/>
            <w:hideMark/>
          </w:tcPr>
          <w:p w:rsidR="00627057" w:rsidRPr="00627057" w:rsidRDefault="00627057">
            <w:r w:rsidRPr="00627057">
              <w:t>18</w:t>
            </w:r>
          </w:p>
        </w:tc>
        <w:tc>
          <w:tcPr>
            <w:tcW w:w="859" w:type="dxa"/>
            <w:hideMark/>
          </w:tcPr>
          <w:p w:rsidR="00627057" w:rsidRPr="00627057" w:rsidRDefault="00627057">
            <w:r w:rsidRPr="00627057">
              <w:t>UC, CD</w:t>
            </w:r>
          </w:p>
        </w:tc>
        <w:tc>
          <w:tcPr>
            <w:tcW w:w="899" w:type="dxa"/>
            <w:hideMark/>
          </w:tcPr>
          <w:p w:rsidR="00627057" w:rsidRPr="00627057" w:rsidRDefault="00627057">
            <w:r w:rsidRPr="00627057">
              <w:t>108</w:t>
            </w:r>
          </w:p>
        </w:tc>
        <w:tc>
          <w:tcPr>
            <w:tcW w:w="1094" w:type="dxa"/>
            <w:hideMark/>
          </w:tcPr>
          <w:p w:rsidR="00627057" w:rsidRPr="00627057" w:rsidRDefault="00627057">
            <w:pPr>
              <w:rPr>
                <w:u w:val="single"/>
              </w:rPr>
            </w:pPr>
            <w:hyperlink r:id="rId5" w:anchor="ref-CR27" w:tooltip="Morgan, X. C. et al. Dysfunction of the intestinal microbiome in inflammatory bowel disease and treatment. Genome Biol. &#10;                           13, R79 (2012)." w:history="1">
              <w:r w:rsidRPr="00627057">
                <w:rPr>
                  <w:rStyle w:val="a3"/>
                  <w:rFonts w:hint="eastAsia"/>
                </w:rPr>
                <w:t>27</w:t>
              </w:r>
            </w:hyperlink>
          </w:p>
        </w:tc>
      </w:tr>
      <w:tr w:rsidR="00627057" w:rsidRPr="00627057" w:rsidTr="00627057">
        <w:trPr>
          <w:trHeight w:val="840"/>
          <w:jc w:val="center"/>
        </w:trPr>
        <w:tc>
          <w:tcPr>
            <w:tcW w:w="912" w:type="dxa"/>
            <w:hideMark/>
          </w:tcPr>
          <w:p w:rsidR="00627057" w:rsidRPr="00627057" w:rsidRDefault="00627057">
            <w:pPr>
              <w:rPr>
                <w:rFonts w:hint="eastAsia"/>
              </w:rPr>
            </w:pPr>
            <w:r w:rsidRPr="00627057">
              <w:t>Papa 2012, IBD</w:t>
            </w:r>
          </w:p>
        </w:tc>
        <w:tc>
          <w:tcPr>
            <w:tcW w:w="951" w:type="dxa"/>
            <w:hideMark/>
          </w:tcPr>
          <w:p w:rsidR="00627057" w:rsidRPr="00627057" w:rsidRDefault="00627057">
            <w:r w:rsidRPr="00627057">
              <w:t>non-IBD</w:t>
            </w:r>
          </w:p>
        </w:tc>
        <w:tc>
          <w:tcPr>
            <w:tcW w:w="0" w:type="auto"/>
            <w:hideMark/>
          </w:tcPr>
          <w:p w:rsidR="00627057" w:rsidRPr="00627057" w:rsidRDefault="00627057">
            <w:r w:rsidRPr="00627057">
              <w:t>24</w:t>
            </w:r>
          </w:p>
        </w:tc>
        <w:tc>
          <w:tcPr>
            <w:tcW w:w="859" w:type="dxa"/>
            <w:hideMark/>
          </w:tcPr>
          <w:p w:rsidR="00627057" w:rsidRPr="00627057" w:rsidRDefault="00627057">
            <w:r w:rsidRPr="00627057">
              <w:t>UC, CD</w:t>
            </w:r>
          </w:p>
        </w:tc>
        <w:tc>
          <w:tcPr>
            <w:tcW w:w="899" w:type="dxa"/>
            <w:hideMark/>
          </w:tcPr>
          <w:p w:rsidR="00627057" w:rsidRPr="00627057" w:rsidRDefault="00627057">
            <w:r w:rsidRPr="00627057">
              <w:t>66</w:t>
            </w:r>
          </w:p>
        </w:tc>
        <w:tc>
          <w:tcPr>
            <w:tcW w:w="1094" w:type="dxa"/>
            <w:hideMark/>
          </w:tcPr>
          <w:p w:rsidR="00627057" w:rsidRPr="00627057" w:rsidRDefault="00627057">
            <w:pPr>
              <w:rPr>
                <w:u w:val="single"/>
              </w:rPr>
            </w:pPr>
            <w:hyperlink r:id="rId6" w:anchor="ref-CR19" w:tooltip="Papa, E. et al. Non-invasive mapping of the gastrointestinal microbiota identifies children with inflammatory bowel disease. PLoS ONE &#10;                           7, e39242 (2012)." w:history="1">
              <w:r w:rsidRPr="00627057">
                <w:rPr>
                  <w:rStyle w:val="a3"/>
                  <w:rFonts w:hint="eastAsia"/>
                </w:rPr>
                <w:t>19</w:t>
              </w:r>
            </w:hyperlink>
          </w:p>
        </w:tc>
      </w:tr>
      <w:tr w:rsidR="00627057" w:rsidRPr="00627057" w:rsidTr="00627057">
        <w:trPr>
          <w:trHeight w:val="828"/>
          <w:jc w:val="center"/>
        </w:trPr>
        <w:tc>
          <w:tcPr>
            <w:tcW w:w="912" w:type="dxa"/>
            <w:hideMark/>
          </w:tcPr>
          <w:p w:rsidR="00627057" w:rsidRPr="00627057" w:rsidRDefault="00627057">
            <w:pPr>
              <w:rPr>
                <w:rFonts w:hint="eastAsia"/>
              </w:rPr>
            </w:pPr>
            <w:r w:rsidRPr="00627057">
              <w:t>Willing 2010, IBD</w:t>
            </w:r>
          </w:p>
        </w:tc>
        <w:tc>
          <w:tcPr>
            <w:tcW w:w="951" w:type="dxa"/>
            <w:hideMark/>
          </w:tcPr>
          <w:p w:rsidR="00627057" w:rsidRPr="00627057" w:rsidRDefault="00627057">
            <w:r w:rsidRPr="00627057">
              <w:t>H</w:t>
            </w:r>
          </w:p>
        </w:tc>
        <w:tc>
          <w:tcPr>
            <w:tcW w:w="0" w:type="auto"/>
            <w:hideMark/>
          </w:tcPr>
          <w:p w:rsidR="00627057" w:rsidRPr="00627057" w:rsidRDefault="00627057">
            <w:r w:rsidRPr="00627057">
              <w:t>35</w:t>
            </w:r>
          </w:p>
        </w:tc>
        <w:tc>
          <w:tcPr>
            <w:tcW w:w="859" w:type="dxa"/>
            <w:hideMark/>
          </w:tcPr>
          <w:p w:rsidR="00627057" w:rsidRPr="00627057" w:rsidRDefault="00627057">
            <w:r w:rsidRPr="00627057">
              <w:t>UC, CD</w:t>
            </w:r>
          </w:p>
        </w:tc>
        <w:tc>
          <w:tcPr>
            <w:tcW w:w="899" w:type="dxa"/>
            <w:hideMark/>
          </w:tcPr>
          <w:p w:rsidR="00627057" w:rsidRPr="00627057" w:rsidRDefault="00627057">
            <w:r w:rsidRPr="00627057">
              <w:t>45</w:t>
            </w:r>
          </w:p>
        </w:tc>
        <w:tc>
          <w:tcPr>
            <w:tcW w:w="1094" w:type="dxa"/>
            <w:hideMark/>
          </w:tcPr>
          <w:p w:rsidR="00627057" w:rsidRPr="00627057" w:rsidRDefault="00627057">
            <w:pPr>
              <w:rPr>
                <w:u w:val="single"/>
              </w:rPr>
            </w:pPr>
            <w:hyperlink r:id="rId7" w:anchor="ref-CR28" w:tooltip="Willing, B. P. et al A pyrosequencing study in twins shows that gastrointestinal microbial profiles vary with inflammatory bowel disease phenotypes. Gastroenterology &#10;                           139, 1844–1854 (2010)." w:history="1">
              <w:r w:rsidRPr="00627057">
                <w:rPr>
                  <w:rStyle w:val="a3"/>
                  <w:rFonts w:hint="eastAsia"/>
                </w:rPr>
                <w:t>28</w:t>
              </w:r>
            </w:hyperlink>
          </w:p>
        </w:tc>
      </w:tr>
    </w:tbl>
    <w:p w:rsidR="00627057" w:rsidRDefault="00627057"/>
    <w:p w:rsidR="00E235E4" w:rsidRDefault="00E235E4">
      <w:r w:rsidRPr="00E235E4">
        <w:t>Non-IBD controls are patients with gastrointestinal symptoms but no intestinal inflammation. CD Crohn’s disease</w:t>
      </w:r>
      <w:r>
        <w:t>.</w:t>
      </w:r>
      <w:r w:rsidRPr="00E235E4">
        <w:t xml:space="preserve"> UC ulcerative colitis</w:t>
      </w:r>
      <w:r>
        <w:t>.</w:t>
      </w:r>
    </w:p>
    <w:p w:rsidR="00C804FD" w:rsidRDefault="00C804FD"/>
    <w:p w:rsidR="00C4518D" w:rsidRDefault="00C4518D">
      <w:r>
        <w:rPr>
          <w:noProof/>
        </w:rPr>
        <w:drawing>
          <wp:inline distT="0" distB="0" distL="0" distR="0">
            <wp:extent cx="5274310" cy="1353846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3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518D" w:rsidRDefault="00C4518D">
      <w:pPr>
        <w:rPr>
          <w:rFonts w:hint="eastAsia"/>
        </w:rPr>
      </w:pPr>
    </w:p>
    <w:p w:rsidR="00C804FD" w:rsidRDefault="0042480B">
      <w:r w:rsidRPr="0042480B">
        <w:t>Proportionality</w:t>
      </w:r>
      <w:r>
        <w:t xml:space="preserve"> (P). P=(d-h)/(</w:t>
      </w:r>
      <w:proofErr w:type="spellStart"/>
      <w:r>
        <w:t>d+h</w:t>
      </w:r>
      <w:proofErr w:type="spellEnd"/>
      <w:r>
        <w:t>)</w:t>
      </w:r>
    </w:p>
    <w:p w:rsidR="00EA7FB3" w:rsidRDefault="00EA7FB3">
      <w:bookmarkStart w:id="0" w:name="_GoBack"/>
      <w:bookmarkEnd w:id="0"/>
    </w:p>
    <w:p w:rsidR="00EA7FB3" w:rsidRDefault="00C54046">
      <w:r>
        <w:rPr>
          <w:rFonts w:hint="eastAsia"/>
          <w:noProof/>
        </w:rPr>
        <w:lastRenderedPageBreak/>
        <w:drawing>
          <wp:inline distT="0" distB="0" distL="0" distR="0">
            <wp:extent cx="5270500" cy="13716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046" w:rsidRDefault="00C54046"/>
    <w:p w:rsidR="00C54046" w:rsidRDefault="00C54046">
      <w:pPr>
        <w:rPr>
          <w:rFonts w:hint="eastAsia"/>
        </w:rPr>
      </w:pPr>
    </w:p>
    <w:sectPr w:rsidR="00C540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296"/>
    <w:rsid w:val="000C55DA"/>
    <w:rsid w:val="0038574E"/>
    <w:rsid w:val="0042480B"/>
    <w:rsid w:val="00627057"/>
    <w:rsid w:val="007D20C3"/>
    <w:rsid w:val="008C4296"/>
    <w:rsid w:val="008D00C0"/>
    <w:rsid w:val="00C4518D"/>
    <w:rsid w:val="00C54046"/>
    <w:rsid w:val="00C804FD"/>
    <w:rsid w:val="00E235E4"/>
    <w:rsid w:val="00EA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944F3"/>
  <w15:chartTrackingRefBased/>
  <w15:docId w15:val="{540CEE32-1B80-4BF6-BE5C-5299F27A9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04F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27057"/>
    <w:rPr>
      <w:color w:val="0563C1"/>
      <w:u w:val="single"/>
    </w:rPr>
  </w:style>
  <w:style w:type="table" w:styleId="a4">
    <w:name w:val="Table Grid"/>
    <w:basedOn w:val="a1"/>
    <w:uiPriority w:val="39"/>
    <w:rsid w:val="006270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Unresolved Mention"/>
    <w:basedOn w:val="a0"/>
    <w:uiPriority w:val="99"/>
    <w:semiHidden/>
    <w:unhideWhenUsed/>
    <w:rsid w:val="00627057"/>
    <w:rPr>
      <w:color w:val="808080"/>
      <w:shd w:val="clear" w:color="auto" w:fill="E6E6E6"/>
    </w:rPr>
  </w:style>
  <w:style w:type="character" w:customStyle="1" w:styleId="10">
    <w:name w:val="标题 1 字符"/>
    <w:basedOn w:val="a0"/>
    <w:link w:val="1"/>
    <w:uiPriority w:val="9"/>
    <w:rsid w:val="00C804FD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6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https://www.nature.com/articles/s41467-017-01973-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ature.com/articles/s41467-017-01973-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ature.com/articles/s41467-017-01973-8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nature.com/articles/s41467-017-01973-8" TargetMode="Externa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哲</dc:creator>
  <cp:keywords/>
  <dc:description/>
  <cp:lastModifiedBy>王 哲</cp:lastModifiedBy>
  <cp:revision>3</cp:revision>
  <dcterms:created xsi:type="dcterms:W3CDTF">2018-04-20T02:05:00Z</dcterms:created>
  <dcterms:modified xsi:type="dcterms:W3CDTF">2018-04-20T09:14:00Z</dcterms:modified>
</cp:coreProperties>
</file>