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11E5" w:rsidRDefault="00F011E5" w:rsidP="00611FDA">
      <w:pPr>
        <w:pStyle w:val="3"/>
      </w:pPr>
      <w:r>
        <w:rPr>
          <w:rFonts w:hint="eastAsia"/>
        </w:rPr>
        <w:t>联合</w:t>
      </w:r>
      <w:r w:rsidR="00611FDA">
        <w:rPr>
          <w:rFonts w:hint="eastAsia"/>
        </w:rPr>
        <w:t>肥胖</w:t>
      </w:r>
      <w:r>
        <w:rPr>
          <w:rFonts w:hint="eastAsia"/>
        </w:rPr>
        <w:t>与Ⅱ型糖尿病：用</w:t>
      </w:r>
      <w:proofErr w:type="spellStart"/>
      <w:r w:rsidRPr="00A9148D">
        <w:t>cFDR</w:t>
      </w:r>
      <w:proofErr w:type="spellEnd"/>
      <w:r>
        <w:rPr>
          <w:rFonts w:hint="eastAsia"/>
        </w:rPr>
        <w:t>方</w:t>
      </w:r>
      <w:r w:rsidRPr="00A9148D">
        <w:t>法</w:t>
      </w:r>
      <w:r w:rsidRPr="00A9148D">
        <w:rPr>
          <w:rFonts w:hint="eastAsia"/>
        </w:rPr>
        <w:t>检测到新的共享易感基因</w:t>
      </w:r>
    </w:p>
    <w:p w:rsidR="000021AF" w:rsidRDefault="000021AF" w:rsidP="000021AF">
      <w:pPr>
        <w:pStyle w:val="4"/>
      </w:pPr>
      <w:r>
        <w:rPr>
          <w:rFonts w:hint="eastAsia"/>
        </w:rPr>
        <w:t>研究背景</w:t>
      </w:r>
    </w:p>
    <w:p w:rsidR="000021AF" w:rsidRDefault="000021AF" w:rsidP="000021AF">
      <w:r>
        <w:rPr>
          <w:rFonts w:hint="eastAsia"/>
        </w:rPr>
        <w:t>一些研究尝试使用不同的方法来发现一些人类复杂形状以及疾病之间的重叠SNPs.但是大多数用来评估遗传基因多效性的方法没有充分利用现有的GWAS数据.一个很有前景的策略就是对于</w:t>
      </w:r>
      <w:r w:rsidR="004364AC">
        <w:rPr>
          <w:rFonts w:hint="eastAsia"/>
        </w:rPr>
        <w:t>相似表型的GWAS结果进行共同分析来探索遗传病因学中潜在的相似之处,即通过对现有的GWAS数据的重新分析来提高检测能力.</w:t>
      </w:r>
    </w:p>
    <w:p w:rsidR="004364AC" w:rsidRPr="000021AF" w:rsidRDefault="004364AC" w:rsidP="000021AF">
      <w:pPr>
        <w:rPr>
          <w:rFonts w:hint="eastAsia"/>
        </w:rPr>
      </w:pPr>
      <w:proofErr w:type="spellStart"/>
      <w:r>
        <w:rPr>
          <w:rFonts w:hint="eastAsia"/>
        </w:rPr>
        <w:t>Andreasson</w:t>
      </w:r>
      <w:proofErr w:type="spellEnd"/>
      <w:r>
        <w:rPr>
          <w:rFonts w:hint="eastAsia"/>
        </w:rPr>
        <w:t>等已成功开发与应用</w:t>
      </w:r>
      <w:r w:rsidR="00543342">
        <w:rPr>
          <w:rFonts w:hint="eastAsia"/>
        </w:rPr>
        <w:t>一项技术使用疾病之间的基因多效性来提高疾病变异的检测.这项技术延伸经验贝叶</w:t>
      </w:r>
      <w:proofErr w:type="gramStart"/>
      <w:r w:rsidR="00543342">
        <w:rPr>
          <w:rFonts w:hint="eastAsia"/>
        </w:rPr>
        <w:t>斯错误</w:t>
      </w:r>
      <w:proofErr w:type="gramEnd"/>
      <w:r w:rsidR="00543342">
        <w:rPr>
          <w:rFonts w:hint="eastAsia"/>
        </w:rPr>
        <w:t>发生率方法(FDR)到两个表型的情况.检测与一个表型的关联位点是以与另一个表型的关联程度为条件,将待检测关联的表型表示为</w:t>
      </w:r>
      <w:proofErr w:type="gramStart"/>
      <w:r w:rsidR="00543342">
        <w:t>’</w:t>
      </w:r>
      <w:proofErr w:type="gramEnd"/>
      <w:r w:rsidR="00543342">
        <w:rPr>
          <w:rFonts w:hint="eastAsia"/>
        </w:rPr>
        <w:t>主要表型</w:t>
      </w:r>
      <w:proofErr w:type="gramStart"/>
      <w:r w:rsidR="00543342">
        <w:t>’</w:t>
      </w:r>
      <w:proofErr w:type="gramEnd"/>
      <w:r w:rsidR="00543342">
        <w:rPr>
          <w:rFonts w:hint="eastAsia"/>
        </w:rPr>
        <w:t>,另一个表示为</w:t>
      </w:r>
      <w:proofErr w:type="gramStart"/>
      <w:r w:rsidR="00543342">
        <w:t>’</w:t>
      </w:r>
      <w:proofErr w:type="gramEnd"/>
      <w:r w:rsidR="00543342">
        <w:rPr>
          <w:rFonts w:hint="eastAsia"/>
        </w:rPr>
        <w:t>条件表型</w:t>
      </w:r>
      <w:proofErr w:type="gramStart"/>
      <w:r w:rsidR="00543342">
        <w:t>’</w:t>
      </w:r>
      <w:proofErr w:type="gramEnd"/>
      <w:r w:rsidR="00543342">
        <w:rPr>
          <w:rFonts w:hint="eastAsia"/>
        </w:rPr>
        <w:t>.如果两个表型共享常见</w:t>
      </w:r>
      <w:r w:rsidR="00540D93">
        <w:rPr>
          <w:rFonts w:hint="eastAsia"/>
        </w:rPr>
        <w:t>的关联变异,这一条件会以更高的比例保留与疾病相关的SNPs.</w:t>
      </w:r>
      <w:r w:rsidR="00540D93">
        <w:t>’</w:t>
      </w:r>
      <w:r w:rsidR="00540D93">
        <w:rPr>
          <w:rFonts w:hint="eastAsia"/>
        </w:rPr>
        <w:t>条件错误发现率</w:t>
      </w:r>
      <w:r w:rsidR="00540D93">
        <w:t>’</w:t>
      </w:r>
      <w:r w:rsidR="00540D93">
        <w:rPr>
          <w:rFonts w:hint="eastAsia"/>
        </w:rPr>
        <w:t>(</w:t>
      </w:r>
      <w:proofErr w:type="spellStart"/>
      <w:r w:rsidR="00540D93">
        <w:t>cFDR</w:t>
      </w:r>
      <w:proofErr w:type="spellEnd"/>
      <w:r w:rsidR="00540D93">
        <w:rPr>
          <w:rFonts w:hint="eastAsia"/>
        </w:rPr>
        <w:t>)定义为:对于主要的表型和条件表型,p值低于阈值的SNP</w:t>
      </w:r>
      <w:r w:rsidR="00540D93">
        <w:t>s,</w:t>
      </w:r>
      <w:r w:rsidR="00540D93">
        <w:rPr>
          <w:rFonts w:hint="eastAsia"/>
        </w:rPr>
        <w:t>与主要表型不相关的SNP所占的比例.通过计算以双相情感障碍为条件精神分裂症的</w:t>
      </w:r>
      <w:proofErr w:type="spellStart"/>
      <w:r w:rsidR="00540D93">
        <w:rPr>
          <w:rFonts w:hint="eastAsia"/>
        </w:rPr>
        <w:t>c</w:t>
      </w:r>
      <w:r w:rsidR="00540D93">
        <w:t>FDRs</w:t>
      </w:r>
      <w:proofErr w:type="spellEnd"/>
      <w:r w:rsidR="00540D93">
        <w:t>,</w:t>
      </w:r>
      <w:r w:rsidR="00E06F9D">
        <w:rPr>
          <w:rFonts w:hint="eastAsia"/>
        </w:rPr>
        <w:t>以及相反方向,</w:t>
      </w:r>
      <w:r w:rsidR="00E06F9D" w:rsidRPr="00E06F9D">
        <w:rPr>
          <w:rFonts w:hint="eastAsia"/>
        </w:rPr>
        <w:t xml:space="preserve"> </w:t>
      </w:r>
      <w:proofErr w:type="spellStart"/>
      <w:r w:rsidR="00E06F9D">
        <w:rPr>
          <w:rFonts w:hint="eastAsia"/>
        </w:rPr>
        <w:t>Andreasson</w:t>
      </w:r>
      <w:proofErr w:type="spellEnd"/>
      <w:r w:rsidR="00E06F9D">
        <w:rPr>
          <w:rFonts w:hint="eastAsia"/>
        </w:rPr>
        <w:t>等</w:t>
      </w:r>
      <w:r w:rsidR="00E06F9D">
        <w:rPr>
          <w:rFonts w:hint="eastAsia"/>
        </w:rPr>
        <w:t>为两种疾病坚定了多个先前未被发现的位点.</w:t>
      </w:r>
      <w:bookmarkStart w:id="0" w:name="_GoBack"/>
      <w:bookmarkEnd w:id="0"/>
    </w:p>
    <w:p w:rsidR="00F011E5" w:rsidRDefault="00F011E5" w:rsidP="00611FDA">
      <w:pPr>
        <w:pStyle w:val="4"/>
      </w:pPr>
      <w:r>
        <w:rPr>
          <w:rFonts w:hint="eastAsia"/>
        </w:rPr>
        <w:t>材料与方法</w:t>
      </w:r>
    </w:p>
    <w:p w:rsidR="00F011E5" w:rsidRDefault="00F011E5" w:rsidP="00611FDA">
      <w:pPr>
        <w:pStyle w:val="5"/>
      </w:pPr>
      <w:r>
        <w:t>G</w:t>
      </w:r>
      <w:r>
        <w:rPr>
          <w:rFonts w:hint="eastAsia"/>
        </w:rPr>
        <w:t>WAS数据集</w:t>
      </w:r>
    </w:p>
    <w:p w:rsidR="00F011E5" w:rsidRDefault="00F011E5">
      <w:r w:rsidRPr="00B575B5">
        <w:rPr>
          <w:rFonts w:hint="eastAsia"/>
        </w:rPr>
        <w:t>我们从公共可访问数据集获取了两个</w:t>
      </w:r>
      <w:r w:rsidRPr="00B575B5">
        <w:t xml:space="preserve"> GWAS 汇总统计信息。第一个是 AD GWAS 数据集</w:t>
      </w:r>
      <w:r>
        <w:rPr>
          <w:rFonts w:hint="eastAsia"/>
        </w:rPr>
        <w:t>，</w:t>
      </w:r>
      <w:r w:rsidRPr="00B575B5">
        <w:t>以汇总统计 p 值的形式从国际基因组学的阿尔茨海默氏项目 (</w:t>
      </w:r>
      <w:r>
        <w:rPr>
          <w:rFonts w:hint="eastAsia"/>
        </w:rPr>
        <w:t>IGAP</w:t>
      </w:r>
      <w:r w:rsidRPr="00B575B5">
        <w:t>)</w:t>
      </w:r>
      <w:r>
        <w:rPr>
          <w:rFonts w:hint="eastAsia"/>
        </w:rPr>
        <w:t>得到</w:t>
      </w:r>
      <w:r w:rsidRPr="00B575B5">
        <w:t xml:space="preserve">。它包括17008个 AD </w:t>
      </w:r>
      <w:r>
        <w:rPr>
          <w:rFonts w:hint="eastAsia"/>
        </w:rPr>
        <w:t>病例</w:t>
      </w:r>
      <w:r w:rsidRPr="00B575B5">
        <w:t>和37154</w:t>
      </w:r>
      <w:r>
        <w:rPr>
          <w:rFonts w:hint="eastAsia"/>
        </w:rPr>
        <w:t>对照组</w:t>
      </w:r>
      <w:r w:rsidRPr="00B575B5">
        <w:t>在</w:t>
      </w:r>
      <w:r>
        <w:rPr>
          <w:rFonts w:hint="eastAsia"/>
        </w:rPr>
        <w:t>IGAP</w:t>
      </w:r>
      <w:r w:rsidRPr="00B575B5">
        <w:t>阶段 1</w:t>
      </w:r>
      <w:r>
        <w:rPr>
          <w:rFonts w:hint="eastAsia"/>
        </w:rPr>
        <w:t>，</w:t>
      </w:r>
      <w:r w:rsidRPr="00B575B5">
        <w:t>被估算的数据</w:t>
      </w:r>
      <w:r>
        <w:rPr>
          <w:rFonts w:hint="eastAsia"/>
        </w:rPr>
        <w:t>为</w:t>
      </w:r>
      <w:r w:rsidRPr="00B575B5">
        <w:t>7055881 SNPs</w:t>
      </w:r>
      <w:r>
        <w:rPr>
          <w:noProof/>
        </w:rPr>
        <w:t>[1]</w:t>
      </w:r>
      <w:r>
        <w:rPr>
          <w:rFonts w:hint="eastAsia"/>
        </w:rPr>
        <w:t>。</w:t>
      </w:r>
    </w:p>
    <w:p w:rsidR="00F011E5" w:rsidRDefault="00F011E5"/>
    <w:p w:rsidR="00F011E5" w:rsidRDefault="00F011E5">
      <w:r w:rsidRPr="00E44B65">
        <w:rPr>
          <w:rFonts w:hint="eastAsia"/>
        </w:rPr>
        <w:t>第二个数据集是从</w:t>
      </w:r>
      <w:r w:rsidRPr="00E44B65">
        <w:t>DIAGRAM</w:t>
      </w:r>
      <w:r>
        <w:rPr>
          <w:rFonts w:hint="eastAsia"/>
        </w:rPr>
        <w:t>得到</w:t>
      </w:r>
      <w:r w:rsidRPr="00E44B65">
        <w:t>的汇总统计P值的形式的T2D GWAS数据集。它包括12171个T2DM病例和56862个对照在1阶段</w:t>
      </w:r>
      <w:r>
        <w:rPr>
          <w:rFonts w:hint="eastAsia"/>
        </w:rPr>
        <w:t>中，</w:t>
      </w:r>
      <w:r w:rsidRPr="00E44B65">
        <w:t>这是从12个</w:t>
      </w:r>
      <w:proofErr w:type="gramStart"/>
      <w:r w:rsidRPr="00E44B65">
        <w:t>先前公布</w:t>
      </w:r>
      <w:proofErr w:type="gramEnd"/>
      <w:r w:rsidRPr="00E44B65">
        <w:t>的对欧洲血统的个体</w:t>
      </w:r>
      <w:r>
        <w:rPr>
          <w:rFonts w:hint="eastAsia"/>
        </w:rPr>
        <w:t>的</w:t>
      </w:r>
      <w:r w:rsidRPr="00E44B65">
        <w:t>G</w:t>
      </w:r>
      <w:r>
        <w:rPr>
          <w:rFonts w:hint="eastAsia"/>
        </w:rPr>
        <w:t>W</w:t>
      </w:r>
      <w:r w:rsidRPr="00E44B65">
        <w:t>AS数据集，基因型或推断的数据在2473441个SNPs</w:t>
      </w:r>
      <w:r>
        <w:rPr>
          <w:noProof/>
        </w:rPr>
        <w:t>[2]</w:t>
      </w:r>
      <w:r w:rsidRPr="00E44B65">
        <w:t>。</w:t>
      </w:r>
    </w:p>
    <w:p w:rsidR="00F011E5" w:rsidRDefault="00F011E5"/>
    <w:p w:rsidR="00F011E5" w:rsidRDefault="00F011E5">
      <w:r w:rsidRPr="00F855D6">
        <w:rPr>
          <w:rFonts w:hint="eastAsia"/>
        </w:rPr>
        <w:t>有必要用基因组控制</w:t>
      </w:r>
      <w:r w:rsidRPr="00F855D6">
        <w:t>调整GWAS结果。这两个GWAS数据</w:t>
      </w:r>
      <w:proofErr w:type="gramStart"/>
      <w:r w:rsidRPr="00F855D6">
        <w:t>集以前</w:t>
      </w:r>
      <w:proofErr w:type="gramEnd"/>
      <w:r w:rsidRPr="00F855D6">
        <w:t>已经使用了原始作者的基因组控制，因此，我们不必在的研究中再次应用这种调整。</w:t>
      </w:r>
    </w:p>
    <w:p w:rsidR="00F011E5" w:rsidRDefault="00F011E5"/>
    <w:p w:rsidR="00F011E5" w:rsidRDefault="00F011E5" w:rsidP="00611FDA">
      <w:pPr>
        <w:pStyle w:val="4"/>
      </w:pPr>
      <w:r w:rsidRPr="00F855D6">
        <w:rPr>
          <w:rFonts w:hint="eastAsia"/>
        </w:rPr>
        <w:t>数据准备</w:t>
      </w:r>
    </w:p>
    <w:p w:rsidR="00F011E5" w:rsidRDefault="00F011E5"/>
    <w:p w:rsidR="00F011E5" w:rsidRDefault="00F011E5">
      <w:r w:rsidRPr="00F855D6">
        <w:rPr>
          <w:rFonts w:hint="eastAsia"/>
        </w:rPr>
        <w:t>当我们组合两个</w:t>
      </w:r>
      <w:r w:rsidRPr="00F855D6">
        <w:t xml:space="preserve"> GWAS 汇总数据集时, 总共发现了2310500个常见的 SNPs。利用连锁不平衡 (LD)对 </w:t>
      </w:r>
      <w:proofErr w:type="spellStart"/>
      <w:r w:rsidRPr="00F855D6">
        <w:t>snp</w:t>
      </w:r>
      <w:proofErr w:type="spellEnd"/>
      <w:r w:rsidRPr="00F855D6">
        <w:t xml:space="preserve"> 数据进行了修剪。在修剪过程后, 我们的分析中仍有262661变种被使用。</w:t>
      </w:r>
    </w:p>
    <w:p w:rsidR="00F011E5" w:rsidRDefault="00F011E5"/>
    <w:p w:rsidR="00F011E5" w:rsidRDefault="00F011E5" w:rsidP="00611FDA">
      <w:pPr>
        <w:pStyle w:val="3"/>
      </w:pPr>
      <w:r>
        <w:rPr>
          <w:rFonts w:hint="eastAsia"/>
        </w:rPr>
        <w:t>条件错误发生率</w:t>
      </w:r>
    </w:p>
    <w:p w:rsidR="00F011E5" w:rsidRDefault="00F011E5" w:rsidP="000713A4">
      <w:r>
        <w:rPr>
          <w:rFonts w:hint="eastAsia"/>
        </w:rPr>
        <w:t>根据FDR能够直接解释条件Q-Q图中所表示的富集。特别的是，对于一个给定的P值阈值，贝叶斯FDR被定义为</w:t>
      </w:r>
    </w:p>
    <w:p w:rsidR="00F011E5" w:rsidRDefault="00F011E5" w:rsidP="000713A4"/>
    <w:p w:rsidR="00F011E5" w:rsidRPr="00624394" w:rsidRDefault="00E06F9D">
      <w:pPr>
        <w:rPr>
          <w:iCs/>
        </w:rPr>
      </w:pPr>
      <m:oMathPara>
        <m:oMath>
          <m:eqArr>
            <m:eqArrPr>
              <m:maxDist m:val="1"/>
              <m:ctrlPr>
                <w:rPr>
                  <w:rFonts w:ascii="Cambria Math" w:hAnsi="Cambria Math"/>
                  <w:i/>
                  <w:iCs/>
                </w:rPr>
              </m:ctrlPr>
            </m:eqArrPr>
            <m:e>
              <m:r>
                <w:rPr>
                  <w:rFonts w:ascii="Cambria Math" w:hAnsi="Cambria Math" w:hint="eastAsia"/>
                </w:rPr>
                <m:t>FDR</m:t>
              </m:r>
              <m:d>
                <m:dPr>
                  <m:ctrlPr>
                    <w:rPr>
                      <w:rFonts w:ascii="Cambria Math" w:hAnsi="Cambria Math"/>
                      <w:i/>
                    </w:rPr>
                  </m:ctrlPr>
                </m:dPr>
                <m:e>
                  <m:r>
                    <w:rPr>
                      <w:rFonts w:ascii="Cambria Math" w:hAnsi="Cambria Math" w:hint="eastAsia"/>
                    </w:rPr>
                    <m:t>p</m:t>
                  </m:r>
                </m:e>
              </m:d>
              <m:r>
                <w:rPr>
                  <w:rFonts w:ascii="Cambria Math" w:hAnsi="Cambria Math"/>
                </w:rPr>
                <m:t>=</m:t>
              </m:r>
              <m:f>
                <m:fPr>
                  <m:type m:val="lin"/>
                  <m:ctrlPr>
                    <w:rPr>
                      <w:rFonts w:ascii="Cambria Math" w:hAnsi="Cambria Math"/>
                      <w:i/>
                      <w:iCs/>
                    </w:rPr>
                  </m:ctrlPr>
                </m:fPr>
                <m:num>
                  <m:sSub>
                    <m:sSubPr>
                      <m:ctrlPr>
                        <w:rPr>
                          <w:rFonts w:ascii="Cambria Math" w:hAnsi="Cambria Math"/>
                          <w:i/>
                        </w:rPr>
                      </m:ctrlPr>
                    </m:sSubPr>
                    <m:e>
                      <m:r>
                        <w:rPr>
                          <w:rFonts w:ascii="Cambria Math" w:hAnsi="Cambria Math"/>
                        </w:rPr>
                        <m:t>π</m:t>
                      </m:r>
                    </m:e>
                    <m:sub>
                      <m:r>
                        <w:rPr>
                          <w:rFonts w:ascii="Cambria Math" w:hAnsi="Cambria Math"/>
                        </w:rPr>
                        <m:t>0</m:t>
                      </m:r>
                    </m:sub>
                  </m:sSub>
                  <m:sSub>
                    <m:sSubPr>
                      <m:ctrlPr>
                        <w:rPr>
                          <w:rFonts w:ascii="Cambria Math" w:hAnsi="Cambria Math"/>
                          <w:i/>
                          <w:iCs/>
                        </w:rPr>
                      </m:ctrlPr>
                    </m:sSubPr>
                    <m:e>
                      <m:r>
                        <w:rPr>
                          <w:rFonts w:ascii="Cambria Math" w:hAnsi="Cambria Math" w:hint="eastAsia"/>
                        </w:rPr>
                        <m:t>F</m:t>
                      </m:r>
                    </m:e>
                    <m:sub>
                      <m:r>
                        <w:rPr>
                          <w:rFonts w:ascii="Cambria Math" w:hAnsi="Cambria Math"/>
                        </w:rPr>
                        <m:t>0</m:t>
                      </m:r>
                    </m:sub>
                  </m:sSub>
                  <m:d>
                    <m:dPr>
                      <m:ctrlPr>
                        <w:rPr>
                          <w:rFonts w:ascii="Cambria Math" w:hAnsi="Cambria Math"/>
                          <w:i/>
                          <w:iCs/>
                        </w:rPr>
                      </m:ctrlPr>
                    </m:dPr>
                    <m:e>
                      <m:r>
                        <w:rPr>
                          <w:rFonts w:ascii="Cambria Math" w:hAnsi="Cambria Math" w:hint="eastAsia"/>
                        </w:rPr>
                        <m:t>p</m:t>
                      </m:r>
                    </m:e>
                  </m:d>
                </m:num>
                <m:den>
                  <m:r>
                    <w:rPr>
                      <w:rFonts w:ascii="Cambria Math" w:hAnsi="Cambria Math" w:hint="eastAsia"/>
                    </w:rPr>
                    <m:t>F</m:t>
                  </m:r>
                  <m:d>
                    <m:dPr>
                      <m:ctrlPr>
                        <w:rPr>
                          <w:rFonts w:ascii="Cambria Math" w:hAnsi="Cambria Math"/>
                          <w:i/>
                          <w:iCs/>
                        </w:rPr>
                      </m:ctrlPr>
                    </m:dPr>
                    <m:e>
                      <m:r>
                        <w:rPr>
                          <w:rFonts w:ascii="Cambria Math" w:hAnsi="Cambria Math"/>
                        </w:rPr>
                        <m:t>p</m:t>
                      </m:r>
                    </m:e>
                  </m:d>
                </m:den>
              </m:f>
              <m:r>
                <w:rPr>
                  <w:rFonts w:ascii="Cambria Math" w:hAnsi="Cambria Math" w:hint="eastAsia"/>
                </w:rPr>
                <m:t>,</m:t>
              </m:r>
              <m:r>
                <w:rPr>
                  <w:rFonts w:ascii="Cambria Math" w:hAnsi="Cambria Math"/>
                </w:rPr>
                <m:t>#</m:t>
              </m:r>
              <m:d>
                <m:dPr>
                  <m:ctrlPr>
                    <w:rPr>
                      <w:rFonts w:ascii="Cambria Math" w:hAnsi="Cambria Math"/>
                      <w:i/>
                      <w:iCs/>
                    </w:rPr>
                  </m:ctrlPr>
                </m:dPr>
                <m:e>
                  <m:r>
                    <w:rPr>
                      <w:rFonts w:ascii="Cambria Math" w:hAnsi="Cambria Math"/>
                    </w:rPr>
                    <m:t>2</m:t>
                  </m:r>
                  <m:r>
                    <w:rPr>
                      <w:rFonts w:ascii="Latin Modern Math" w:eastAsia="微软雅黑" w:hAnsi="Latin Modern Math" w:cs="微软雅黑" w:hint="eastAsia"/>
                    </w:rPr>
                    <m:t>-</m:t>
                  </m:r>
                  <m:r>
                    <w:rPr>
                      <w:rFonts w:ascii="Cambria Math" w:hAnsi="Cambria Math"/>
                    </w:rPr>
                    <m:t>1</m:t>
                  </m:r>
                </m:e>
              </m:d>
              <m:ctrlPr>
                <w:rPr>
                  <w:rFonts w:ascii="Cambria Math" w:hAnsi="Cambria Math"/>
                  <w:i/>
                </w:rPr>
              </m:ctrlPr>
            </m:e>
          </m:eqArr>
        </m:oMath>
      </m:oMathPara>
    </w:p>
    <w:p w:rsidR="00F011E5" w:rsidRDefault="00F011E5">
      <w:pPr>
        <w:rPr>
          <w:iCs/>
        </w:rPr>
      </w:pPr>
      <w:r>
        <w:rPr>
          <w:rFonts w:hint="eastAsia"/>
        </w:rPr>
        <w:t>这里的</w:t>
      </w:r>
      <m:oMath>
        <m:sSub>
          <m:sSubPr>
            <m:ctrlPr>
              <w:rPr>
                <w:rFonts w:ascii="Cambria Math" w:hAnsi="Cambria Math"/>
                <w:i/>
              </w:rPr>
            </m:ctrlPr>
          </m:sSubPr>
          <m:e>
            <m:r>
              <w:rPr>
                <w:rFonts w:ascii="Cambria Math" w:hAnsi="Cambria Math"/>
              </w:rPr>
              <m:t>π</m:t>
            </m:r>
          </m:e>
          <m:sub>
            <m:r>
              <w:rPr>
                <w:rFonts w:ascii="Cambria Math" w:hAnsi="Cambria Math"/>
              </w:rPr>
              <m:t>0</m:t>
            </m:r>
          </m:sub>
        </m:sSub>
      </m:oMath>
      <w:proofErr w:type="gramStart"/>
      <w:r>
        <w:rPr>
          <w:rFonts w:hint="eastAsia"/>
        </w:rPr>
        <w:t>指空</w:t>
      </w:r>
      <w:proofErr w:type="gramEnd"/>
      <w:r>
        <w:rPr>
          <w:rFonts w:hint="eastAsia"/>
        </w:rPr>
        <w:t>SNP</w:t>
      </w:r>
      <w:r>
        <w:t>s</w:t>
      </w:r>
      <w:r>
        <w:rPr>
          <w:rFonts w:hint="eastAsia"/>
        </w:rPr>
        <w:t>的比例,</w:t>
      </w:r>
      <m:oMath>
        <m:r>
          <w:rPr>
            <w:rFonts w:ascii="Cambria Math" w:hAnsi="Cambria Math"/>
          </w:rPr>
          <m:t xml:space="preserve"> </m:t>
        </m:r>
        <m:sSub>
          <m:sSubPr>
            <m:ctrlPr>
              <w:rPr>
                <w:rFonts w:ascii="Cambria Math" w:hAnsi="Cambria Math"/>
                <w:i/>
                <w:iCs/>
              </w:rPr>
            </m:ctrlPr>
          </m:sSubPr>
          <m:e>
            <m:r>
              <w:rPr>
                <w:rFonts w:ascii="Cambria Math" w:hAnsi="Cambria Math" w:hint="eastAsia"/>
              </w:rPr>
              <m:t>F</m:t>
            </m:r>
          </m:e>
          <m:sub>
            <m:r>
              <w:rPr>
                <w:rFonts w:ascii="Cambria Math" w:hAnsi="Cambria Math"/>
              </w:rPr>
              <m:t>0</m:t>
            </m:r>
          </m:sub>
        </m:sSub>
      </m:oMath>
      <w:proofErr w:type="gramStart"/>
      <w:r>
        <w:rPr>
          <w:rFonts w:hint="eastAsia"/>
          <w:iCs/>
        </w:rPr>
        <w:t>指空累</w:t>
      </w:r>
      <w:proofErr w:type="gramEnd"/>
      <w:r>
        <w:rPr>
          <w:rFonts w:hint="eastAsia"/>
          <w:iCs/>
        </w:rPr>
        <w:t>积分布函数(</w:t>
      </w:r>
      <w:proofErr w:type="spellStart"/>
      <w:r>
        <w:rPr>
          <w:rFonts w:hint="eastAsia"/>
          <w:iCs/>
        </w:rPr>
        <w:t>cdf</w:t>
      </w:r>
      <w:proofErr w:type="spellEnd"/>
      <w:r>
        <w:rPr>
          <w:rFonts w:hint="eastAsia"/>
          <w:iCs/>
        </w:rPr>
        <w:t>),</w:t>
      </w:r>
      <m:oMath>
        <m:r>
          <w:rPr>
            <w:rFonts w:ascii="Cambria Math" w:hAnsi="Cambria Math" w:hint="eastAsia"/>
          </w:rPr>
          <m:t xml:space="preserve"> F</m:t>
        </m:r>
      </m:oMath>
      <w:r>
        <w:rPr>
          <w:rFonts w:hint="eastAsia"/>
          <w:iCs/>
        </w:rPr>
        <w:t>指所有SNPs的累积分布函数,包括空SNPs与非空SNPs;在零假设下,</w:t>
      </w:r>
      <m:oMath>
        <m:r>
          <w:rPr>
            <w:rFonts w:ascii="Cambria Math" w:hAnsi="Cambria Math"/>
          </w:rPr>
          <m:t xml:space="preserve"> </m:t>
        </m:r>
        <m:sSub>
          <m:sSubPr>
            <m:ctrlPr>
              <w:rPr>
                <w:rFonts w:ascii="Cambria Math" w:hAnsi="Cambria Math"/>
                <w:i/>
                <w:iCs/>
              </w:rPr>
            </m:ctrlPr>
          </m:sSubPr>
          <m:e>
            <m:r>
              <w:rPr>
                <w:rFonts w:ascii="Cambria Math" w:hAnsi="Cambria Math" w:hint="eastAsia"/>
              </w:rPr>
              <m:t>F</m:t>
            </m:r>
          </m:e>
          <m:sub>
            <m:r>
              <w:rPr>
                <w:rFonts w:ascii="Cambria Math" w:hAnsi="Cambria Math"/>
              </w:rPr>
              <m:t>0</m:t>
            </m:r>
          </m:sub>
        </m:sSub>
      </m:oMath>
      <w:r>
        <w:rPr>
          <w:rFonts w:hint="eastAsia"/>
          <w:iCs/>
        </w:rPr>
        <w:t>是单位区间[</w:t>
      </w:r>
      <w:r>
        <w:rPr>
          <w:iCs/>
        </w:rPr>
        <w:t>0</w:t>
      </w:r>
      <w:r>
        <w:rPr>
          <w:rFonts w:hint="eastAsia"/>
          <w:iCs/>
        </w:rPr>
        <w:t>,</w:t>
      </w:r>
      <w:r>
        <w:rPr>
          <w:iCs/>
        </w:rPr>
        <w:t>1</w:t>
      </w:r>
      <w:r>
        <w:rPr>
          <w:rFonts w:hint="eastAsia"/>
          <w:iCs/>
        </w:rPr>
        <w:t>]上均匀分布的累积分布函数,所以方程式</w:t>
      </w:r>
      <m:oMath>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1</m:t>
            </m:r>
          </m:e>
        </m:d>
      </m:oMath>
      <w:r>
        <w:rPr>
          <w:rFonts w:hint="eastAsia"/>
          <w:iCs/>
        </w:rPr>
        <w:t>归纳为:</w:t>
      </w:r>
    </w:p>
    <w:p w:rsidR="00F011E5" w:rsidRPr="00624394" w:rsidRDefault="00E06F9D" w:rsidP="00210200">
      <w:pPr>
        <w:rPr>
          <w:iCs/>
        </w:rPr>
      </w:pPr>
      <m:oMathPara>
        <m:oMath>
          <m:eqArr>
            <m:eqArrPr>
              <m:maxDist m:val="1"/>
              <m:ctrlPr>
                <w:rPr>
                  <w:rFonts w:ascii="Cambria Math" w:hAnsi="Cambria Math"/>
                  <w:i/>
                  <w:iCs/>
                </w:rPr>
              </m:ctrlPr>
            </m:eqArrPr>
            <m:e>
              <m:r>
                <w:rPr>
                  <w:rFonts w:ascii="Cambria Math" w:hAnsi="Cambria Math" w:hint="eastAsia"/>
                </w:rPr>
                <m:t>FDR</m:t>
              </m:r>
              <m:d>
                <m:dPr>
                  <m:ctrlPr>
                    <w:rPr>
                      <w:rFonts w:ascii="Cambria Math" w:hAnsi="Cambria Math"/>
                      <w:i/>
                    </w:rPr>
                  </m:ctrlPr>
                </m:dPr>
                <m:e>
                  <m:r>
                    <w:rPr>
                      <w:rFonts w:ascii="Cambria Math" w:hAnsi="Cambria Math" w:hint="eastAsia"/>
                    </w:rPr>
                    <m:t>p</m:t>
                  </m:r>
                </m:e>
              </m:d>
              <m:r>
                <w:rPr>
                  <w:rFonts w:ascii="Cambria Math" w:hAnsi="Cambria Math"/>
                </w:rPr>
                <m:t>=</m:t>
              </m:r>
              <m:f>
                <m:fPr>
                  <m:type m:val="lin"/>
                  <m:ctrlPr>
                    <w:rPr>
                      <w:rFonts w:ascii="Cambria Math" w:hAnsi="Cambria Math"/>
                      <w:i/>
                      <w:iCs/>
                    </w:rPr>
                  </m:ctrlPr>
                </m:fPr>
                <m:num>
                  <m:sSub>
                    <m:sSubPr>
                      <m:ctrlPr>
                        <w:rPr>
                          <w:rFonts w:ascii="Cambria Math" w:hAnsi="Cambria Math"/>
                          <w:i/>
                        </w:rPr>
                      </m:ctrlPr>
                    </m:sSubPr>
                    <m:e>
                      <m:r>
                        <w:rPr>
                          <w:rFonts w:ascii="Cambria Math" w:hAnsi="Cambria Math"/>
                        </w:rPr>
                        <m:t>π</m:t>
                      </m:r>
                    </m:e>
                    <m:sub>
                      <m:r>
                        <w:rPr>
                          <w:rFonts w:ascii="Cambria Math" w:hAnsi="Cambria Math"/>
                        </w:rPr>
                        <m:t>0</m:t>
                      </m:r>
                    </m:sub>
                  </m:sSub>
                  <m:d>
                    <m:dPr>
                      <m:ctrlPr>
                        <w:rPr>
                          <w:rFonts w:ascii="Cambria Math" w:hAnsi="Cambria Math"/>
                          <w:i/>
                          <w:iCs/>
                        </w:rPr>
                      </m:ctrlPr>
                    </m:dPr>
                    <m:e>
                      <m:r>
                        <w:rPr>
                          <w:rFonts w:ascii="Cambria Math" w:hAnsi="Cambria Math" w:hint="eastAsia"/>
                        </w:rPr>
                        <m:t>p</m:t>
                      </m:r>
                    </m:e>
                  </m:d>
                </m:num>
                <m:den>
                  <m:r>
                    <w:rPr>
                      <w:rFonts w:ascii="Cambria Math" w:hAnsi="Cambria Math" w:hint="eastAsia"/>
                    </w:rPr>
                    <m:t>F</m:t>
                  </m:r>
                  <m:d>
                    <m:dPr>
                      <m:ctrlPr>
                        <w:rPr>
                          <w:rFonts w:ascii="Cambria Math" w:hAnsi="Cambria Math"/>
                          <w:i/>
                          <w:iCs/>
                        </w:rPr>
                      </m:ctrlPr>
                    </m:dPr>
                    <m:e>
                      <m:r>
                        <w:rPr>
                          <w:rFonts w:ascii="Cambria Math" w:hAnsi="Cambria Math"/>
                        </w:rPr>
                        <m:t>p</m:t>
                      </m:r>
                    </m:e>
                  </m:d>
                </m:den>
              </m:f>
              <m:r>
                <w:rPr>
                  <w:rFonts w:ascii="Cambria Math" w:hAnsi="Cambria Math" w:hint="eastAsia"/>
                </w:rPr>
                <m:t>,</m:t>
              </m:r>
              <m:r>
                <w:rPr>
                  <w:rFonts w:ascii="Cambria Math" w:hAnsi="Cambria Math"/>
                </w:rPr>
                <m:t>#</m:t>
              </m:r>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2</m:t>
                  </m:r>
                </m:e>
              </m:d>
              <m:ctrlPr>
                <w:rPr>
                  <w:rFonts w:ascii="Cambria Math" w:hAnsi="Cambria Math"/>
                  <w:i/>
                </w:rPr>
              </m:ctrlPr>
            </m:e>
          </m:eqArr>
        </m:oMath>
      </m:oMathPara>
    </w:p>
    <w:p w:rsidR="00F011E5" w:rsidRPr="00624394" w:rsidRDefault="00F011E5" w:rsidP="00801D9B">
      <w:pPr>
        <w:rPr>
          <w:iCs/>
        </w:rPr>
      </w:pPr>
      <w:r>
        <w:rPr>
          <w:rFonts w:hint="eastAsia"/>
        </w:rPr>
        <w:t>累积分布函数</w:t>
      </w:r>
      <m:oMath>
        <m:r>
          <w:rPr>
            <w:rFonts w:ascii="Cambria Math" w:hAnsi="Cambria Math" w:hint="eastAsia"/>
          </w:rPr>
          <m:t>F</m:t>
        </m:r>
      </m:oMath>
      <w:r>
        <w:rPr>
          <w:rFonts w:hint="eastAsia"/>
          <w:iCs/>
        </w:rPr>
        <w:t>能通过经验累积分布函数</w:t>
      </w:r>
      <m:oMath>
        <m:r>
          <w:rPr>
            <w:rFonts w:ascii="Cambria Math" w:hAnsi="Cambria Math" w:hint="eastAsia"/>
          </w:rPr>
          <m:t>q</m:t>
        </m:r>
      </m:oMath>
      <w:r>
        <w:rPr>
          <w:rFonts w:hint="eastAsia"/>
          <w:iCs/>
        </w:rPr>
        <w:t>来估计,</w:t>
      </w:r>
      <m:oMath>
        <m:r>
          <w:rPr>
            <w:rFonts w:ascii="Cambria Math" w:hAnsi="Cambria Math" w:hint="eastAsia"/>
          </w:rPr>
          <m:t>q</m:t>
        </m:r>
        <m:r>
          <w:rPr>
            <w:rFonts w:ascii="Cambria Math" w:hAnsi="Cambria Math"/>
          </w:rPr>
          <m:t>=</m:t>
        </m:r>
        <m:f>
          <m:fPr>
            <m:type m:val="lin"/>
            <m:ctrlPr>
              <w:rPr>
                <w:rFonts w:ascii="Cambria Math" w:hAnsi="Cambria Math"/>
                <w:i/>
                <w:iCs/>
              </w:rPr>
            </m:ctrlPr>
          </m:fPr>
          <m:num>
            <m:r>
              <w:rPr>
                <w:rFonts w:ascii="Cambria Math" w:hAnsi="Cambria Math" w:hint="eastAsia"/>
              </w:rPr>
              <m:t>Np</m:t>
            </m:r>
          </m:num>
          <m:den>
            <m:r>
              <w:rPr>
                <w:rFonts w:ascii="Cambria Math" w:hAnsi="Cambria Math" w:hint="eastAsia"/>
              </w:rPr>
              <m:t>N</m:t>
            </m:r>
          </m:den>
        </m:f>
        <m:r>
          <w:rPr>
            <w:rFonts w:ascii="Cambria Math" w:hAnsi="Cambria Math" w:hint="eastAsia"/>
          </w:rPr>
          <m:t>,</m:t>
        </m:r>
      </m:oMath>
      <w:r>
        <w:rPr>
          <w:rFonts w:hint="eastAsia"/>
          <w:iCs/>
        </w:rPr>
        <w:t>这里的</w:t>
      </w:r>
      <m:oMath>
        <m:r>
          <w:rPr>
            <w:rFonts w:ascii="Cambria Math" w:hAnsi="Cambria Math" w:hint="eastAsia"/>
          </w:rPr>
          <m:t>Np</m:t>
        </m:r>
      </m:oMath>
      <w:r>
        <w:rPr>
          <w:rFonts w:hint="eastAsia"/>
          <w:iCs/>
        </w:rPr>
        <w:t>指P值小于或等于P的SNPs的数量;</w:t>
      </w:r>
      <m:oMath>
        <m:r>
          <w:rPr>
            <w:rFonts w:ascii="Cambria Math" w:hAnsi="Cambria Math" w:hint="eastAsia"/>
          </w:rPr>
          <m:t xml:space="preserve"> N</m:t>
        </m:r>
      </m:oMath>
      <w:r>
        <w:rPr>
          <w:rFonts w:hint="eastAsia"/>
          <w:iCs/>
        </w:rPr>
        <w:t>指SNPs的总数</w:t>
      </w:r>
      <w:r>
        <w:rPr>
          <w:iCs/>
        </w:rPr>
        <w:t>.</w:t>
      </w:r>
      <w:r>
        <w:rPr>
          <w:rFonts w:hint="eastAsia"/>
          <w:iCs/>
        </w:rPr>
        <w:t>在方程式</w:t>
      </w:r>
      <m:oMath>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2</m:t>
            </m:r>
          </m:e>
        </m:d>
      </m:oMath>
      <w:r>
        <w:rPr>
          <w:rFonts w:hint="eastAsia"/>
          <w:iCs/>
        </w:rPr>
        <w:t>中用</w:t>
      </w:r>
      <m:oMath>
        <m:r>
          <w:rPr>
            <w:rFonts w:ascii="Cambria Math" w:hAnsi="Cambria Math" w:hint="eastAsia"/>
          </w:rPr>
          <m:t>q</m:t>
        </m:r>
      </m:oMath>
      <w:r>
        <w:rPr>
          <w:rFonts w:hint="eastAsia"/>
          <w:iCs/>
        </w:rPr>
        <w:t>代替</w:t>
      </w:r>
      <m:oMath>
        <m:r>
          <w:rPr>
            <w:rFonts w:ascii="Cambria Math" w:hAnsi="Cambria Math" w:hint="eastAsia"/>
          </w:rPr>
          <m:t>F</m:t>
        </m:r>
      </m:oMath>
      <w:r>
        <w:rPr>
          <w:rFonts w:hint="eastAsia"/>
          <w:iCs/>
        </w:rPr>
        <w:t>,以及用1代替</w:t>
      </w:r>
      <m:oMath>
        <m:sSub>
          <m:sSubPr>
            <m:ctrlPr>
              <w:rPr>
                <w:rFonts w:ascii="Cambria Math" w:hAnsi="Cambria Math"/>
                <w:i/>
              </w:rPr>
            </m:ctrlPr>
          </m:sSubPr>
          <m:e>
            <m:r>
              <w:rPr>
                <w:rFonts w:ascii="Cambria Math" w:hAnsi="Cambria Math"/>
              </w:rPr>
              <m:t>π</m:t>
            </m:r>
          </m:e>
          <m:sub>
            <m:r>
              <w:rPr>
                <w:rFonts w:ascii="Cambria Math" w:hAnsi="Cambria Math"/>
              </w:rPr>
              <m:t>0</m:t>
            </m:r>
          </m:sub>
        </m:sSub>
      </m:oMath>
      <w:r>
        <w:rPr>
          <w:rFonts w:hint="eastAsia"/>
        </w:rPr>
        <w:t>,我们得到</w:t>
      </w:r>
    </w:p>
    <w:p w:rsidR="00F011E5" w:rsidRDefault="00F011E5">
      <w:pPr>
        <w:rPr>
          <w:iCs/>
        </w:rPr>
      </w:pPr>
    </w:p>
    <w:p w:rsidR="00F011E5" w:rsidRPr="00624394" w:rsidRDefault="00E06F9D" w:rsidP="00210200">
      <w:pPr>
        <w:rPr>
          <w:iCs/>
        </w:rPr>
      </w:pPr>
      <m:oMathPara>
        <m:oMath>
          <m:eqArr>
            <m:eqArrPr>
              <m:maxDist m:val="1"/>
              <m:ctrlPr>
                <w:rPr>
                  <w:rFonts w:ascii="Cambria Math" w:hAnsi="Cambria Math"/>
                  <w:i/>
                  <w:iCs/>
                </w:rPr>
              </m:ctrlPr>
            </m:eqArrPr>
            <m:e>
              <m:r>
                <w:rPr>
                  <w:rFonts w:ascii="Cambria Math" w:hAnsi="Cambria Math" w:hint="eastAsia"/>
                </w:rPr>
                <m:t>FDR</m:t>
              </m:r>
              <m:d>
                <m:dPr>
                  <m:ctrlPr>
                    <w:rPr>
                      <w:rFonts w:ascii="Cambria Math" w:hAnsi="Cambria Math"/>
                      <w:i/>
                    </w:rPr>
                  </m:ctrlPr>
                </m:dPr>
                <m:e>
                  <m:r>
                    <w:rPr>
                      <w:rFonts w:ascii="Cambria Math" w:hAnsi="Cambria Math" w:hint="eastAsia"/>
                    </w:rPr>
                    <m:t>p</m:t>
                  </m:r>
                </m:e>
              </m:d>
              <m:r>
                <w:rPr>
                  <w:rFonts w:ascii="Cambria Math" w:hAnsi="Cambria Math"/>
                </w:rPr>
                <m:t>≈</m:t>
              </m:r>
              <m:f>
                <m:fPr>
                  <m:type m:val="lin"/>
                  <m:ctrlPr>
                    <w:rPr>
                      <w:rFonts w:ascii="Cambria Math" w:hAnsi="Cambria Math"/>
                      <w:i/>
                      <w:iCs/>
                    </w:rPr>
                  </m:ctrlPr>
                </m:fPr>
                <m:num>
                  <m:r>
                    <w:rPr>
                      <w:rFonts w:ascii="Cambria Math" w:hAnsi="Cambria Math" w:hint="eastAsia"/>
                    </w:rPr>
                    <m:t>p</m:t>
                  </m:r>
                </m:num>
                <m:den>
                  <w:bookmarkStart w:id="1" w:name="_Hlk516391280"/>
                  <m:r>
                    <w:rPr>
                      <w:rFonts w:ascii="Cambria Math" w:hAnsi="Cambria Math" w:hint="eastAsia"/>
                    </w:rPr>
                    <m:t>q</m:t>
                  </m:r>
                  <w:bookmarkEnd w:id="1"/>
                </m:den>
              </m:f>
              <m:r>
                <w:rPr>
                  <w:rFonts w:ascii="Cambria Math" w:hAnsi="Cambria Math" w:hint="eastAsia"/>
                </w:rPr>
                <m:t>,</m:t>
              </m:r>
              <m:r>
                <w:rPr>
                  <w:rFonts w:ascii="Cambria Math" w:hAnsi="Cambria Math"/>
                </w:rPr>
                <m:t>#</m:t>
              </m:r>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3</m:t>
                  </m:r>
                </m:e>
              </m:d>
              <m:ctrlPr>
                <w:rPr>
                  <w:rFonts w:ascii="Cambria Math" w:hAnsi="Cambria Math"/>
                  <w:i/>
                </w:rPr>
              </m:ctrlPr>
            </m:e>
          </m:eqArr>
        </m:oMath>
      </m:oMathPara>
    </w:p>
    <w:p w:rsidR="00F011E5" w:rsidRDefault="00F011E5">
      <w:r>
        <w:rPr>
          <w:rFonts w:hint="eastAsia"/>
        </w:rPr>
        <w:t>这个公式是对公式</w:t>
      </w:r>
      <m:oMath>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2</m:t>
            </m:r>
          </m:e>
        </m:d>
      </m:oMath>
      <w:r>
        <w:rPr>
          <w:rFonts w:hint="eastAsia"/>
          <w:iCs/>
        </w:rPr>
        <w:t>的向上偏倚估计.如果</w:t>
      </w:r>
      <m:oMath>
        <m:sSub>
          <m:sSubPr>
            <m:ctrlPr>
              <w:rPr>
                <w:rFonts w:ascii="Cambria Math" w:hAnsi="Cambria Math"/>
                <w:i/>
              </w:rPr>
            </m:ctrlPr>
          </m:sSubPr>
          <m:e>
            <m:r>
              <w:rPr>
                <w:rFonts w:ascii="Cambria Math" w:hAnsi="Cambria Math"/>
              </w:rPr>
              <m:t>π</m:t>
            </m:r>
          </m:e>
          <m:sub>
            <m:r>
              <w:rPr>
                <w:rFonts w:ascii="Cambria Math" w:hAnsi="Cambria Math"/>
              </w:rPr>
              <m:t>0</m:t>
            </m:r>
          </m:sub>
        </m:sSub>
      </m:oMath>
      <w:r>
        <w:rPr>
          <w:rFonts w:hint="eastAsia"/>
        </w:rPr>
        <w:t>接近于1(对于大部分GWAS分析很有可能是正确的),</w:t>
      </w:r>
      <m:oMath>
        <m:r>
          <w:rPr>
            <w:rFonts w:ascii="Cambria Math" w:hAnsi="Cambria Math" w:hint="eastAsia"/>
          </w:rPr>
          <m:t xml:space="preserve"> FDR</m:t>
        </m:r>
        <m:d>
          <m:dPr>
            <m:ctrlPr>
              <w:rPr>
                <w:rFonts w:ascii="Cambria Math" w:hAnsi="Cambria Math"/>
                <w:i/>
              </w:rPr>
            </m:ctrlPr>
          </m:dPr>
          <m:e>
            <m:r>
              <w:rPr>
                <w:rFonts w:ascii="Cambria Math" w:hAnsi="Cambria Math" w:hint="eastAsia"/>
              </w:rPr>
              <m:t>p</m:t>
            </m:r>
          </m:e>
        </m:d>
        <m:r>
          <w:rPr>
            <w:rFonts w:ascii="Cambria Math" w:hAnsi="Cambria Math"/>
          </w:rPr>
          <m:t>≈</m:t>
        </m:r>
        <m:f>
          <m:fPr>
            <m:type m:val="lin"/>
            <m:ctrlPr>
              <w:rPr>
                <w:rFonts w:ascii="Cambria Math" w:hAnsi="Cambria Math"/>
                <w:i/>
                <w:iCs/>
              </w:rPr>
            </m:ctrlPr>
          </m:fPr>
          <m:num>
            <m:r>
              <w:rPr>
                <w:rFonts w:ascii="Cambria Math" w:hAnsi="Cambria Math" w:hint="eastAsia"/>
              </w:rPr>
              <m:t>p</m:t>
            </m:r>
          </m:num>
          <m:den>
            <m:r>
              <w:rPr>
                <w:rFonts w:ascii="Cambria Math" w:hAnsi="Cambria Math" w:hint="eastAsia"/>
              </w:rPr>
              <m:t>q</m:t>
            </m:r>
          </m:den>
        </m:f>
      </m:oMath>
      <w:r>
        <w:rPr>
          <w:rFonts w:hint="eastAsia"/>
          <w:iCs/>
        </w:rPr>
        <w:t>是合理的保守估计.关于Q-Q图的公式化,即公式</w:t>
      </w:r>
      <m:oMath>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Cambria Math" w:hAnsi="Cambria Math"/>
              </w:rPr>
              <m:t>3</m:t>
            </m:r>
          </m:e>
        </m:d>
      </m:oMath>
      <w:r>
        <w:rPr>
          <w:rFonts w:hint="eastAsia"/>
          <w:iCs/>
        </w:rPr>
        <w:t>,它等于理论P值除以经验分位数.对于</w:t>
      </w:r>
      <w:r>
        <w:rPr>
          <w:iCs/>
        </w:rPr>
        <w:t>Q-Q</w:t>
      </w:r>
      <w:r>
        <w:rPr>
          <w:rFonts w:hint="eastAsia"/>
          <w:iCs/>
        </w:rPr>
        <w:t>图的构建,我们很容易得到:</w:t>
      </w:r>
    </w:p>
    <w:p w:rsidR="00F011E5" w:rsidRPr="000000FB" w:rsidRDefault="00E06F9D">
      <m:oMathPara>
        <m:oMath>
          <m:eqArr>
            <m:eqArrPr>
              <m:maxDist m:val="1"/>
              <m:ctrlPr>
                <w:rPr>
                  <w:rFonts w:ascii="Cambria Math" w:hAnsi="Cambria Math"/>
                  <w:i/>
                </w:rPr>
              </m:ctrlPr>
            </m:eqArrPr>
            <m:e>
              <m:r>
                <w:rPr>
                  <w:rFonts w:ascii="Latin Modern Math" w:hAnsi="Latin Modern Math"/>
                </w:rPr>
                <m:t>-</m:t>
              </m:r>
              <m:r>
                <w:rPr>
                  <w:rFonts w:ascii="Cambria Math" w:hAnsi="Cambria Math" w:hint="eastAsia"/>
                </w:rPr>
                <m:t>log</m:t>
              </m:r>
              <m:r>
                <w:rPr>
                  <w:rFonts w:ascii="Cambria Math" w:hAnsi="Cambria Math"/>
                </w:rPr>
                <m:t>10</m:t>
              </m:r>
              <m:d>
                <m:dPr>
                  <m:ctrlPr>
                    <w:rPr>
                      <w:rFonts w:ascii="Cambria Math" w:hAnsi="Cambria Math"/>
                      <w:i/>
                    </w:rPr>
                  </m:ctrlPr>
                </m:dPr>
                <m:e>
                  <m:r>
                    <w:rPr>
                      <w:rFonts w:ascii="Cambria Math" w:hAnsi="Cambria Math" w:hint="eastAsia"/>
                    </w:rPr>
                    <m:t>FDR</m:t>
                  </m:r>
                  <m:d>
                    <m:dPr>
                      <m:ctrlPr>
                        <w:rPr>
                          <w:rFonts w:ascii="Cambria Math" w:hAnsi="Cambria Math"/>
                          <w:i/>
                        </w:rPr>
                      </m:ctrlPr>
                    </m:dPr>
                    <m:e>
                      <m:r>
                        <w:rPr>
                          <w:rFonts w:ascii="Cambria Math" w:hAnsi="Cambria Math"/>
                        </w:rPr>
                        <m:t>p</m:t>
                      </m:r>
                    </m:e>
                  </m:d>
                </m:e>
              </m:d>
              <m:r>
                <w:rPr>
                  <w:rFonts w:ascii="Cambria Math" w:hAnsi="Cambria Math"/>
                </w:rPr>
                <m:t>≈log10</m:t>
              </m:r>
              <m:d>
                <m:dPr>
                  <m:ctrlPr>
                    <w:rPr>
                      <w:rFonts w:ascii="Cambria Math" w:hAnsi="Cambria Math"/>
                      <w:i/>
                      <w:iCs/>
                    </w:rPr>
                  </m:ctrlPr>
                </m:dPr>
                <m:e>
                  <m:r>
                    <w:rPr>
                      <w:rFonts w:ascii="Cambria Math" w:hAnsi="Cambria Math"/>
                    </w:rPr>
                    <m:t>q</m:t>
                  </m:r>
                </m:e>
              </m:d>
              <m:r>
                <w:rPr>
                  <w:rFonts w:ascii="Cambria Math" w:hAnsi="Cambria Math"/>
                </w:rPr>
                <m:t>-log10</m:t>
              </m:r>
              <m:d>
                <m:dPr>
                  <m:ctrlPr>
                    <w:rPr>
                      <w:rFonts w:ascii="Cambria Math" w:hAnsi="Cambria Math"/>
                      <w:i/>
                      <w:iCs/>
                    </w:rPr>
                  </m:ctrlPr>
                </m:dPr>
                <m:e>
                  <m:r>
                    <w:rPr>
                      <w:rFonts w:ascii="Cambria Math" w:hAnsi="Cambria Math"/>
                    </w:rPr>
                    <m:t>p</m:t>
                  </m:r>
                </m:e>
              </m:d>
              <m:r>
                <w:rPr>
                  <w:rFonts w:ascii="Cambria Math" w:hAnsi="Cambria Math" w:hint="eastAsia"/>
                </w:rPr>
                <m:t>,</m:t>
              </m:r>
              <m:r>
                <w:rPr>
                  <w:rFonts w:ascii="Latin Modern Math" w:hAnsi="Latin Modern Math"/>
                </w:rPr>
                <m:t>#</m:t>
              </m:r>
              <m:d>
                <m:dPr>
                  <m:ctrlPr>
                    <w:rPr>
                      <w:rFonts w:ascii="Cambria Math" w:hAnsi="Cambria Math"/>
                      <w:i/>
                      <w:iCs/>
                    </w:rPr>
                  </m:ctrlPr>
                </m:dPr>
                <m:e>
                  <m:r>
                    <w:rPr>
                      <w:rFonts w:ascii="Cambria Math" w:hAnsi="Cambria Math"/>
                    </w:rPr>
                    <m:t>2</m:t>
                  </m:r>
                  <m:r>
                    <w:rPr>
                      <w:rFonts w:ascii="微软雅黑" w:eastAsia="微软雅黑" w:hAnsi="微软雅黑" w:cs="微软雅黑" w:hint="eastAsia"/>
                    </w:rPr>
                    <m:t>-</m:t>
                  </m:r>
                  <m:r>
                    <w:rPr>
                      <w:rFonts w:ascii="Latin Modern Math" w:eastAsia="微软雅黑" w:hAnsi="微软雅黑" w:cs="微软雅黑"/>
                    </w:rPr>
                    <m:t>4</m:t>
                  </m:r>
                </m:e>
              </m:d>
              <m:ctrlPr>
                <w:rPr>
                  <w:rFonts w:ascii="Latin Modern Math" w:hAnsi="Latin Modern Math"/>
                  <w:i/>
                </w:rPr>
              </m:ctrlPr>
            </m:e>
          </m:eqArr>
        </m:oMath>
      </m:oMathPara>
    </w:p>
    <w:p w:rsidR="00F011E5" w:rsidRDefault="00F011E5" w:rsidP="000000FB">
      <w:r>
        <w:rPr>
          <w:rFonts w:hint="eastAsia"/>
        </w:rPr>
        <w:t>证明保守估计的</w:t>
      </w:r>
      <w:r>
        <w:t>FDR</w:t>
      </w:r>
      <w:r>
        <w:rPr>
          <w:rFonts w:hint="eastAsia"/>
        </w:rPr>
        <w:t>与条件</w:t>
      </w:r>
      <w:r>
        <w:t>Q-Q</w:t>
      </w:r>
      <w:r>
        <w:rPr>
          <w:rFonts w:hint="eastAsia"/>
        </w:rPr>
        <w:t>图曲线水平偏倚直接有关，基线为</w:t>
      </w:r>
      <w:r>
        <w:t>x=y</w:t>
      </w:r>
      <w:r>
        <w:rPr>
          <w:rFonts w:hint="eastAsia"/>
        </w:rPr>
        <w:t>，在基线的基础上一个较大的偏移对应一个较小的</w:t>
      </w:r>
      <w:r>
        <w:t>FDR.</w:t>
      </w:r>
    </w:p>
    <w:p w:rsidR="00F011E5" w:rsidRDefault="00F011E5" w:rsidP="001C741B">
      <w:r>
        <w:rPr>
          <w:rFonts w:hint="eastAsia"/>
        </w:rPr>
        <w:t>联合条件FDR</w:t>
      </w:r>
      <w:r>
        <w:t xml:space="preserve">(conjunctional conditional false discovery rate, </w:t>
      </w:r>
      <w:proofErr w:type="spellStart"/>
      <w:r>
        <w:t>ccFDR</w:t>
      </w:r>
      <w:proofErr w:type="spellEnd"/>
      <w:r>
        <w:t>)</w:t>
      </w:r>
      <w:r>
        <w:rPr>
          <w:rFonts w:hint="eastAsia"/>
        </w:rPr>
        <w:t>值的计算:c</w:t>
      </w:r>
      <w:r>
        <w:t>FDR</w:t>
      </w:r>
      <w:r>
        <w:rPr>
          <w:vertAlign w:val="subscript"/>
        </w:rPr>
        <w:t>T2</w:t>
      </w:r>
      <w:r>
        <w:rPr>
          <w:rFonts w:hint="eastAsia"/>
          <w:vertAlign w:val="subscript"/>
        </w:rPr>
        <w:t>D</w:t>
      </w:r>
      <w:r>
        <w:rPr>
          <w:vertAlign w:val="subscript"/>
        </w:rPr>
        <w:t>|</w:t>
      </w:r>
      <w:r w:rsidR="00611FDA">
        <w:rPr>
          <w:rFonts w:hint="eastAsia"/>
          <w:vertAlign w:val="subscript"/>
        </w:rPr>
        <w:t>O</w:t>
      </w:r>
      <w:r w:rsidR="00611FDA">
        <w:rPr>
          <w:vertAlign w:val="subscript"/>
        </w:rPr>
        <w:t>B</w:t>
      </w:r>
      <w:r>
        <w:rPr>
          <w:rFonts w:hint="eastAsia"/>
        </w:rPr>
        <w:t>是以AD为条件计算出的</w:t>
      </w:r>
      <w:proofErr w:type="spellStart"/>
      <w:r>
        <w:rPr>
          <w:rFonts w:hint="eastAsia"/>
        </w:rPr>
        <w:t>cFDR</w:t>
      </w:r>
      <w:proofErr w:type="spellEnd"/>
      <w:r>
        <w:rPr>
          <w:rFonts w:hint="eastAsia"/>
        </w:rPr>
        <w:t>值,而cFDR</w:t>
      </w:r>
      <w:r w:rsidR="00611FDA">
        <w:rPr>
          <w:vertAlign w:val="subscript"/>
        </w:rPr>
        <w:t>OB</w:t>
      </w:r>
      <w:r>
        <w:rPr>
          <w:vertAlign w:val="subscript"/>
        </w:rPr>
        <w:t>|T2</w:t>
      </w:r>
      <w:r>
        <w:rPr>
          <w:rFonts w:hint="eastAsia"/>
          <w:vertAlign w:val="subscript"/>
        </w:rPr>
        <w:t>D</w:t>
      </w:r>
      <w:r>
        <w:rPr>
          <w:rFonts w:hint="eastAsia"/>
        </w:rPr>
        <w:t>是以T2D为条件计算出的</w:t>
      </w:r>
      <w:proofErr w:type="spellStart"/>
      <w:r>
        <w:rPr>
          <w:rFonts w:hint="eastAsia"/>
        </w:rPr>
        <w:t>cFDR</w:t>
      </w:r>
      <w:proofErr w:type="spellEnd"/>
      <w:r>
        <w:rPr>
          <w:rFonts w:hint="eastAsia"/>
        </w:rPr>
        <w:t>值.</w:t>
      </w:r>
    </w:p>
    <w:p w:rsidR="00F011E5" w:rsidRDefault="00F011E5" w:rsidP="001C741B"/>
    <w:p w:rsidR="00F011E5" w:rsidRPr="00504ABD" w:rsidRDefault="00F011E5" w:rsidP="00504ABD">
      <w:pPr>
        <w:pStyle w:val="EndNoteBibliography"/>
        <w:ind w:left="720" w:hanging="720"/>
      </w:pPr>
      <w:r w:rsidRPr="00504ABD">
        <w:t>1.</w:t>
      </w:r>
      <w:r w:rsidRPr="00504ABD">
        <w:tab/>
        <w:t>Lambert JC, Ibrahim-Verbaas CA, Harold D, Naj AC, Sims R, Bellenguez C, DeStafano AL, Bis JC, Beecham GW, Grenier-Boley B</w:t>
      </w:r>
      <w:r w:rsidRPr="00504ABD">
        <w:rPr>
          <w:i/>
        </w:rPr>
        <w:t xml:space="preserve"> et al</w:t>
      </w:r>
      <w:r w:rsidRPr="00504ABD">
        <w:t xml:space="preserve">: </w:t>
      </w:r>
      <w:r w:rsidRPr="00504ABD">
        <w:rPr>
          <w:b/>
        </w:rPr>
        <w:t>Meta-analysis of 74,046 individuals identifies 11 new susceptibility loci for Alzheimer's disease</w:t>
      </w:r>
      <w:r w:rsidRPr="00504ABD">
        <w:t xml:space="preserve">. </w:t>
      </w:r>
      <w:r w:rsidRPr="00504ABD">
        <w:rPr>
          <w:i/>
        </w:rPr>
        <w:t xml:space="preserve">Nature genetics </w:t>
      </w:r>
      <w:r w:rsidRPr="00504ABD">
        <w:t xml:space="preserve">2013, </w:t>
      </w:r>
      <w:r w:rsidRPr="00504ABD">
        <w:rPr>
          <w:b/>
        </w:rPr>
        <w:t>45</w:t>
      </w:r>
      <w:r w:rsidRPr="00504ABD">
        <w:t>(12):1452-1458.</w:t>
      </w:r>
    </w:p>
    <w:p w:rsidR="00F011E5" w:rsidRPr="00504ABD" w:rsidRDefault="00F011E5" w:rsidP="00504ABD">
      <w:pPr>
        <w:pStyle w:val="EndNoteBibliography"/>
        <w:ind w:left="720" w:hanging="720"/>
      </w:pPr>
      <w:r w:rsidRPr="00504ABD">
        <w:t>2.</w:t>
      </w:r>
      <w:r w:rsidRPr="00504ABD">
        <w:tab/>
        <w:t xml:space="preserve">Mehta NN: </w:t>
      </w:r>
      <w:r w:rsidRPr="00504ABD">
        <w:rPr>
          <w:b/>
        </w:rPr>
        <w:t>Large-scale association analysis provides insights into the genetic architecture and pathophysiology of type 2 diabetes mellitus</w:t>
      </w:r>
      <w:r w:rsidRPr="00504ABD">
        <w:t xml:space="preserve">. </w:t>
      </w:r>
      <w:r w:rsidRPr="00504ABD">
        <w:rPr>
          <w:i/>
        </w:rPr>
        <w:t xml:space="preserve">Circulation Cardiovascular genetics </w:t>
      </w:r>
      <w:r w:rsidRPr="00504ABD">
        <w:t xml:space="preserve">2012, </w:t>
      </w:r>
      <w:r w:rsidRPr="00504ABD">
        <w:rPr>
          <w:b/>
        </w:rPr>
        <w:t>5</w:t>
      </w:r>
      <w:r w:rsidRPr="00504ABD">
        <w:t>(6):708-710.</w:t>
      </w:r>
    </w:p>
    <w:p w:rsidR="00F011E5" w:rsidRPr="00624394" w:rsidRDefault="00F011E5" w:rsidP="001C741B"/>
    <w:p w:rsidR="00FA139D" w:rsidRDefault="00E06F9D"/>
    <w:sectPr w:rsidR="00FA13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Latin Modern Math">
    <w:panose1 w:val="02000503000000000000"/>
    <w:charset w:val="00"/>
    <w:family w:val="modern"/>
    <w:notTrueType/>
    <w:pitch w:val="variable"/>
    <w:sig w:usb0="A00000EF" w:usb1="4201F9EE" w:usb2="02000000" w:usb3="00000000" w:csb0="00000093"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F011E5"/>
    <w:rsid w:val="000021AF"/>
    <w:rsid w:val="000C55DA"/>
    <w:rsid w:val="004364AC"/>
    <w:rsid w:val="00540D93"/>
    <w:rsid w:val="00543342"/>
    <w:rsid w:val="00611FDA"/>
    <w:rsid w:val="008D00C0"/>
    <w:rsid w:val="00E06F9D"/>
    <w:rsid w:val="00F01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B31BD"/>
  <w15:chartTrackingRefBased/>
  <w15:docId w15:val="{F40D9A07-C97B-4612-81A0-CD5CC8B8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011E5"/>
    <w:pPr>
      <w:widowControl w:val="0"/>
      <w:jc w:val="both"/>
    </w:pPr>
  </w:style>
  <w:style w:type="paragraph" w:styleId="2">
    <w:name w:val="heading 2"/>
    <w:basedOn w:val="a"/>
    <w:next w:val="a"/>
    <w:link w:val="20"/>
    <w:uiPriority w:val="9"/>
    <w:unhideWhenUsed/>
    <w:qFormat/>
    <w:rsid w:val="00611FD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11FDA"/>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611FDA"/>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611FDA"/>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011E5"/>
    <w:rPr>
      <w:color w:val="808080"/>
    </w:rPr>
  </w:style>
  <w:style w:type="paragraph" w:customStyle="1" w:styleId="EndNoteBibliographyTitle">
    <w:name w:val="EndNote Bibliography Title"/>
    <w:basedOn w:val="a"/>
    <w:link w:val="EndNoteBibliographyTitle0"/>
    <w:rsid w:val="00F011E5"/>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F011E5"/>
    <w:rPr>
      <w:rFonts w:ascii="等线" w:eastAsia="等线" w:hAnsi="等线"/>
      <w:noProof/>
      <w:sz w:val="20"/>
    </w:rPr>
  </w:style>
  <w:style w:type="paragraph" w:customStyle="1" w:styleId="EndNoteBibliography">
    <w:name w:val="EndNote Bibliography"/>
    <w:basedOn w:val="a"/>
    <w:link w:val="EndNoteBibliography0"/>
    <w:rsid w:val="00F011E5"/>
    <w:rPr>
      <w:rFonts w:ascii="等线" w:eastAsia="等线" w:hAnsi="等线"/>
      <w:noProof/>
      <w:sz w:val="20"/>
    </w:rPr>
  </w:style>
  <w:style w:type="character" w:customStyle="1" w:styleId="EndNoteBibliography0">
    <w:name w:val="EndNote Bibliography 字符"/>
    <w:basedOn w:val="a0"/>
    <w:link w:val="EndNoteBibliography"/>
    <w:rsid w:val="00F011E5"/>
    <w:rPr>
      <w:rFonts w:ascii="等线" w:eastAsia="等线" w:hAnsi="等线"/>
      <w:noProof/>
      <w:sz w:val="20"/>
    </w:rPr>
  </w:style>
  <w:style w:type="character" w:customStyle="1" w:styleId="20">
    <w:name w:val="标题 2 字符"/>
    <w:basedOn w:val="a0"/>
    <w:link w:val="2"/>
    <w:uiPriority w:val="9"/>
    <w:rsid w:val="00611FDA"/>
    <w:rPr>
      <w:rFonts w:asciiTheme="majorHAnsi" w:eastAsiaTheme="majorEastAsia" w:hAnsiTheme="majorHAnsi" w:cstheme="majorBidi"/>
      <w:b/>
      <w:bCs/>
      <w:sz w:val="32"/>
      <w:szCs w:val="32"/>
    </w:rPr>
  </w:style>
  <w:style w:type="character" w:customStyle="1" w:styleId="30">
    <w:name w:val="标题 3 字符"/>
    <w:basedOn w:val="a0"/>
    <w:link w:val="3"/>
    <w:uiPriority w:val="9"/>
    <w:rsid w:val="00611FDA"/>
    <w:rPr>
      <w:b/>
      <w:bCs/>
      <w:sz w:val="32"/>
      <w:szCs w:val="32"/>
    </w:rPr>
  </w:style>
  <w:style w:type="character" w:customStyle="1" w:styleId="40">
    <w:name w:val="标题 4 字符"/>
    <w:basedOn w:val="a0"/>
    <w:link w:val="4"/>
    <w:uiPriority w:val="9"/>
    <w:rsid w:val="00611FDA"/>
    <w:rPr>
      <w:rFonts w:asciiTheme="majorHAnsi" w:eastAsiaTheme="majorEastAsia" w:hAnsiTheme="majorHAnsi" w:cstheme="majorBidi"/>
      <w:b/>
      <w:bCs/>
      <w:sz w:val="28"/>
      <w:szCs w:val="28"/>
    </w:rPr>
  </w:style>
  <w:style w:type="character" w:customStyle="1" w:styleId="50">
    <w:name w:val="标题 5 字符"/>
    <w:basedOn w:val="a0"/>
    <w:link w:val="5"/>
    <w:uiPriority w:val="9"/>
    <w:rsid w:val="00611FDA"/>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哲</dc:creator>
  <cp:keywords/>
  <dc:description/>
  <cp:lastModifiedBy>王 哲</cp:lastModifiedBy>
  <cp:revision>3</cp:revision>
  <dcterms:created xsi:type="dcterms:W3CDTF">2018-06-11T12:32:00Z</dcterms:created>
  <dcterms:modified xsi:type="dcterms:W3CDTF">2018-06-11T13:24:00Z</dcterms:modified>
</cp:coreProperties>
</file>