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DB6E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Al-Ameen Digital: Data Privacy and Customer Consent Policy</w:t>
      </w:r>
    </w:p>
    <w:p w14:paraId="4364B24C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 Owner:</w:t>
      </w:r>
      <w:r w:rsidRPr="00DA4E1C">
        <w:rPr>
          <w:rFonts w:ascii="Times New Roman" w:eastAsia="Times New Roman" w:hAnsi="Times New Roman" w:cs="Times New Roman"/>
          <w:kern w:val="0"/>
          <w14:ligatures w14:val="none"/>
        </w:rPr>
        <w:t xml:space="preserve"> Head of Technology </w:t>
      </w:r>
      <w:r w:rsidRPr="00DA4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Revised:</w:t>
      </w:r>
      <w:r w:rsidRPr="00DA4E1C">
        <w:rPr>
          <w:rFonts w:ascii="Times New Roman" w:eastAsia="Times New Roman" w:hAnsi="Times New Roman" w:cs="Times New Roman"/>
          <w:kern w:val="0"/>
          <w14:ligatures w14:val="none"/>
        </w:rPr>
        <w:t xml:space="preserve"> 2025-09-01</w:t>
      </w:r>
    </w:p>
    <w:p w14:paraId="0918F551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Scope and Definitions</w:t>
      </w:r>
    </w:p>
    <w:p w14:paraId="1D87D788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kern w:val="0"/>
          <w14:ligatures w14:val="none"/>
        </w:rPr>
        <w:t>This policy applies to all Personal Identifiable Information (PII) collected from customers residing in the State of Qatar.</w:t>
      </w:r>
    </w:p>
    <w:p w14:paraId="7F642B3C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 Collection and Usage</w:t>
      </w:r>
    </w:p>
    <w:p w14:paraId="40DB8ACB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kern w:val="0"/>
          <w14:ligatures w14:val="none"/>
        </w:rPr>
        <w:t xml:space="preserve">We collect PII necessary for credit scoring, identity verification (KYC), and service provision. </w:t>
      </w:r>
      <w:r w:rsidRPr="00DA4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PII collected includes full name, national ID number, and contact details.</w:t>
      </w:r>
    </w:p>
    <w:p w14:paraId="41685A19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Customer Consent</w:t>
      </w:r>
    </w:p>
    <w:p w14:paraId="5B554E71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kern w:val="0"/>
          <w14:ligatures w14:val="none"/>
        </w:rPr>
        <w:t>We obtain explicit consent for two key purposes: a) To process PII for the core P2P lending service. b) To share anonymized transaction data with our external analytics partner, 'DataMetrics Ltd.', to refine our credit risk model. This sharing requires a separate check-box consent during onboarding.</w:t>
      </w:r>
    </w:p>
    <w:p w14:paraId="72AF2B53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Storage and Disposal</w:t>
      </w:r>
    </w:p>
    <w:p w14:paraId="451E0D08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Location:</w:t>
      </w:r>
      <w:r w:rsidRPr="00DA4E1C">
        <w:rPr>
          <w:rFonts w:ascii="Times New Roman" w:eastAsia="Times New Roman" w:hAnsi="Times New Roman" w:cs="Times New Roman"/>
          <w:kern w:val="0"/>
          <w14:ligatures w14:val="none"/>
        </w:rPr>
        <w:t xml:space="preserve"> All customer data is currently processed and stored within our secure cloud environment, hosted across the AWS regions in </w:t>
      </w:r>
      <w:r w:rsidRPr="00DA4E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Ireland and Singapore</w:t>
      </w:r>
      <w:r w:rsidRPr="00DA4E1C">
        <w:rPr>
          <w:rFonts w:ascii="Times New Roman" w:eastAsia="Times New Roman" w:hAnsi="Times New Roman" w:cs="Times New Roman"/>
          <w:kern w:val="0"/>
          <w14:ligatures w14:val="none"/>
        </w:rPr>
        <w:t>. This provides excellent geographic redundancy. 3.2 Access: Access to raw PII is restricted via multi-factor authentication and only granted to the Head of Technology and two designated Data Analysts. 3.3 Retention: Data is retained for 7 years after the termination of the customer relationship.</w:t>
      </w:r>
    </w:p>
    <w:p w14:paraId="2CE6CBBE" w14:textId="77777777" w:rsidR="00DA4E1C" w:rsidRPr="00DA4E1C" w:rsidRDefault="00DA4E1C" w:rsidP="00DA4E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A4E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Third-Party Data Sharing</w:t>
      </w:r>
    </w:p>
    <w:p w14:paraId="2D22F7B7" w14:textId="77777777" w:rsidR="00DA4E1C" w:rsidRPr="00DA4E1C" w:rsidRDefault="00DA4E1C" w:rsidP="00DA4E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A4E1C">
        <w:rPr>
          <w:rFonts w:ascii="Times New Roman" w:eastAsia="Times New Roman" w:hAnsi="Times New Roman" w:cs="Times New Roman"/>
          <w:kern w:val="0"/>
          <w14:ligatures w14:val="none"/>
        </w:rPr>
        <w:t>We share data only with service providers strictly necessary for our operation, such as the KYC provider 'ID-Verify Pro' and the payment processor 'SwiftPay Global'. Customers are notified of these third parties in our service agreement.</w:t>
      </w:r>
    </w:p>
    <w:p w14:paraId="2A75C6B5" w14:textId="77777777" w:rsidR="00DA4E1C" w:rsidRDefault="00DA4E1C"/>
    <w:sectPr w:rsidR="00DA4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C"/>
    <w:rsid w:val="00A066E8"/>
    <w:rsid w:val="00DA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341CF"/>
  <w15:chartTrackingRefBased/>
  <w15:docId w15:val="{47A83B33-F6C3-224F-B93E-7C90A20C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E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1</cp:revision>
  <dcterms:created xsi:type="dcterms:W3CDTF">2025-10-22T06:27:00Z</dcterms:created>
  <dcterms:modified xsi:type="dcterms:W3CDTF">2025-10-22T06:27:00Z</dcterms:modified>
</cp:coreProperties>
</file>