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6993" w14:textId="77777777" w:rsidR="002719F8" w:rsidRPr="002719F8" w:rsidRDefault="002719F8" w:rsidP="00271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2719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Al-Ameen Digital, LLC: Articles of Association (Excerpt)</w:t>
      </w:r>
    </w:p>
    <w:p w14:paraId="7B950CC2" w14:textId="77777777" w:rsidR="002719F8" w:rsidRPr="002719F8" w:rsidRDefault="002719F8" w:rsidP="0027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of Incorporation: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2025-07-01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Jurisdiction: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State of Qatar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Entity Type: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Limited Liability Company (LLC)</w:t>
      </w:r>
    </w:p>
    <w:p w14:paraId="201775F3" w14:textId="77777777" w:rsidR="002719F8" w:rsidRPr="002719F8" w:rsidRDefault="002719F8" w:rsidP="00271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1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Capital and Shares</w:t>
      </w:r>
    </w:p>
    <w:p w14:paraId="479A0370" w14:textId="77777777" w:rsidR="002719F8" w:rsidRDefault="002719F8" w:rsidP="0027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1.1.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Authorized Capital: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The authorized share capital of the Company is QAR 8,000,000 (Eight Million Qatari Riyals). </w:t>
      </w:r>
    </w:p>
    <w:p w14:paraId="3F14AE57" w14:textId="5356E4F2" w:rsidR="002719F8" w:rsidRPr="002719F8" w:rsidRDefault="002719F8" w:rsidP="0027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1.2.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Paid-Up Capital: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The initial paid-up capital upon incorporation was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QAR 5,000,000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(Five Million Qatari Riyals).</w:t>
      </w:r>
    </w:p>
    <w:p w14:paraId="177108E3" w14:textId="77777777" w:rsidR="002719F8" w:rsidRPr="002719F8" w:rsidRDefault="002719F8" w:rsidP="00271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1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Management and Governance</w:t>
      </w:r>
    </w:p>
    <w:p w14:paraId="0217789C" w14:textId="77777777" w:rsidR="002719F8" w:rsidRDefault="002719F8" w:rsidP="0027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2.1.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 of Directors: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The Company shall be managed by a Board of Directors consisting of three (3) members. </w:t>
      </w:r>
    </w:p>
    <w:p w14:paraId="666EB8AA" w14:textId="7A82AC43" w:rsidR="002719F8" w:rsidRPr="002719F8" w:rsidRDefault="002719F8" w:rsidP="0027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2.2. </w:t>
      </w:r>
      <w:r w:rsidRPr="00271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Address:</w:t>
      </w:r>
      <w:r w:rsidRPr="002719F8">
        <w:rPr>
          <w:rFonts w:ascii="Times New Roman" w:eastAsia="Times New Roman" w:hAnsi="Times New Roman" w:cs="Times New Roman"/>
          <w:kern w:val="0"/>
          <w14:ligatures w14:val="none"/>
        </w:rPr>
        <w:t xml:space="preserve"> The principal place of business is located in Lusail, Qatar.</w:t>
      </w:r>
    </w:p>
    <w:p w14:paraId="40AF478C" w14:textId="77777777" w:rsidR="002719F8" w:rsidRPr="002719F8" w:rsidRDefault="002719F8" w:rsidP="00271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1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Business Activities (Primary)</w:t>
      </w:r>
    </w:p>
    <w:p w14:paraId="1F588E05" w14:textId="77777777" w:rsidR="002719F8" w:rsidRPr="002719F8" w:rsidRDefault="002719F8" w:rsidP="0027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9F8">
        <w:rPr>
          <w:rFonts w:ascii="Times New Roman" w:eastAsia="Times New Roman" w:hAnsi="Times New Roman" w:cs="Times New Roman"/>
          <w:kern w:val="0"/>
          <w14:ligatures w14:val="none"/>
        </w:rPr>
        <w:t>The primary permitted activities are: a) Development and operation of financial technology software. b) Management of digital payment systems. c) Facilitation of peer-to-peer financing services.</w:t>
      </w:r>
    </w:p>
    <w:p w14:paraId="2A75C6B5" w14:textId="77777777" w:rsidR="00DA4E1C" w:rsidRPr="009C5D61" w:rsidRDefault="00DA4E1C">
      <w:pPr>
        <w:rPr>
          <w:sz w:val="21"/>
          <w:szCs w:val="21"/>
        </w:rPr>
      </w:pPr>
    </w:p>
    <w:sectPr w:rsidR="00DA4E1C" w:rsidRPr="009C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C"/>
    <w:rsid w:val="002719F8"/>
    <w:rsid w:val="009C5D61"/>
    <w:rsid w:val="00A066E8"/>
    <w:rsid w:val="00D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341CF"/>
  <w15:chartTrackingRefBased/>
  <w15:docId w15:val="{47A83B33-F6C3-224F-B93E-7C90A20C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3ee17b-c8a7-475e-ae54-78f36d35a788}" enabled="1" method="Standard" siteId="{d79e793c-f6de-4204-8508-7980a63df9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Das</dc:creator>
  <cp:keywords/>
  <dc:description/>
  <cp:lastModifiedBy>Shree Das</cp:lastModifiedBy>
  <cp:revision>2</cp:revision>
  <dcterms:created xsi:type="dcterms:W3CDTF">2025-10-22T06:31:00Z</dcterms:created>
  <dcterms:modified xsi:type="dcterms:W3CDTF">2025-10-22T06:31:00Z</dcterms:modified>
</cp:coreProperties>
</file>