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left"/>
        <w:outlineLvl w:val="0"/>
      </w:pPr>
      <w:r>
        <w:rPr>
          <w:rFonts w:ascii="宋体" w:hAnsi="宋体" w:eastAsia="宋体"/>
          <w:b/>
          <w:i w:val="0"/>
          <w:color w:val="000000"/>
          <w:sz w:val="44"/>
          <w:u w:val="none"/>
        </w:rPr>
        <w:t>E2例行检查频率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t>监测箱E2每7日例行检查1次。</w:t>
      </w:r>
    </w:p>
    <w:p>
      <w:pPr>
        <w:pStyle w:val="Heading1"/>
        <w:spacing w:before="0" w:after="0" w:line="240" w:lineRule="auto"/>
        <w:jc w:val="left"/>
        <w:outlineLvl w:val="0"/>
      </w:pPr>
      <w:r>
        <w:rPr>
          <w:rFonts w:ascii="宋体" w:hAnsi="宋体" w:eastAsia="宋体"/>
          <w:b/>
          <w:i w:val="0"/>
          <w:color w:val="000000"/>
          <w:sz w:val="32"/>
          <w:u w:val="none"/>
        </w:rPr>
        <w:t>E2异常报告时限及接收角色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E2异常报告时限及接收角色：对象为监测箱E2异常，报告时限30分钟，接收角色园区运维值班员。</w:t>
      </w:r>
    </w:p>
    <w:p>
      <w:pPr>
        <w:pStyle w:val="Heading2"/>
        <w:spacing w:before="0" w:after="0" w:line="240" w:lineRule="auto"/>
        <w:jc w:val="left"/>
        <w:outlineLvl w:val="1"/>
      </w:pPr>
      <w:r>
        <w:rPr>
          <w:rFonts w:ascii="宋体" w:hAnsi="宋体" w:eastAsia="宋体"/>
          <w:b/>
          <w:i w:val="0"/>
          <w:color w:val="000000"/>
          <w:sz w:val="28"/>
          <w:u w:val="none"/>
        </w:rPr>
        <w:t>E2校验记录保留期</w:t>
      </w:r>
    </w:p>
    <w:p>
      <w:pPr>
        <w:spacing w:before="0" w:after="0"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1"/>
          <w:u w:val="none"/>
        </w:rPr>
        <w:t>E2校验记录保留期。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