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  <w:outlineLvl w:val="0"/>
      </w:pPr>
      <w:r>
        <w:rPr>
          <w:rFonts w:ascii="微软雅黑" w:hAnsi="微软雅黑" w:eastAsia="微软雅黑"/>
          <w:b/>
          <w:i w:val="0"/>
          <w:color w:val="000000"/>
          <w:sz w:val="32"/>
          <w:u w:val="none"/>
        </w:rPr>
        <w:t>正文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E2例行检查频率：监测箱E2（14套）每15天检查一次。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E2异常报告时限及接收角色：发现起4小时内报演示协调员。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E2校验记录保留期：E2校验记录保留75天。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以上E2监测箱管理要求汇总如下表所示：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管理项目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具体要求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E2例行检查频率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监测箱E2（14套）每15天检查一次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E2异常报告时限及接收角色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发现起4小时内报演示协调员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E2校验记录保留期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E2校验记录保留75天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