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left"/>
        <w:outlineLvl w:val="0"/>
      </w:pPr>
      <w:r>
        <w:rPr>
          <w:rFonts w:ascii="黑体" w:hAnsi="黑体" w:eastAsia="黑体"/>
          <w:b/>
          <w:i w:val="0"/>
          <w:color w:val="000000"/>
          <w:sz w:val="32"/>
          <w:u w:val="none"/>
        </w:rPr>
        <w:t>E2例行检查频率</w:t>
      </w:r>
    </w:p>
    <w:p>
      <w:pPr>
        <w:spacing w:before="0" w:after="0" w:line="240" w:lineRule="auto"/>
        <w:ind w:firstLine="48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E2监测箱每15天检查一次（对象=E2监测箱，单位=天，周期=15天）。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  <w:u w:val="none"/>
              </w:rPr>
              <w:t>检查对象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  <w:u w:val="none"/>
              </w:rPr>
              <w:t>E2监测箱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  <w:u w:val="none"/>
              </w:rPr>
              <w:t>检查频率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  <w:u w:val="none"/>
              </w:rPr>
              <w:t>每15天检查一次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  <w:u w:val="none"/>
              </w:rPr>
              <w:t>周期数值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  <w:u w:val="none"/>
              </w:rPr>
              <w:t>15天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  <w:u w:val="none"/>
              </w:rPr>
              <w:t>时间单位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  <w:u w:val="none"/>
              </w:rPr>
              <w:t>天</w:t>
            </w:r>
          </w:p>
        </w:tc>
      </w:tr>
    </w:tbl>
    <w:p>
      <w:pPr>
        <w:pStyle w:val="Heading1"/>
        <w:spacing w:before="0" w:after="0" w:line="240" w:lineRule="auto"/>
        <w:jc w:val="left"/>
        <w:outlineLvl w:val="0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E2异常报告时限及接收角色</w:t>
      </w:r>
    </w:p>
    <w:p>
      <w:pPr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>当E2监测箱发生演示异常时，相关责任人员应在4小时内向演示协调员报告。上述报告时限自发现异常时开始计算。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u w:val="none"/>
              </w:rPr>
              <w:t>项目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u w:val="none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u w:val="none"/>
              </w:rPr>
              <w:t>异常对象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u w:val="none"/>
              </w:rPr>
              <w:t>E2监测箱异常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u w:val="none"/>
              </w:rPr>
              <w:t>报告时限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u w:val="none"/>
              </w:rPr>
              <w:t>4小时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u w:val="none"/>
              </w:rPr>
              <w:t>计量单位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u w:val="none"/>
              </w:rPr>
              <w:t>小时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u w:val="none"/>
              </w:rPr>
              <w:t>接收角色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u w:val="none"/>
              </w:rPr>
              <w:t>演示协调员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u w:val="none"/>
              </w:rPr>
              <w:t>起算时间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u w:val="none"/>
              </w:rPr>
              <w:t>发现异常时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u w:val="none"/>
              </w:rPr>
              <w:t>依据章节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u w:val="none"/>
              </w:rPr>
              <w:t>第十章、第十三章</w:t>
            </w:r>
          </w:p>
        </w:tc>
      </w:tr>
    </w:tbl>
    <w:p>
      <w:pPr>
        <w:pStyle w:val="Heading1"/>
        <w:spacing w:before="0" w:after="0" w:line="240" w:lineRule="auto"/>
        <w:jc w:val="left"/>
        <w:outlineLvl w:val="0"/>
      </w:pPr>
      <w:r>
        <w:rPr>
          <w:rFonts w:ascii="微软雅黑" w:hAnsi="微软雅黑" w:eastAsia="微软雅黑"/>
          <w:b/>
          <w:i w:val="0"/>
          <w:color w:val="000000"/>
          <w:sz w:val="30"/>
          <w:u w:val="none"/>
        </w:rPr>
        <w:t>E2校验记录保留期</w:t>
      </w:r>
    </w:p>
    <w:p>
      <w:pPr>
        <w:spacing w:before="0" w:after="0"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2"/>
          <w:u w:val="none"/>
        </w:rPr>
        <w:t>依据《云芦园区长指南 v1.0.15》第十七章规定，E2校验记录应当保留75天。具体而言，保留对象为E2校验记录，计量单位为天，保留期限为75天。以下为要求明细。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  <w:u w:val="none"/>
              </w:rPr>
              <w:t>属性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  <w:u w:val="none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2"/>
                <w:u w:val="none"/>
              </w:rPr>
              <w:t>检查对象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2"/>
                <w:u w:val="none"/>
              </w:rPr>
              <w:t>E2校验记录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2"/>
                <w:u w:val="none"/>
              </w:rPr>
              <w:t>计量单位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2"/>
                <w:u w:val="none"/>
              </w:rPr>
              <w:t>天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2"/>
                <w:u w:val="none"/>
              </w:rPr>
              <w:t>保留期限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2"/>
                <w:u w:val="none"/>
              </w:rPr>
              <w:t>75天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2"/>
                <w:u w:val="none"/>
              </w:rPr>
              <w:t>依据章节</w:t>
            </w:r>
          </w:p>
        </w:tc>
        <w:tc>
          <w:tcPr>
            <w:tcW w:type="dxa" w:w="4320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2"/>
                <w:u w:val="none"/>
              </w:rPr>
              <w:t>《云芦园区长指南 v1.0.15》第十七章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