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白榆设备巡检清单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CP-009。以下设备和数量均为虚构测试材料。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一、正文约定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设备A与设备B的正文基准均为每季度检查一次，本次只允许调整指定表格单元格。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二、巡检表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设备标识</w:t>
            </w:r>
          </w:p>
        </w:tc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检查频率</w:t>
            </w:r>
          </w:p>
        </w:tc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数量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设备A</w:t>
            </w:r>
          </w:p>
        </w:tc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每月检查一次</w:t>
            </w:r>
          </w:p>
        </w:tc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12台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设备B</w:t>
            </w:r>
          </w:p>
        </w:tc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每季度检查一次</w:t>
            </w:r>
          </w:p>
        </w:tc>
        <w:tc>
          <w:tcPr>
            <w:tcW w:type="dxa" w:w="32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宋体" w:hAnsi="宋体" w:eastAsia="宋体"/>
                <w:color w:val="000000"/>
              </w:rPr>
              <w:t>7台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检查完成后填写巡检记录，未检查不得签字。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白榆设备巡检清单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