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  <w:outlineLvl w:val="0"/>
      </w:pPr>
      <w:r>
        <w:rPr>
          <w:rFonts w:ascii="宋体" w:hAnsi="宋体" w:eastAsia="宋体"/>
          <w:b/>
          <w:i w:val="0"/>
          <w:color w:val="000000"/>
          <w:sz w:val="32"/>
          <w:u w:val="none"/>
        </w:rPr>
        <w:t>设备借用说明 v1.0.0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项目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资料名称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星桥演示设备借用规则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资料版本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v1.0.0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测试标识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DOCAGENT-DEMO-20261021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资料性质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纯虚构测试材料。星桥演示设备、借用规则和角色仅用于本项目操作演示，不对应真实组织、业务或人员。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适用范围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仅适用于星桥演示设备的内部借用。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借用期限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每次借用最多3天。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预约要求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借用申请需提前2个工作日提交。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审批角色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由演示设备管理员确认设备可用后批准。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归还要求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归还前完成外观检查，并登记归还时间。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事实边界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本资料没有规定收费、押金、处罚金额或真实人员姓名。写作时不得自行补充这些内容。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