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A0" w:rsidRPr="00725AE5" w:rsidRDefault="008874A0" w:rsidP="008874A0">
      <w:pPr>
        <w:spacing w:after="0" w:line="192" w:lineRule="auto"/>
        <w:jc w:val="right"/>
        <w:outlineLvl w:val="0"/>
        <w:rPr>
          <w:rFonts w:cs="Times New Roman"/>
          <w:sz w:val="12"/>
          <w:szCs w:val="24"/>
        </w:rPr>
      </w:pPr>
      <w:r w:rsidRPr="00725AE5">
        <w:rPr>
          <w:rFonts w:cs="Times New Roman"/>
          <w:sz w:val="12"/>
          <w:szCs w:val="24"/>
        </w:rPr>
        <w:t>ДОПОЛНИТЕЛЬНАЯ ИНФОРМАЦИЯ</w:t>
      </w:r>
    </w:p>
    <w:p w:rsidR="008874A0" w:rsidRPr="00725AE5" w:rsidRDefault="008874A0" w:rsidP="008874A0">
      <w:pPr>
        <w:spacing w:after="0" w:line="192" w:lineRule="auto"/>
        <w:jc w:val="right"/>
        <w:outlineLvl w:val="0"/>
        <w:rPr>
          <w:rFonts w:cs="Times New Roman"/>
          <w:sz w:val="12"/>
          <w:szCs w:val="24"/>
        </w:rPr>
      </w:pPr>
      <w:r w:rsidRPr="00725AE5">
        <w:rPr>
          <w:rFonts w:cs="Times New Roman"/>
          <w:sz w:val="12"/>
          <w:szCs w:val="24"/>
        </w:rPr>
        <w:t>о биологически активной добавке к пище</w:t>
      </w:r>
    </w:p>
    <w:p w:rsidR="008874A0" w:rsidRPr="00725AE5" w:rsidRDefault="008874A0" w:rsidP="008874A0">
      <w:pPr>
        <w:spacing w:after="0" w:line="192" w:lineRule="auto"/>
        <w:jc w:val="right"/>
        <w:outlineLvl w:val="0"/>
        <w:rPr>
          <w:rFonts w:cs="Times New Roman"/>
          <w:sz w:val="12"/>
          <w:szCs w:val="24"/>
        </w:rPr>
      </w:pPr>
      <w:r w:rsidRPr="00725AE5">
        <w:rPr>
          <w:rFonts w:cs="Times New Roman"/>
          <w:sz w:val="12"/>
          <w:szCs w:val="24"/>
        </w:rPr>
        <w:t>«</w:t>
      </w:r>
      <w:r w:rsidRPr="00596F94">
        <w:rPr>
          <w:rFonts w:cs="Times New Roman"/>
          <w:sz w:val="12"/>
          <w:szCs w:val="24"/>
        </w:rPr>
        <w:t>Нейроспан комплекс для нервных волокон</w:t>
      </w:r>
      <w:r w:rsidRPr="00725AE5">
        <w:rPr>
          <w:rFonts w:cs="Times New Roman"/>
          <w:sz w:val="12"/>
          <w:szCs w:val="24"/>
        </w:rPr>
        <w:t>»</w:t>
      </w:r>
    </w:p>
    <w:p w:rsidR="008874A0" w:rsidRDefault="008874A0" w:rsidP="008874A0">
      <w:pPr>
        <w:tabs>
          <w:tab w:val="center" w:pos="3260"/>
          <w:tab w:val="left" w:pos="4933"/>
        </w:tabs>
        <w:spacing w:before="120" w:after="0" w:line="240" w:lineRule="auto"/>
        <w:outlineLvl w:val="0"/>
        <w:rPr>
          <w:rFonts w:cs="Times New Roman"/>
          <w:b/>
          <w:bCs/>
          <w:spacing w:val="-1"/>
          <w:sz w:val="28"/>
          <w:szCs w:val="28"/>
        </w:rPr>
      </w:pPr>
      <w:r w:rsidRPr="00EF648C">
        <w:rPr>
          <w:rFonts w:cs="Times New Roman"/>
          <w:b/>
          <w:bCs/>
          <w:spacing w:val="-1"/>
          <w:sz w:val="28"/>
          <w:szCs w:val="28"/>
        </w:rPr>
        <w:tab/>
      </w:r>
      <w:r w:rsidRPr="008E7649">
        <w:rPr>
          <w:rFonts w:cs="Times New Roman"/>
          <w:b/>
          <w:bCs/>
          <w:spacing w:val="-1"/>
          <w:sz w:val="28"/>
          <w:szCs w:val="28"/>
        </w:rPr>
        <w:t xml:space="preserve">Нейроспан </w:t>
      </w:r>
    </w:p>
    <w:p w:rsidR="008874A0" w:rsidRPr="006B654A" w:rsidRDefault="008874A0" w:rsidP="008874A0">
      <w:pPr>
        <w:tabs>
          <w:tab w:val="center" w:pos="3260"/>
          <w:tab w:val="left" w:pos="4933"/>
        </w:tabs>
        <w:spacing w:after="0" w:line="240" w:lineRule="auto"/>
        <w:jc w:val="center"/>
        <w:outlineLvl w:val="0"/>
        <w:rPr>
          <w:rFonts w:cs="Times New Roman"/>
          <w:b/>
          <w:bCs/>
          <w:spacing w:val="-1"/>
          <w:sz w:val="24"/>
          <w:szCs w:val="28"/>
        </w:rPr>
      </w:pPr>
      <w:r w:rsidRPr="006B654A">
        <w:rPr>
          <w:rFonts w:cs="Times New Roman"/>
          <w:b/>
          <w:bCs/>
          <w:spacing w:val="-1"/>
          <w:sz w:val="24"/>
          <w:szCs w:val="28"/>
        </w:rPr>
        <w:t>комплекс для нервных волокон</w:t>
      </w:r>
    </w:p>
    <w:p w:rsidR="008874A0" w:rsidRPr="001D045F" w:rsidRDefault="008874A0" w:rsidP="008874A0">
      <w:pPr>
        <w:spacing w:before="120" w:after="0" w:line="240" w:lineRule="auto"/>
        <w:rPr>
          <w:bCs/>
          <w:sz w:val="16"/>
          <w:szCs w:val="18"/>
        </w:rPr>
      </w:pPr>
      <w:r w:rsidRPr="001D045F">
        <w:rPr>
          <w:bCs/>
          <w:sz w:val="16"/>
          <w:szCs w:val="18"/>
        </w:rPr>
        <w:t xml:space="preserve">В общем виде нервные волокна состоят из миелиновой оболочки, обеспечивающей питание, и центральной части - собственно нерва. </w:t>
      </w:r>
    </w:p>
    <w:p w:rsidR="008874A0" w:rsidRPr="001D045F" w:rsidRDefault="008874A0" w:rsidP="008874A0">
      <w:pPr>
        <w:spacing w:before="120" w:after="0" w:line="240" w:lineRule="auto"/>
        <w:rPr>
          <w:bCs/>
          <w:sz w:val="16"/>
          <w:szCs w:val="18"/>
        </w:rPr>
      </w:pPr>
      <w:r w:rsidRPr="001D045F">
        <w:rPr>
          <w:bCs/>
          <w:sz w:val="16"/>
          <w:szCs w:val="18"/>
        </w:rPr>
        <w:t>Длительное нарушение обмена веществ, инфекции, воспалительные процессы в организме, а также сдавление из-за травм или малоподвижного образа жизни повреждает естественную структуру нерва. При этом нарушение целостности в одном месте влияет на функции всего нервного волокна.</w:t>
      </w:r>
      <w:r w:rsidR="007E267F" w:rsidRPr="007E267F">
        <w:rPr>
          <w:bCs/>
          <w:sz w:val="16"/>
          <w:szCs w:val="18"/>
        </w:rPr>
        <w:t xml:space="preserve"> </w:t>
      </w:r>
      <w:r w:rsidR="007E267F" w:rsidRPr="001D045F">
        <w:rPr>
          <w:bCs/>
          <w:sz w:val="16"/>
          <w:szCs w:val="18"/>
        </w:rPr>
        <w:t>Одной из причин неприятных и болезненных ощущений в теле может быть повреждение нервных волокон, которые образуют периферическую нервную систему, пронизывающую все наше тело.</w:t>
      </w:r>
    </w:p>
    <w:p w:rsidR="008874A0" w:rsidRPr="001D045F" w:rsidRDefault="008874A0" w:rsidP="008874A0">
      <w:pPr>
        <w:spacing w:before="120" w:after="0" w:line="240" w:lineRule="auto"/>
        <w:rPr>
          <w:bCs/>
          <w:sz w:val="16"/>
          <w:szCs w:val="18"/>
        </w:rPr>
      </w:pPr>
      <w:r w:rsidRPr="001D045F">
        <w:rPr>
          <w:bCs/>
          <w:sz w:val="16"/>
          <w:szCs w:val="18"/>
        </w:rPr>
        <w:t>Постепенно организм человека самостоятельно восстанавливает поврежденные структуры нервов. Этот процесс требует длительного времен</w:t>
      </w:r>
      <w:r w:rsidR="00F833F6">
        <w:rPr>
          <w:bCs/>
          <w:sz w:val="16"/>
          <w:szCs w:val="18"/>
        </w:rPr>
        <w:t xml:space="preserve">и. </w:t>
      </w:r>
      <w:r w:rsidR="00970993">
        <w:rPr>
          <w:bCs/>
          <w:sz w:val="16"/>
          <w:szCs w:val="18"/>
        </w:rPr>
        <w:t xml:space="preserve"> </w:t>
      </w:r>
      <w:r w:rsidR="00F833F6">
        <w:rPr>
          <w:bCs/>
          <w:sz w:val="16"/>
          <w:szCs w:val="18"/>
        </w:rPr>
        <w:t>П</w:t>
      </w:r>
      <w:r w:rsidRPr="001D045F">
        <w:rPr>
          <w:bCs/>
          <w:sz w:val="16"/>
          <w:szCs w:val="18"/>
        </w:rPr>
        <w:t xml:space="preserve">оскольку для регенерации нервных волокон необходимы определенные компоненты, дополнительный их прием в составе </w:t>
      </w:r>
      <w:r w:rsidRPr="008653B4">
        <w:rPr>
          <w:b/>
          <w:bCs/>
          <w:i/>
          <w:sz w:val="16"/>
          <w:szCs w:val="18"/>
        </w:rPr>
        <w:t>«Нейроспан комплекс для нервных волокон»</w:t>
      </w:r>
      <w:r w:rsidRPr="001D045F">
        <w:rPr>
          <w:bCs/>
          <w:sz w:val="16"/>
          <w:szCs w:val="18"/>
        </w:rPr>
        <w:t xml:space="preserve"> способен ускорить </w:t>
      </w:r>
      <w:r w:rsidR="00970993">
        <w:rPr>
          <w:bCs/>
          <w:sz w:val="16"/>
          <w:szCs w:val="18"/>
        </w:rPr>
        <w:t>восстановление</w:t>
      </w:r>
      <w:r w:rsidR="00970993" w:rsidRPr="001D045F">
        <w:rPr>
          <w:bCs/>
          <w:sz w:val="16"/>
          <w:szCs w:val="18"/>
        </w:rPr>
        <w:t xml:space="preserve"> </w:t>
      </w:r>
      <w:r w:rsidR="00970993">
        <w:rPr>
          <w:bCs/>
          <w:sz w:val="16"/>
          <w:szCs w:val="18"/>
        </w:rPr>
        <w:t>поврежденных</w:t>
      </w:r>
      <w:r w:rsidR="00970993" w:rsidRPr="001D045F">
        <w:rPr>
          <w:bCs/>
          <w:sz w:val="16"/>
          <w:szCs w:val="18"/>
        </w:rPr>
        <w:t xml:space="preserve"> </w:t>
      </w:r>
      <w:r w:rsidRPr="001D045F">
        <w:rPr>
          <w:bCs/>
          <w:sz w:val="16"/>
          <w:szCs w:val="18"/>
        </w:rPr>
        <w:t>элементов нервной ткани.</w:t>
      </w:r>
    </w:p>
    <w:p w:rsidR="008874A0" w:rsidRDefault="008874A0" w:rsidP="008874A0">
      <w:pPr>
        <w:spacing w:before="120" w:after="0" w:line="240" w:lineRule="auto"/>
        <w:rPr>
          <w:bCs/>
          <w:sz w:val="16"/>
          <w:szCs w:val="16"/>
        </w:rPr>
      </w:pPr>
      <w:r w:rsidRPr="00954CA7">
        <w:rPr>
          <w:b/>
          <w:bCs/>
          <w:i/>
          <w:sz w:val="16"/>
          <w:szCs w:val="16"/>
        </w:rPr>
        <w:t>Состав:</w:t>
      </w:r>
      <w:r>
        <w:rPr>
          <w:b/>
          <w:bCs/>
          <w:i/>
          <w:sz w:val="16"/>
          <w:szCs w:val="16"/>
        </w:rPr>
        <w:t xml:space="preserve"> </w:t>
      </w:r>
      <w:r w:rsidRPr="006E0F00">
        <w:rPr>
          <w:bCs/>
          <w:sz w:val="16"/>
          <w:szCs w:val="16"/>
        </w:rPr>
        <w:t>микрокристаллическая целлюлоза, уридин-5-монофосфат динатриевая соль, магниевая соль стеариновой кислоты, цианокобаламин (витамин В12), фолие</w:t>
      </w:r>
      <w:r>
        <w:rPr>
          <w:bCs/>
          <w:sz w:val="16"/>
          <w:szCs w:val="16"/>
        </w:rPr>
        <w:t xml:space="preserve">вая кислота, </w:t>
      </w:r>
      <w:r w:rsidRPr="000B6915">
        <w:rPr>
          <w:bCs/>
          <w:i/>
          <w:sz w:val="16"/>
          <w:szCs w:val="16"/>
        </w:rPr>
        <w:t>оболочка таблетки:</w:t>
      </w:r>
      <w:r>
        <w:rPr>
          <w:bCs/>
          <w:sz w:val="16"/>
          <w:szCs w:val="16"/>
        </w:rPr>
        <w:t xml:space="preserve"> </w:t>
      </w:r>
      <w:r w:rsidRPr="006E0F00">
        <w:rPr>
          <w:bCs/>
          <w:sz w:val="16"/>
          <w:szCs w:val="16"/>
        </w:rPr>
        <w:t>гидроксипропилметилцеллюлоза, полиэтиленгликоль</w:t>
      </w:r>
      <w:r>
        <w:rPr>
          <w:bCs/>
          <w:sz w:val="16"/>
          <w:szCs w:val="16"/>
        </w:rPr>
        <w:t xml:space="preserve">, диоксид титана </w:t>
      </w:r>
      <w:r w:rsidRPr="006E0F00">
        <w:rPr>
          <w:bCs/>
          <w:sz w:val="16"/>
          <w:szCs w:val="16"/>
        </w:rPr>
        <w:t>(краситель).</w:t>
      </w:r>
    </w:p>
    <w:p w:rsidR="008874A0" w:rsidRDefault="008874A0" w:rsidP="008874A0">
      <w:pPr>
        <w:spacing w:before="120" w:after="0" w:line="240" w:lineRule="auto"/>
        <w:rPr>
          <w:rFonts w:cstheme="minorHAnsi"/>
          <w:bCs/>
          <w:sz w:val="16"/>
          <w:szCs w:val="16"/>
        </w:rPr>
      </w:pPr>
      <w:r w:rsidRPr="00F97910">
        <w:rPr>
          <w:bCs/>
          <w:sz w:val="16"/>
          <w:szCs w:val="16"/>
        </w:rPr>
        <w:t>Биологически активная добавка к пище</w:t>
      </w:r>
      <w:r>
        <w:rPr>
          <w:bCs/>
          <w:sz w:val="16"/>
          <w:szCs w:val="16"/>
        </w:rPr>
        <w:t xml:space="preserve"> </w:t>
      </w:r>
      <w:r w:rsidRPr="00F97910">
        <w:rPr>
          <w:bCs/>
          <w:sz w:val="16"/>
          <w:szCs w:val="16"/>
        </w:rPr>
        <w:t>«Нейроспан комплекс для нервных волокон»</w:t>
      </w:r>
      <w:r>
        <w:rPr>
          <w:bCs/>
          <w:sz w:val="16"/>
          <w:szCs w:val="16"/>
        </w:rPr>
        <w:t xml:space="preserve"> (</w:t>
      </w:r>
      <w:r w:rsidRPr="00F97910">
        <w:rPr>
          <w:bCs/>
          <w:sz w:val="16"/>
          <w:szCs w:val="16"/>
        </w:rPr>
        <w:t>таблетки покрытые оболочкой, массой 165,0 мг</w:t>
      </w:r>
      <w:r>
        <w:rPr>
          <w:bCs/>
          <w:sz w:val="16"/>
          <w:szCs w:val="16"/>
        </w:rPr>
        <w:t xml:space="preserve"> </w:t>
      </w:r>
      <w:r w:rsidRPr="007946F9">
        <w:rPr>
          <w:rFonts w:cstheme="minorHAnsi"/>
          <w:bCs/>
          <w:sz w:val="16"/>
          <w:szCs w:val="16"/>
        </w:rPr>
        <w:t>± 10%</w:t>
      </w:r>
      <w:r>
        <w:rPr>
          <w:rFonts w:cstheme="minorHAnsi"/>
          <w:bCs/>
          <w:sz w:val="16"/>
          <w:szCs w:val="16"/>
        </w:rPr>
        <w:t>)</w:t>
      </w:r>
    </w:p>
    <w:p w:rsidR="008874A0" w:rsidRDefault="008874A0" w:rsidP="008874A0">
      <w:pPr>
        <w:spacing w:before="120" w:after="0" w:line="240" w:lineRule="auto"/>
        <w:rPr>
          <w:rFonts w:cstheme="minorHAnsi"/>
          <w:bCs/>
          <w:sz w:val="16"/>
          <w:szCs w:val="16"/>
        </w:rPr>
      </w:pPr>
    </w:p>
    <w:tbl>
      <w:tblPr>
        <w:tblStyle w:val="a4"/>
        <w:tblW w:w="0" w:type="auto"/>
        <w:tblLook w:val="04A0"/>
      </w:tblPr>
      <w:tblGrid>
        <w:gridCol w:w="1605"/>
        <w:gridCol w:w="1419"/>
        <w:gridCol w:w="1462"/>
        <w:gridCol w:w="2250"/>
      </w:tblGrid>
      <w:tr w:rsidR="008874A0" w:rsidTr="00F158EA">
        <w:trPr>
          <w:trHeight w:val="526"/>
        </w:trPr>
        <w:tc>
          <w:tcPr>
            <w:tcW w:w="1605" w:type="dxa"/>
            <w:vMerge w:val="restart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Компонент</w:t>
            </w:r>
          </w:p>
        </w:tc>
        <w:tc>
          <w:tcPr>
            <w:tcW w:w="1419" w:type="dxa"/>
            <w:vMerge w:val="restart"/>
          </w:tcPr>
          <w:p w:rsidR="008874A0" w:rsidRPr="00F97910" w:rsidRDefault="008874A0" w:rsidP="00F158EA">
            <w:pPr>
              <w:spacing w:before="240"/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Содержание в таблетке, мг</w:t>
            </w:r>
          </w:p>
        </w:tc>
        <w:tc>
          <w:tcPr>
            <w:tcW w:w="3712" w:type="dxa"/>
            <w:gridSpan w:val="2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 xml:space="preserve">Суточная доза </w:t>
            </w:r>
            <w:r>
              <w:rPr>
                <w:rFonts w:cstheme="minorHAnsi"/>
                <w:sz w:val="16"/>
                <w:szCs w:val="16"/>
              </w:rPr>
              <w:t>(</w:t>
            </w:r>
            <w:r w:rsidRPr="00F97910">
              <w:rPr>
                <w:rFonts w:cstheme="minorHAnsi"/>
                <w:sz w:val="16"/>
                <w:szCs w:val="16"/>
              </w:rPr>
              <w:t>2-6 таблетки</w:t>
            </w:r>
            <w:r>
              <w:rPr>
                <w:rFonts w:cstheme="minorHAnsi"/>
                <w:sz w:val="16"/>
                <w:szCs w:val="16"/>
              </w:rPr>
              <w:t>)</w:t>
            </w:r>
            <w:r w:rsidRPr="00F97910">
              <w:rPr>
                <w:rFonts w:cstheme="minorHAnsi"/>
                <w:sz w:val="16"/>
                <w:szCs w:val="16"/>
              </w:rPr>
              <w:t xml:space="preserve"> содержит</w:t>
            </w:r>
          </w:p>
        </w:tc>
      </w:tr>
      <w:tr w:rsidR="008874A0" w:rsidTr="00F158EA">
        <w:trPr>
          <w:trHeight w:val="526"/>
        </w:trPr>
        <w:tc>
          <w:tcPr>
            <w:tcW w:w="1605" w:type="dxa"/>
            <w:vMerge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9" w:type="dxa"/>
            <w:vMerge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62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Количество, мг</w:t>
            </w:r>
          </w:p>
        </w:tc>
        <w:tc>
          <w:tcPr>
            <w:tcW w:w="2250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% от рекомендуемого</w:t>
            </w:r>
            <w:r w:rsidRPr="00F97910">
              <w:rPr>
                <w:rFonts w:cstheme="minorHAnsi"/>
                <w:sz w:val="16"/>
                <w:szCs w:val="16"/>
                <w:vertAlign w:val="superscript"/>
              </w:rPr>
              <w:t>1</w:t>
            </w:r>
            <w:r w:rsidRPr="00F97910">
              <w:rPr>
                <w:rFonts w:cstheme="minorHAnsi"/>
                <w:sz w:val="16"/>
                <w:szCs w:val="16"/>
              </w:rPr>
              <w:t xml:space="preserve"> уровня суточного потребления</w:t>
            </w:r>
          </w:p>
        </w:tc>
      </w:tr>
      <w:tr w:rsidR="008874A0" w:rsidTr="00F158EA">
        <w:trPr>
          <w:trHeight w:val="353"/>
        </w:trPr>
        <w:tc>
          <w:tcPr>
            <w:tcW w:w="1605" w:type="dxa"/>
            <w:vAlign w:val="center"/>
          </w:tcPr>
          <w:p w:rsidR="008874A0" w:rsidRPr="00F97910" w:rsidRDefault="008874A0" w:rsidP="00F158EA">
            <w:pPr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Витамин В12</w:t>
            </w:r>
          </w:p>
        </w:tc>
        <w:tc>
          <w:tcPr>
            <w:tcW w:w="1419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0,001 - 0,0015</w:t>
            </w:r>
          </w:p>
        </w:tc>
        <w:tc>
          <w:tcPr>
            <w:tcW w:w="1462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0,002 – 0,009</w:t>
            </w:r>
          </w:p>
        </w:tc>
        <w:tc>
          <w:tcPr>
            <w:tcW w:w="2250" w:type="dxa"/>
            <w:vAlign w:val="center"/>
          </w:tcPr>
          <w:p w:rsidR="008874A0" w:rsidRPr="00F97910" w:rsidRDefault="008874A0" w:rsidP="004B434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200 - 900*</w:t>
            </w:r>
          </w:p>
        </w:tc>
      </w:tr>
      <w:tr w:rsidR="008874A0" w:rsidTr="00F158EA">
        <w:trPr>
          <w:trHeight w:val="415"/>
        </w:trPr>
        <w:tc>
          <w:tcPr>
            <w:tcW w:w="1605" w:type="dxa"/>
            <w:vAlign w:val="center"/>
          </w:tcPr>
          <w:p w:rsidR="008874A0" w:rsidRPr="00F97910" w:rsidRDefault="008874A0" w:rsidP="00F158EA">
            <w:pPr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Фолиевая кислота</w:t>
            </w:r>
          </w:p>
        </w:tc>
        <w:tc>
          <w:tcPr>
            <w:tcW w:w="1419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0,08- 0,1</w:t>
            </w:r>
          </w:p>
        </w:tc>
        <w:tc>
          <w:tcPr>
            <w:tcW w:w="1462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0,16 – 0,6</w:t>
            </w:r>
          </w:p>
        </w:tc>
        <w:tc>
          <w:tcPr>
            <w:tcW w:w="2250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80 - 300*</w:t>
            </w:r>
          </w:p>
        </w:tc>
      </w:tr>
      <w:tr w:rsidR="008874A0" w:rsidTr="00F158EA">
        <w:tc>
          <w:tcPr>
            <w:tcW w:w="1605" w:type="dxa"/>
            <w:vAlign w:val="center"/>
          </w:tcPr>
          <w:p w:rsidR="008874A0" w:rsidRPr="00F97910" w:rsidRDefault="008874A0" w:rsidP="00F158EA">
            <w:pPr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Уридин-5-монофосфат динатриевая соль</w:t>
            </w:r>
          </w:p>
          <w:p w:rsidR="008874A0" w:rsidRPr="00F97910" w:rsidRDefault="008874A0" w:rsidP="00F158E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9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50 (± 10%)</w:t>
            </w:r>
          </w:p>
        </w:tc>
        <w:tc>
          <w:tcPr>
            <w:tcW w:w="1462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100 – 300 (± 10%)</w:t>
            </w:r>
          </w:p>
        </w:tc>
        <w:tc>
          <w:tcPr>
            <w:tcW w:w="2250" w:type="dxa"/>
            <w:vAlign w:val="center"/>
          </w:tcPr>
          <w:p w:rsidR="008874A0" w:rsidRPr="00F97910" w:rsidRDefault="008874A0" w:rsidP="00F158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97910">
              <w:rPr>
                <w:rFonts w:cstheme="minorHAnsi"/>
                <w:sz w:val="16"/>
                <w:szCs w:val="16"/>
              </w:rPr>
              <w:t>-</w:t>
            </w:r>
          </w:p>
        </w:tc>
      </w:tr>
    </w:tbl>
    <w:p w:rsidR="008874A0" w:rsidRPr="00F97910" w:rsidRDefault="008874A0" w:rsidP="008874A0">
      <w:pPr>
        <w:spacing w:before="120" w:after="0" w:line="240" w:lineRule="auto"/>
        <w:rPr>
          <w:bCs/>
          <w:sz w:val="12"/>
          <w:szCs w:val="12"/>
        </w:rPr>
      </w:pPr>
      <w:r w:rsidRPr="00F97910">
        <w:rPr>
          <w:bCs/>
          <w:sz w:val="12"/>
          <w:szCs w:val="12"/>
        </w:rPr>
        <w:t>* не превышает верхний допустимый уровень потребления</w:t>
      </w:r>
      <w:r w:rsidR="004B434B">
        <w:rPr>
          <w:bCs/>
          <w:sz w:val="12"/>
          <w:szCs w:val="12"/>
        </w:rPr>
        <w:t>, установленный</w:t>
      </w:r>
      <w:r w:rsidRPr="00F97910">
        <w:rPr>
          <w:bCs/>
          <w:sz w:val="12"/>
          <w:szCs w:val="12"/>
        </w:rPr>
        <w:t xml:space="preserve"> согласно «Едины</w:t>
      </w:r>
      <w:r w:rsidR="004B434B"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санитарно-эпидемиологически</w:t>
      </w:r>
      <w:r w:rsidR="004B434B"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и гигиенически</w:t>
      </w:r>
      <w:r w:rsidR="004B434B"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требования</w:t>
      </w:r>
      <w:r w:rsidR="004B434B"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к товарам, подлежащим санитарно-эпидемиологическому надзору (контролю)» (Глава II, раздел 1, Приложение 5)2;</w:t>
      </w:r>
    </w:p>
    <w:p w:rsidR="008874A0" w:rsidRPr="00F97910" w:rsidRDefault="008874A0" w:rsidP="008874A0">
      <w:pPr>
        <w:spacing w:before="120" w:after="0" w:line="240" w:lineRule="auto"/>
        <w:rPr>
          <w:bCs/>
          <w:sz w:val="12"/>
          <w:szCs w:val="12"/>
        </w:rPr>
      </w:pPr>
      <w:r w:rsidRPr="00F97910">
        <w:rPr>
          <w:bCs/>
          <w:sz w:val="12"/>
          <w:szCs w:val="12"/>
        </w:rPr>
        <w:t>1 - согласно: ТР ТС 022/2011 «Пищевая продукция в части ее маркировки»  (Приложение 2).</w:t>
      </w:r>
    </w:p>
    <w:p w:rsidR="008874A0" w:rsidRDefault="008874A0" w:rsidP="008874A0">
      <w:pPr>
        <w:spacing w:before="120" w:after="0" w:line="240" w:lineRule="auto"/>
        <w:rPr>
          <w:b/>
          <w:bCs/>
          <w:i/>
          <w:sz w:val="16"/>
          <w:szCs w:val="16"/>
        </w:rPr>
      </w:pPr>
      <w:r w:rsidRPr="00954CA7">
        <w:rPr>
          <w:b/>
          <w:bCs/>
          <w:i/>
          <w:sz w:val="16"/>
          <w:szCs w:val="16"/>
        </w:rPr>
        <w:lastRenderedPageBreak/>
        <w:t>Информация о биологически активных веществах и их свойствах:</w:t>
      </w:r>
    </w:p>
    <w:p w:rsidR="008874A0" w:rsidRPr="00125B1A" w:rsidRDefault="008874A0" w:rsidP="008874A0">
      <w:pPr>
        <w:spacing w:before="120" w:after="0" w:line="240" w:lineRule="auto"/>
        <w:rPr>
          <w:bCs/>
          <w:sz w:val="16"/>
          <w:szCs w:val="18"/>
        </w:rPr>
      </w:pPr>
      <w:bookmarkStart w:id="0" w:name="3"/>
      <w:bookmarkStart w:id="1" w:name="4"/>
      <w:bookmarkStart w:id="2" w:name="5"/>
      <w:bookmarkEnd w:id="0"/>
      <w:bookmarkEnd w:id="1"/>
      <w:bookmarkEnd w:id="2"/>
      <w:r w:rsidRPr="00125B1A">
        <w:rPr>
          <w:b/>
          <w:bCs/>
          <w:sz w:val="16"/>
          <w:szCs w:val="18"/>
        </w:rPr>
        <w:t>Уридин-5-монофосфат</w:t>
      </w:r>
      <w:r w:rsidRPr="00125B1A">
        <w:rPr>
          <w:bCs/>
          <w:sz w:val="16"/>
          <w:szCs w:val="18"/>
        </w:rPr>
        <w:t xml:space="preserve"> (далее уридин) является веществом группы пиримидиновых нуклеотидов - это структурные элементы организма, которые играют фундаментальную роль </w:t>
      </w:r>
      <w:r>
        <w:rPr>
          <w:bCs/>
          <w:sz w:val="16"/>
          <w:szCs w:val="18"/>
        </w:rPr>
        <w:t xml:space="preserve">в процессах метаболизма. Уридин - </w:t>
      </w:r>
      <w:r w:rsidRPr="00125B1A">
        <w:rPr>
          <w:bCs/>
          <w:sz w:val="16"/>
          <w:szCs w:val="18"/>
        </w:rPr>
        <w:t xml:space="preserve">незаменимый компонент, способствующий регенерации нервного волокна, восстановлению поврежденных миелиновых оболочек нервов. Доказано, что при поражении периферических нервов повышается потребность в пиримидиновых нуклеотидах, таких как уридин. Поэтому его поступление в организм извне имеет важное значение для процессов восстановления и регенерации нервов. В результате его метаболизма обеспечивается восстановление компонентов клеточных мембран нервных клеток, а также поступление достаточного количества ферментов к поврежденным нервам. </w:t>
      </w:r>
    </w:p>
    <w:p w:rsidR="008874A0" w:rsidRPr="0043666C" w:rsidRDefault="008874A0" w:rsidP="008874A0">
      <w:pPr>
        <w:spacing w:before="120" w:after="0" w:line="240" w:lineRule="auto"/>
        <w:rPr>
          <w:bCs/>
          <w:sz w:val="16"/>
          <w:szCs w:val="18"/>
        </w:rPr>
      </w:pPr>
      <w:r w:rsidRPr="00125B1A">
        <w:rPr>
          <w:b/>
          <w:bCs/>
          <w:sz w:val="16"/>
          <w:szCs w:val="18"/>
        </w:rPr>
        <w:t>Фолиевая кислота (витамин B9)</w:t>
      </w:r>
      <w:r w:rsidRPr="00125B1A">
        <w:rPr>
          <w:bCs/>
          <w:sz w:val="16"/>
          <w:szCs w:val="18"/>
        </w:rPr>
        <w:t xml:space="preserve"> выступает в качестве кофермента во множестве реакций восстановления нервных волокон, в особенности в метаболизме белка и нуклеиновых кислот, в частности вовлечена в синтез ДНК, сборку и разборку различных аминокислот. </w:t>
      </w:r>
    </w:p>
    <w:p w:rsidR="008874A0" w:rsidRPr="00125B1A" w:rsidRDefault="008874A0" w:rsidP="008874A0">
      <w:pPr>
        <w:spacing w:before="120" w:after="0" w:line="240" w:lineRule="auto"/>
        <w:rPr>
          <w:bCs/>
          <w:sz w:val="16"/>
          <w:szCs w:val="18"/>
        </w:rPr>
      </w:pPr>
      <w:r w:rsidRPr="00125B1A">
        <w:rPr>
          <w:b/>
          <w:bCs/>
          <w:sz w:val="16"/>
          <w:szCs w:val="18"/>
        </w:rPr>
        <w:t>Витамин B12 (цианокобаламин)</w:t>
      </w:r>
      <w:r w:rsidRPr="00125B1A">
        <w:rPr>
          <w:bCs/>
          <w:sz w:val="16"/>
          <w:szCs w:val="18"/>
        </w:rPr>
        <w:t xml:space="preserve"> имеет важное значение для нервной системы, так как участвует в биохимических процессах, обеспечивающих образование миелиновой оболочки. Также витамин B12 </w:t>
      </w:r>
      <w:r>
        <w:rPr>
          <w:bCs/>
          <w:sz w:val="16"/>
          <w:szCs w:val="18"/>
        </w:rPr>
        <w:t>переводит</w:t>
      </w:r>
      <w:r w:rsidRPr="00125B1A">
        <w:rPr>
          <w:bCs/>
          <w:sz w:val="16"/>
          <w:szCs w:val="18"/>
        </w:rPr>
        <w:t xml:space="preserve"> фолиевую кислоту в ее активную форму. Он необходим для создания ДНК и РНК в каждой клетке тела. Витамин B12 участвует в углеводном, жировом и белковом обмене, в поддержании нормального кроветворения. </w:t>
      </w:r>
    </w:p>
    <w:p w:rsidR="008874A0" w:rsidRPr="00954CA7" w:rsidRDefault="008874A0" w:rsidP="008874A0">
      <w:pPr>
        <w:spacing w:before="120" w:after="0" w:line="240" w:lineRule="auto"/>
        <w:rPr>
          <w:b/>
          <w:bCs/>
          <w:sz w:val="16"/>
          <w:szCs w:val="16"/>
        </w:rPr>
      </w:pPr>
      <w:r w:rsidRPr="00954CA7">
        <w:rPr>
          <w:b/>
          <w:bCs/>
          <w:i/>
          <w:sz w:val="16"/>
          <w:szCs w:val="16"/>
        </w:rPr>
        <w:t>Область применения:</w:t>
      </w:r>
      <w:r w:rsidRPr="00954CA7">
        <w:rPr>
          <w:b/>
          <w:bCs/>
          <w:sz w:val="16"/>
          <w:szCs w:val="16"/>
        </w:rPr>
        <w:t xml:space="preserve"> </w:t>
      </w:r>
      <w:r w:rsidRPr="00954CA7">
        <w:rPr>
          <w:bCs/>
          <w:sz w:val="16"/>
          <w:szCs w:val="16"/>
        </w:rPr>
        <w:t xml:space="preserve">в качестве биологически активной добавки к пище – </w:t>
      </w:r>
      <w:r w:rsidRPr="0043666C">
        <w:rPr>
          <w:bCs/>
          <w:sz w:val="16"/>
          <w:szCs w:val="16"/>
        </w:rPr>
        <w:t>дополнит</w:t>
      </w:r>
      <w:r>
        <w:rPr>
          <w:bCs/>
          <w:sz w:val="16"/>
          <w:szCs w:val="16"/>
        </w:rPr>
        <w:t xml:space="preserve">ельного источника витамина В12 и </w:t>
      </w:r>
      <w:r w:rsidRPr="0043666C">
        <w:rPr>
          <w:bCs/>
          <w:sz w:val="16"/>
          <w:szCs w:val="16"/>
        </w:rPr>
        <w:t>фолиевой кислоты, содержащей натриевую соль уридинмонофосфата.</w:t>
      </w:r>
    </w:p>
    <w:p w:rsidR="008874A0" w:rsidRPr="00954CA7" w:rsidRDefault="008874A0" w:rsidP="008874A0">
      <w:pPr>
        <w:spacing w:before="120" w:after="0" w:line="240" w:lineRule="auto"/>
        <w:rPr>
          <w:bCs/>
          <w:sz w:val="16"/>
          <w:szCs w:val="16"/>
        </w:rPr>
      </w:pPr>
      <w:r w:rsidRPr="00954CA7">
        <w:rPr>
          <w:bCs/>
          <w:sz w:val="16"/>
          <w:szCs w:val="16"/>
        </w:rPr>
        <w:t>БАД, не является лекарственным средством.</w:t>
      </w:r>
      <w:r w:rsidRPr="00954CA7">
        <w:rPr>
          <w:bCs/>
          <w:sz w:val="16"/>
          <w:szCs w:val="16"/>
        </w:rPr>
        <w:tab/>
      </w:r>
    </w:p>
    <w:p w:rsidR="008874A0" w:rsidRPr="0043666C" w:rsidRDefault="008874A0" w:rsidP="008874A0">
      <w:pPr>
        <w:spacing w:before="120" w:after="0" w:line="240" w:lineRule="auto"/>
        <w:rPr>
          <w:bCs/>
          <w:sz w:val="16"/>
          <w:szCs w:val="16"/>
        </w:rPr>
      </w:pPr>
      <w:bookmarkStart w:id="3" w:name="6"/>
      <w:bookmarkEnd w:id="3"/>
      <w:r w:rsidRPr="00954CA7">
        <w:rPr>
          <w:b/>
          <w:bCs/>
          <w:i/>
          <w:sz w:val="16"/>
          <w:szCs w:val="16"/>
        </w:rPr>
        <w:t>Противопоказания:</w:t>
      </w:r>
      <w:r>
        <w:rPr>
          <w:b/>
          <w:bCs/>
          <w:i/>
          <w:sz w:val="16"/>
          <w:szCs w:val="16"/>
        </w:rPr>
        <w:t xml:space="preserve"> </w:t>
      </w:r>
      <w:r w:rsidRPr="0043666C">
        <w:rPr>
          <w:bCs/>
          <w:sz w:val="16"/>
          <w:szCs w:val="16"/>
        </w:rPr>
        <w:t>индивидуальная непереносимость компонентов, беременность, кормление грудью.</w:t>
      </w:r>
    </w:p>
    <w:p w:rsidR="008874A0" w:rsidRPr="00954CA7" w:rsidRDefault="008874A0" w:rsidP="008874A0">
      <w:pPr>
        <w:shd w:val="clear" w:color="auto" w:fill="FFFFFF"/>
        <w:spacing w:before="100" w:after="66" w:line="240" w:lineRule="auto"/>
        <w:ind w:right="199"/>
        <w:outlineLvl w:val="1"/>
        <w:rPr>
          <w:rFonts w:eastAsia="Times New Roman" w:cs="Arial"/>
          <w:b/>
          <w:bCs/>
          <w:color w:val="000000"/>
          <w:sz w:val="16"/>
          <w:szCs w:val="16"/>
        </w:rPr>
      </w:pPr>
      <w:r w:rsidRPr="00954CA7">
        <w:rPr>
          <w:rFonts w:eastAsiaTheme="minorHAnsi"/>
          <w:sz w:val="16"/>
          <w:szCs w:val="16"/>
          <w:lang w:eastAsia="en-US"/>
        </w:rPr>
        <w:t>Перед применением рекомендуется проконсультироваться с врачом.</w:t>
      </w:r>
    </w:p>
    <w:p w:rsidR="008874A0" w:rsidRDefault="008874A0" w:rsidP="008874A0">
      <w:pPr>
        <w:spacing w:before="120" w:after="0" w:line="240" w:lineRule="auto"/>
        <w:rPr>
          <w:bCs/>
          <w:sz w:val="16"/>
          <w:szCs w:val="16"/>
        </w:rPr>
      </w:pPr>
      <w:bookmarkStart w:id="4" w:name="7"/>
      <w:bookmarkStart w:id="5" w:name="8"/>
      <w:bookmarkEnd w:id="4"/>
      <w:bookmarkEnd w:id="5"/>
      <w:r w:rsidRPr="00954CA7">
        <w:rPr>
          <w:b/>
          <w:bCs/>
          <w:i/>
          <w:sz w:val="16"/>
          <w:szCs w:val="16"/>
        </w:rPr>
        <w:t>Способ применения и дозы:</w:t>
      </w:r>
      <w:r>
        <w:rPr>
          <w:b/>
          <w:bCs/>
          <w:i/>
          <w:sz w:val="16"/>
          <w:szCs w:val="16"/>
        </w:rPr>
        <w:t xml:space="preserve"> </w:t>
      </w:r>
      <w:bookmarkStart w:id="6" w:name="9"/>
      <w:bookmarkStart w:id="7" w:name="13"/>
      <w:bookmarkStart w:id="8" w:name="14"/>
      <w:bookmarkStart w:id="9" w:name="15"/>
      <w:bookmarkEnd w:id="6"/>
      <w:bookmarkEnd w:id="7"/>
      <w:bookmarkEnd w:id="8"/>
      <w:bookmarkEnd w:id="9"/>
      <w:r w:rsidRPr="006E0F00">
        <w:rPr>
          <w:bCs/>
          <w:sz w:val="16"/>
          <w:szCs w:val="16"/>
        </w:rPr>
        <w:t xml:space="preserve">взрослым по 1-2 таблетки 2-3 раза в день, запивая достаточным количеством воды. Продолжительность приема - 1 месяц. </w:t>
      </w:r>
    </w:p>
    <w:p w:rsidR="008874A0" w:rsidRDefault="008874A0" w:rsidP="008874A0">
      <w:pPr>
        <w:spacing w:before="120" w:after="0" w:line="240" w:lineRule="auto"/>
        <w:rPr>
          <w:bCs/>
          <w:sz w:val="16"/>
          <w:szCs w:val="16"/>
        </w:rPr>
      </w:pPr>
      <w:r w:rsidRPr="006E0F00">
        <w:rPr>
          <w:bCs/>
          <w:sz w:val="16"/>
          <w:szCs w:val="16"/>
        </w:rPr>
        <w:t>При необходимости прием можно повторить.</w:t>
      </w:r>
    </w:p>
    <w:p w:rsidR="008874A0" w:rsidRPr="00954CA7" w:rsidRDefault="008874A0" w:rsidP="008874A0">
      <w:pPr>
        <w:spacing w:before="120" w:after="0" w:line="240" w:lineRule="auto"/>
        <w:rPr>
          <w:b/>
          <w:bCs/>
          <w:i/>
          <w:sz w:val="16"/>
          <w:szCs w:val="16"/>
        </w:rPr>
      </w:pPr>
      <w:r w:rsidRPr="00954CA7">
        <w:rPr>
          <w:b/>
          <w:bCs/>
          <w:i/>
          <w:sz w:val="16"/>
          <w:szCs w:val="16"/>
        </w:rPr>
        <w:t>Условия хранения:</w:t>
      </w:r>
      <w:r>
        <w:rPr>
          <w:b/>
          <w:bCs/>
          <w:i/>
          <w:sz w:val="16"/>
          <w:szCs w:val="16"/>
        </w:rPr>
        <w:t xml:space="preserve"> </w:t>
      </w:r>
      <w:r w:rsidRPr="004310EB">
        <w:rPr>
          <w:bCs/>
          <w:sz w:val="16"/>
          <w:szCs w:val="16"/>
        </w:rPr>
        <w:t>в защищенном от воздействия прямых солнечных лучей и недоступном для детей месте, при температуре не выше 25°С.</w:t>
      </w:r>
    </w:p>
    <w:p w:rsidR="008874A0" w:rsidRPr="00954CA7" w:rsidRDefault="008874A0" w:rsidP="008874A0">
      <w:pPr>
        <w:spacing w:before="120" w:after="0" w:line="240" w:lineRule="auto"/>
        <w:rPr>
          <w:b/>
          <w:bCs/>
          <w:i/>
          <w:sz w:val="16"/>
          <w:szCs w:val="16"/>
        </w:rPr>
      </w:pPr>
      <w:bookmarkStart w:id="10" w:name="16"/>
      <w:bookmarkEnd w:id="10"/>
      <w:r w:rsidRPr="00954CA7">
        <w:rPr>
          <w:b/>
          <w:bCs/>
          <w:i/>
          <w:sz w:val="16"/>
          <w:szCs w:val="16"/>
        </w:rPr>
        <w:t>Срок годности:</w:t>
      </w:r>
      <w:r>
        <w:rPr>
          <w:b/>
          <w:bCs/>
          <w:i/>
          <w:sz w:val="16"/>
          <w:szCs w:val="16"/>
        </w:rPr>
        <w:t xml:space="preserve"> </w:t>
      </w:r>
      <w:r w:rsidRPr="00125B1A">
        <w:rPr>
          <w:bCs/>
          <w:sz w:val="16"/>
          <w:szCs w:val="16"/>
        </w:rPr>
        <w:t>2 года.</w:t>
      </w:r>
    </w:p>
    <w:p w:rsidR="008874A0" w:rsidRPr="00FE6D08" w:rsidRDefault="008874A0" w:rsidP="008874A0">
      <w:pPr>
        <w:spacing w:before="120" w:after="0" w:line="240" w:lineRule="auto"/>
        <w:jc w:val="both"/>
        <w:rPr>
          <w:rFonts w:cstheme="minorHAnsi"/>
          <w:bCs/>
          <w:sz w:val="16"/>
          <w:szCs w:val="16"/>
        </w:rPr>
      </w:pPr>
      <w:bookmarkStart w:id="11" w:name="17"/>
      <w:bookmarkEnd w:id="11"/>
      <w:r w:rsidRPr="0048388C">
        <w:rPr>
          <w:rFonts w:cstheme="minorHAnsi"/>
          <w:b/>
          <w:bCs/>
          <w:i/>
          <w:sz w:val="16"/>
          <w:szCs w:val="16"/>
        </w:rPr>
        <w:t>М</w:t>
      </w:r>
      <w:r w:rsidRPr="0048388C">
        <w:rPr>
          <w:rFonts w:cstheme="minorHAnsi"/>
          <w:b/>
          <w:i/>
          <w:sz w:val="16"/>
          <w:szCs w:val="16"/>
        </w:rPr>
        <w:t>еста реализации</w:t>
      </w:r>
      <w:r w:rsidRPr="00FE6D08">
        <w:rPr>
          <w:rFonts w:cstheme="minorHAnsi"/>
          <w:sz w:val="16"/>
          <w:szCs w:val="16"/>
        </w:rPr>
        <w:t xml:space="preserve"> определяются национальным законодательством государств-членов Евразийского экономического союза.</w:t>
      </w:r>
    </w:p>
    <w:p w:rsidR="008874A0" w:rsidRPr="00170374" w:rsidRDefault="008874A0" w:rsidP="008874A0">
      <w:pPr>
        <w:spacing w:before="120" w:after="0" w:line="240" w:lineRule="auto"/>
        <w:rPr>
          <w:i/>
          <w:sz w:val="16"/>
          <w:szCs w:val="16"/>
        </w:rPr>
      </w:pPr>
      <w:r w:rsidRPr="00170374">
        <w:rPr>
          <w:b/>
          <w:bCs/>
          <w:i/>
          <w:sz w:val="16"/>
          <w:szCs w:val="16"/>
        </w:rPr>
        <w:t>Производитель / Организация, принимающая претензии потребителей:</w:t>
      </w:r>
    </w:p>
    <w:p w:rsidR="008874A0" w:rsidRPr="00170374" w:rsidRDefault="008874A0" w:rsidP="008874A0">
      <w:pPr>
        <w:spacing w:after="0" w:line="240" w:lineRule="auto"/>
        <w:rPr>
          <w:sz w:val="16"/>
          <w:szCs w:val="16"/>
        </w:rPr>
      </w:pPr>
      <w:r w:rsidRPr="00170374">
        <w:rPr>
          <w:sz w:val="16"/>
          <w:szCs w:val="16"/>
        </w:rPr>
        <w:t>ООО «Квадрат-С», РФ, 107143, г. Москва, 2-й Ир</w:t>
      </w:r>
      <w:r>
        <w:rPr>
          <w:sz w:val="16"/>
          <w:szCs w:val="16"/>
        </w:rPr>
        <w:t>тышский пр-д, д. 4</w:t>
      </w:r>
      <w:r w:rsidRPr="00170374">
        <w:rPr>
          <w:sz w:val="16"/>
          <w:szCs w:val="16"/>
        </w:rPr>
        <w:t xml:space="preserve">Б, стр. 5, </w:t>
      </w:r>
    </w:p>
    <w:p w:rsidR="008874A0" w:rsidRPr="00170374" w:rsidRDefault="008874A0" w:rsidP="008874A0">
      <w:pPr>
        <w:spacing w:after="0" w:line="240" w:lineRule="auto"/>
        <w:rPr>
          <w:sz w:val="16"/>
          <w:szCs w:val="16"/>
        </w:rPr>
      </w:pPr>
      <w:r w:rsidRPr="00170374">
        <w:rPr>
          <w:sz w:val="16"/>
          <w:szCs w:val="16"/>
        </w:rPr>
        <w:t>тел./факс: 8 (495) 230-01-17</w:t>
      </w:r>
    </w:p>
    <w:p w:rsidR="008874A0" w:rsidRPr="00170374" w:rsidRDefault="008874A0" w:rsidP="008874A0">
      <w:pPr>
        <w:spacing w:after="0" w:line="240" w:lineRule="auto"/>
        <w:rPr>
          <w:sz w:val="16"/>
          <w:szCs w:val="16"/>
        </w:rPr>
      </w:pPr>
      <w:r w:rsidRPr="00170374">
        <w:rPr>
          <w:sz w:val="16"/>
          <w:szCs w:val="16"/>
        </w:rPr>
        <w:t>Электронная почта: info@</w:t>
      </w:r>
      <w:r w:rsidRPr="00170374">
        <w:rPr>
          <w:sz w:val="16"/>
          <w:szCs w:val="16"/>
          <w:lang w:val="en-US"/>
        </w:rPr>
        <w:t>kvadrat</w:t>
      </w:r>
      <w:r w:rsidRPr="00170374">
        <w:rPr>
          <w:sz w:val="16"/>
          <w:szCs w:val="16"/>
        </w:rPr>
        <w:t>-</w:t>
      </w:r>
      <w:r w:rsidRPr="00170374">
        <w:rPr>
          <w:sz w:val="16"/>
          <w:szCs w:val="16"/>
          <w:lang w:val="en-US"/>
        </w:rPr>
        <w:t>c</w:t>
      </w:r>
      <w:r w:rsidRPr="00170374">
        <w:rPr>
          <w:sz w:val="16"/>
          <w:szCs w:val="16"/>
        </w:rPr>
        <w:t>.</w:t>
      </w:r>
      <w:r w:rsidRPr="00170374">
        <w:rPr>
          <w:sz w:val="16"/>
          <w:szCs w:val="16"/>
          <w:lang w:val="en-US"/>
        </w:rPr>
        <w:t>ru</w:t>
      </w:r>
    </w:p>
    <w:p w:rsidR="008874A0" w:rsidRDefault="008874A0" w:rsidP="008874A0">
      <w:pPr>
        <w:spacing w:after="0" w:line="240" w:lineRule="auto"/>
        <w:rPr>
          <w:sz w:val="16"/>
          <w:szCs w:val="16"/>
        </w:rPr>
      </w:pPr>
      <w:r w:rsidRPr="00170374">
        <w:rPr>
          <w:sz w:val="16"/>
          <w:szCs w:val="16"/>
        </w:rPr>
        <w:t xml:space="preserve">Адрес в интернете: </w:t>
      </w:r>
      <w:r w:rsidR="000C1CFF" w:rsidRPr="000C1CFF">
        <w:rPr>
          <w:sz w:val="16"/>
          <w:szCs w:val="16"/>
          <w:lang w:val="en-US"/>
        </w:rPr>
        <w:t>www</w:t>
      </w:r>
      <w:r w:rsidR="000C1CFF" w:rsidRPr="000C1CFF">
        <w:rPr>
          <w:sz w:val="16"/>
          <w:szCs w:val="16"/>
        </w:rPr>
        <w:t>.</w:t>
      </w:r>
      <w:r w:rsidR="000C1CFF" w:rsidRPr="000C1CFF">
        <w:rPr>
          <w:sz w:val="16"/>
          <w:szCs w:val="16"/>
          <w:lang w:val="en-US"/>
        </w:rPr>
        <w:t>kvadrat</w:t>
      </w:r>
      <w:r w:rsidR="000C1CFF" w:rsidRPr="000C1CFF">
        <w:rPr>
          <w:sz w:val="16"/>
          <w:szCs w:val="16"/>
        </w:rPr>
        <w:t>-</w:t>
      </w:r>
      <w:r w:rsidR="000C1CFF" w:rsidRPr="000C1CFF">
        <w:rPr>
          <w:sz w:val="16"/>
          <w:szCs w:val="16"/>
          <w:lang w:val="en-US"/>
        </w:rPr>
        <w:t>c</w:t>
      </w:r>
      <w:r w:rsidR="000C1CFF" w:rsidRPr="000C1CFF">
        <w:rPr>
          <w:sz w:val="16"/>
          <w:szCs w:val="16"/>
        </w:rPr>
        <w:t>.</w:t>
      </w:r>
      <w:r w:rsidR="000C1CFF" w:rsidRPr="000C1CFF">
        <w:rPr>
          <w:sz w:val="16"/>
          <w:szCs w:val="16"/>
          <w:lang w:val="en-US"/>
        </w:rPr>
        <w:t>ru</w:t>
      </w:r>
    </w:p>
    <w:p w:rsidR="008874A0" w:rsidRPr="00635A3A" w:rsidRDefault="008874A0" w:rsidP="008874A0">
      <w:pPr>
        <w:spacing w:after="0" w:line="240" w:lineRule="auto"/>
        <w:rPr>
          <w:sz w:val="16"/>
          <w:szCs w:val="16"/>
        </w:rPr>
      </w:pPr>
    </w:p>
    <w:p w:rsidR="008874A0" w:rsidRPr="00170374" w:rsidRDefault="008874A0" w:rsidP="008874A0">
      <w:pPr>
        <w:spacing w:before="120" w:after="0" w:line="240" w:lineRule="auto"/>
        <w:rPr>
          <w:b/>
          <w:bCs/>
          <w:sz w:val="16"/>
          <w:szCs w:val="16"/>
        </w:rPr>
      </w:pPr>
      <w:r w:rsidRPr="00170374">
        <w:rPr>
          <w:b/>
          <w:bCs/>
          <w:i/>
          <w:sz w:val="16"/>
          <w:szCs w:val="16"/>
        </w:rPr>
        <w:lastRenderedPageBreak/>
        <w:t>Адрес производства:</w:t>
      </w:r>
      <w:r w:rsidRPr="00170374">
        <w:rPr>
          <w:b/>
          <w:bCs/>
          <w:sz w:val="16"/>
          <w:szCs w:val="16"/>
        </w:rPr>
        <w:t xml:space="preserve"> </w:t>
      </w:r>
    </w:p>
    <w:p w:rsidR="008874A0" w:rsidRPr="00954CA7" w:rsidRDefault="008874A0" w:rsidP="008874A0">
      <w:pPr>
        <w:spacing w:line="240" w:lineRule="auto"/>
        <w:rPr>
          <w:sz w:val="16"/>
          <w:szCs w:val="16"/>
        </w:rPr>
      </w:pPr>
      <w:r w:rsidRPr="00170374">
        <w:rPr>
          <w:bCs/>
          <w:sz w:val="16"/>
          <w:szCs w:val="16"/>
        </w:rPr>
        <w:t>РФ, 612711, Кировская область, Омутнинский район, пгт. Восточный, ул. Заводская, д. 1, тел.:</w:t>
      </w:r>
      <w:r w:rsidRPr="00170374">
        <w:rPr>
          <w:bCs/>
          <w:color w:val="FFFFFF" w:themeColor="background1"/>
          <w:sz w:val="16"/>
          <w:szCs w:val="16"/>
        </w:rPr>
        <w:t>_</w:t>
      </w:r>
      <w:r w:rsidRPr="00170374">
        <w:rPr>
          <w:bCs/>
          <w:sz w:val="16"/>
          <w:szCs w:val="16"/>
        </w:rPr>
        <w:t>8</w:t>
      </w:r>
      <w:r>
        <w:rPr>
          <w:bCs/>
          <w:sz w:val="16"/>
          <w:szCs w:val="16"/>
        </w:rPr>
        <w:t xml:space="preserve"> (8</w:t>
      </w:r>
      <w:r w:rsidRPr="00170374">
        <w:rPr>
          <w:bCs/>
          <w:sz w:val="16"/>
          <w:szCs w:val="16"/>
        </w:rPr>
        <w:t>3352) 33-7-94</w:t>
      </w:r>
    </w:p>
    <w:p w:rsidR="008874A0" w:rsidRPr="00A04FA2" w:rsidRDefault="008874A0" w:rsidP="008874A0">
      <w:pPr>
        <w:spacing w:after="0" w:line="240" w:lineRule="auto"/>
        <w:jc w:val="both"/>
        <w:rPr>
          <w:rFonts w:cstheme="minorHAnsi"/>
          <w:b/>
          <w:i/>
          <w:color w:val="000000" w:themeColor="text1"/>
          <w:sz w:val="16"/>
          <w:szCs w:val="16"/>
        </w:rPr>
      </w:pPr>
      <w:r w:rsidRPr="00A04FA2">
        <w:rPr>
          <w:rFonts w:cstheme="minorHAnsi"/>
          <w:b/>
          <w:i/>
          <w:color w:val="000000" w:themeColor="text1"/>
          <w:sz w:val="16"/>
          <w:szCs w:val="16"/>
        </w:rPr>
        <w:t>Свидетельство о государственной регистрации:</w:t>
      </w:r>
    </w:p>
    <w:p w:rsidR="008874A0" w:rsidRDefault="008874A0" w:rsidP="008874A0">
      <w:pPr>
        <w:spacing w:after="0" w:line="240" w:lineRule="auto"/>
        <w:rPr>
          <w:sz w:val="16"/>
          <w:szCs w:val="16"/>
        </w:rPr>
      </w:pPr>
      <w:r w:rsidRPr="008653B4">
        <w:rPr>
          <w:sz w:val="16"/>
          <w:szCs w:val="16"/>
        </w:rPr>
        <w:t>RU.77.99.11.003.R.003502.10.20 от 23.10.2020</w:t>
      </w:r>
    </w:p>
    <w:p w:rsidR="000C1CFF" w:rsidRPr="000C1CFF" w:rsidRDefault="000C1CFF" w:rsidP="000C1CFF">
      <w:pPr>
        <w:spacing w:after="0" w:line="240" w:lineRule="auto"/>
        <w:jc w:val="both"/>
        <w:rPr>
          <w:rFonts w:cstheme="minorHAnsi"/>
          <w:b/>
          <w:i/>
          <w:color w:val="000000" w:themeColor="text1"/>
          <w:sz w:val="16"/>
          <w:szCs w:val="16"/>
        </w:rPr>
      </w:pPr>
      <w:r>
        <w:rPr>
          <w:rFonts w:cstheme="minorHAnsi"/>
          <w:b/>
          <w:i/>
          <w:color w:val="000000" w:themeColor="text1"/>
          <w:sz w:val="16"/>
          <w:szCs w:val="16"/>
        </w:rPr>
        <w:t>Изготовлена в соответствии с документами:</w:t>
      </w:r>
    </w:p>
    <w:p w:rsidR="008874A0" w:rsidRPr="008653B4" w:rsidRDefault="008874A0" w:rsidP="008874A0">
      <w:pPr>
        <w:spacing w:after="0" w:line="240" w:lineRule="auto"/>
        <w:rPr>
          <w:sz w:val="16"/>
          <w:szCs w:val="16"/>
        </w:rPr>
      </w:pPr>
      <w:r w:rsidRPr="008653B4">
        <w:rPr>
          <w:sz w:val="16"/>
          <w:szCs w:val="16"/>
        </w:rPr>
        <w:t>ТУ 10.89.19-090-66999749-2020</w:t>
      </w:r>
    </w:p>
    <w:p w:rsidR="00702852" w:rsidRDefault="00702852"/>
    <w:sectPr w:rsidR="00702852" w:rsidSect="00E14A6E">
      <w:pgSz w:w="7088" w:h="9979" w:code="9"/>
      <w:pgMar w:top="284" w:right="284" w:bottom="284" w:left="284" w:header="709" w:footer="191" w:gutter="0"/>
      <w:pgBorders w:offsetFrom="page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trackRevisions/>
  <w:defaultTabStop w:val="708"/>
  <w:characterSpacingControl w:val="doNotCompress"/>
  <w:compat/>
  <w:rsids>
    <w:rsidRoot w:val="008874A0"/>
    <w:rsid w:val="000C1CFF"/>
    <w:rsid w:val="004B434B"/>
    <w:rsid w:val="00702852"/>
    <w:rsid w:val="007C44C2"/>
    <w:rsid w:val="007E267F"/>
    <w:rsid w:val="008874A0"/>
    <w:rsid w:val="00903CE9"/>
    <w:rsid w:val="00970993"/>
    <w:rsid w:val="009F4368"/>
    <w:rsid w:val="00A60A87"/>
    <w:rsid w:val="00A65F0C"/>
    <w:rsid w:val="00BF5FA4"/>
    <w:rsid w:val="00D83B94"/>
    <w:rsid w:val="00F833F6"/>
    <w:rsid w:val="00F9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4A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87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7E26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E26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E267F"/>
    <w:rPr>
      <w:rFonts w:eastAsiaTheme="minorEastAsia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E26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E267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E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267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4194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Лямина</dc:creator>
  <cp:lastModifiedBy>Ксения Лямина</cp:lastModifiedBy>
  <cp:revision>2</cp:revision>
  <cp:lastPrinted>2020-12-07T14:38:00Z</cp:lastPrinted>
  <dcterms:created xsi:type="dcterms:W3CDTF">2020-12-10T15:07:00Z</dcterms:created>
  <dcterms:modified xsi:type="dcterms:W3CDTF">2020-12-10T15:07:00Z</dcterms:modified>
</cp:coreProperties>
</file>