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01" w:rsidRPr="00461061" w:rsidRDefault="003E0E01" w:rsidP="003E0E01">
      <w:pPr>
        <w:spacing w:after="0" w:line="192" w:lineRule="auto"/>
        <w:jc w:val="right"/>
        <w:outlineLvl w:val="0"/>
        <w:rPr>
          <w:sz w:val="12"/>
          <w:szCs w:val="24"/>
        </w:rPr>
      </w:pPr>
      <w:r w:rsidRPr="00461061">
        <w:rPr>
          <w:sz w:val="12"/>
          <w:szCs w:val="24"/>
        </w:rPr>
        <w:t>ДОПОЛНИТЕЛЬНАЯ ИНФОРМАЦИЯ</w:t>
      </w:r>
    </w:p>
    <w:p w:rsidR="003E0E01" w:rsidRPr="00461061" w:rsidRDefault="003E0E01" w:rsidP="003E0E01">
      <w:pPr>
        <w:spacing w:after="0" w:line="192" w:lineRule="auto"/>
        <w:jc w:val="right"/>
        <w:outlineLvl w:val="0"/>
        <w:rPr>
          <w:sz w:val="12"/>
          <w:szCs w:val="24"/>
        </w:rPr>
      </w:pPr>
      <w:r w:rsidRPr="00461061">
        <w:rPr>
          <w:sz w:val="12"/>
          <w:szCs w:val="24"/>
        </w:rPr>
        <w:t>о биологически активной добавке к пище</w:t>
      </w:r>
    </w:p>
    <w:p w:rsidR="003E0E01" w:rsidRPr="00461061" w:rsidRDefault="003E0E01" w:rsidP="003E0E01">
      <w:pPr>
        <w:spacing w:after="0" w:line="192" w:lineRule="auto"/>
        <w:jc w:val="right"/>
        <w:outlineLvl w:val="0"/>
        <w:rPr>
          <w:sz w:val="12"/>
          <w:szCs w:val="24"/>
        </w:rPr>
      </w:pPr>
      <w:r w:rsidRPr="00461061">
        <w:rPr>
          <w:sz w:val="12"/>
          <w:szCs w:val="24"/>
        </w:rPr>
        <w:t>«Нейроспан Форте комплекс»</w:t>
      </w:r>
    </w:p>
    <w:p w:rsidR="003E0E01" w:rsidRPr="00056261" w:rsidRDefault="003E0E01" w:rsidP="003E0E01">
      <w:pPr>
        <w:tabs>
          <w:tab w:val="center" w:pos="3260"/>
          <w:tab w:val="left" w:pos="4933"/>
        </w:tabs>
        <w:spacing w:before="120" w:after="0" w:line="240" w:lineRule="auto"/>
        <w:outlineLvl w:val="0"/>
        <w:rPr>
          <w:b/>
          <w:bCs/>
          <w:spacing w:val="-1"/>
          <w:sz w:val="14"/>
          <w:szCs w:val="16"/>
        </w:rPr>
      </w:pPr>
      <w:r w:rsidRPr="00056261">
        <w:rPr>
          <w:b/>
          <w:bCs/>
          <w:spacing w:val="-1"/>
          <w:sz w:val="14"/>
          <w:szCs w:val="16"/>
        </w:rPr>
        <w:tab/>
      </w:r>
      <w:r w:rsidRPr="00F7428C">
        <w:rPr>
          <w:b/>
          <w:bCs/>
          <w:spacing w:val="-1"/>
          <w:sz w:val="28"/>
          <w:szCs w:val="16"/>
        </w:rPr>
        <w:t>Нейроспан Форте комплекс</w:t>
      </w:r>
      <w:r w:rsidRPr="00056261">
        <w:rPr>
          <w:b/>
          <w:bCs/>
          <w:spacing w:val="-1"/>
          <w:sz w:val="14"/>
          <w:szCs w:val="16"/>
        </w:rPr>
        <w:tab/>
      </w:r>
    </w:p>
    <w:p w:rsidR="003E0E01" w:rsidRPr="00F72E20" w:rsidRDefault="003E0E01" w:rsidP="003E0E01">
      <w:pPr>
        <w:spacing w:before="120" w:after="0" w:line="240" w:lineRule="auto"/>
        <w:rPr>
          <w:bCs/>
          <w:sz w:val="14"/>
          <w:szCs w:val="14"/>
        </w:rPr>
      </w:pPr>
      <w:r w:rsidRPr="00F72E20">
        <w:rPr>
          <w:bCs/>
          <w:sz w:val="14"/>
          <w:szCs w:val="14"/>
        </w:rPr>
        <w:t xml:space="preserve">Одной из причин неприятных и болезненных ощущений в теле может быть повреждение нервных волокон, которые образуют периферическую нервную систему, пронизывающую все наше тело. </w:t>
      </w:r>
    </w:p>
    <w:p w:rsidR="003E0E01" w:rsidRDefault="003E0E01" w:rsidP="003E0E01">
      <w:pPr>
        <w:spacing w:after="0" w:line="240" w:lineRule="auto"/>
        <w:rPr>
          <w:bCs/>
          <w:sz w:val="14"/>
          <w:szCs w:val="14"/>
        </w:rPr>
      </w:pPr>
      <w:r w:rsidRPr="00F72E20">
        <w:rPr>
          <w:bCs/>
          <w:sz w:val="14"/>
          <w:szCs w:val="14"/>
        </w:rPr>
        <w:t xml:space="preserve">Длительное нарушение обмена веществ, инфекции, воспалительные процессы в организме, а также сдавление из-за травм или малоподвижного образа жизни повреждает естественную структуру нерва. </w:t>
      </w:r>
    </w:p>
    <w:p w:rsidR="003E0E01" w:rsidRPr="00F72E20" w:rsidRDefault="003E0E01" w:rsidP="003E0E01">
      <w:pPr>
        <w:spacing w:after="0" w:line="240" w:lineRule="auto"/>
        <w:rPr>
          <w:bCs/>
          <w:sz w:val="14"/>
          <w:szCs w:val="14"/>
        </w:rPr>
      </w:pPr>
    </w:p>
    <w:p w:rsidR="003E0E01" w:rsidRDefault="003E0E01" w:rsidP="003E0E01">
      <w:pPr>
        <w:spacing w:after="0" w:line="240" w:lineRule="auto"/>
        <w:rPr>
          <w:sz w:val="14"/>
          <w:szCs w:val="14"/>
        </w:rPr>
      </w:pPr>
      <w:r w:rsidRPr="00F72E20">
        <w:rPr>
          <w:sz w:val="14"/>
          <w:szCs w:val="14"/>
        </w:rPr>
        <w:t>Острые и хронические нарушения кровоснабжения, травмы, инфекции приводят к повреждению центральной нервной системы: гибели нервных клеток и нарушению связей между ними. В результате снижаются функции мозга: возникают головные боли и головокружения, происходит снижение</w:t>
      </w:r>
      <w:r w:rsidRPr="00EF249B">
        <w:rPr>
          <w:sz w:val="14"/>
          <w:szCs w:val="14"/>
        </w:rPr>
        <w:t xml:space="preserve"> </w:t>
      </w:r>
      <w:r>
        <w:rPr>
          <w:sz w:val="14"/>
          <w:szCs w:val="14"/>
        </w:rPr>
        <w:t>концентрации</w:t>
      </w:r>
      <w:r w:rsidRPr="00F72E20">
        <w:rPr>
          <w:sz w:val="14"/>
          <w:szCs w:val="14"/>
        </w:rPr>
        <w:t xml:space="preserve"> внимания и </w:t>
      </w:r>
      <w:r>
        <w:rPr>
          <w:sz w:val="14"/>
          <w:szCs w:val="14"/>
        </w:rPr>
        <w:t xml:space="preserve"> ухудшение </w:t>
      </w:r>
      <w:r w:rsidRPr="00F72E20">
        <w:rPr>
          <w:sz w:val="14"/>
          <w:szCs w:val="14"/>
        </w:rPr>
        <w:t>памяти, з</w:t>
      </w:r>
      <w:r>
        <w:rPr>
          <w:sz w:val="14"/>
          <w:szCs w:val="14"/>
        </w:rPr>
        <w:t>атрудняется координация движени</w:t>
      </w:r>
      <w:r w:rsidRPr="00F7428C">
        <w:rPr>
          <w:sz w:val="14"/>
          <w:szCs w:val="14"/>
        </w:rPr>
        <w:t>й</w:t>
      </w:r>
      <w:r w:rsidRPr="00F72E20">
        <w:rPr>
          <w:sz w:val="14"/>
          <w:szCs w:val="14"/>
        </w:rPr>
        <w:t>.</w:t>
      </w:r>
    </w:p>
    <w:p w:rsidR="003E0E01" w:rsidRDefault="003E0E01" w:rsidP="003E0E01">
      <w:pPr>
        <w:spacing w:after="0" w:line="240" w:lineRule="auto"/>
        <w:rPr>
          <w:sz w:val="14"/>
          <w:szCs w:val="14"/>
        </w:rPr>
      </w:pPr>
    </w:p>
    <w:p w:rsidR="003E0E01" w:rsidRDefault="003E0E01" w:rsidP="003E0E01">
      <w:pPr>
        <w:spacing w:after="0" w:line="240" w:lineRule="auto"/>
        <w:rPr>
          <w:bCs/>
          <w:sz w:val="14"/>
          <w:szCs w:val="14"/>
        </w:rPr>
      </w:pPr>
      <w:r w:rsidRPr="00F72E20">
        <w:rPr>
          <w:bCs/>
          <w:sz w:val="14"/>
          <w:szCs w:val="14"/>
        </w:rPr>
        <w:t>Постепенно организм человека самостоятельно восстанавливает поврежденные структуры нервной системы. Этот процесс требует длительного времени,  поскольку для регенерации нервной ткани необходимы определенные компоненты</w:t>
      </w:r>
      <w:r>
        <w:rPr>
          <w:bCs/>
          <w:sz w:val="14"/>
          <w:szCs w:val="14"/>
        </w:rPr>
        <w:t xml:space="preserve">. Их </w:t>
      </w:r>
      <w:r w:rsidRPr="00F72E20">
        <w:rPr>
          <w:bCs/>
          <w:sz w:val="14"/>
          <w:szCs w:val="14"/>
        </w:rPr>
        <w:t>дополнительный прием  способен ускорить возобновление дефектных элементов нервной  системы.</w:t>
      </w:r>
    </w:p>
    <w:p w:rsidR="003E0E01" w:rsidRDefault="003E0E01" w:rsidP="003E0E01">
      <w:pPr>
        <w:spacing w:after="0" w:line="240" w:lineRule="auto"/>
        <w:rPr>
          <w:bCs/>
          <w:sz w:val="14"/>
          <w:szCs w:val="14"/>
        </w:rPr>
      </w:pPr>
    </w:p>
    <w:p w:rsidR="003E0E01" w:rsidRDefault="003E0E01" w:rsidP="003E0E01">
      <w:pPr>
        <w:spacing w:after="0" w:line="240" w:lineRule="auto"/>
        <w:rPr>
          <w:rFonts w:cs="Calibri"/>
          <w:sz w:val="14"/>
          <w:szCs w:val="14"/>
        </w:rPr>
      </w:pPr>
      <w:r w:rsidRPr="003E0E01">
        <w:rPr>
          <w:rFonts w:cs="Calibri"/>
          <w:b/>
          <w:i/>
          <w:sz w:val="14"/>
          <w:szCs w:val="14"/>
        </w:rPr>
        <w:t>Нейроспан Форте комплекс</w:t>
      </w:r>
      <w:r w:rsidRPr="00F72E20">
        <w:rPr>
          <w:rFonts w:cs="Calibri"/>
          <w:sz w:val="14"/>
          <w:szCs w:val="14"/>
        </w:rPr>
        <w:t xml:space="preserve"> – усиленная формула «Нейроспан комплекс для нервных волокон» за счет трехкратного увеличения содержания уридин</w:t>
      </w:r>
      <w:r w:rsidR="00221398">
        <w:rPr>
          <w:rFonts w:cs="Calibri"/>
          <w:sz w:val="14"/>
          <w:szCs w:val="14"/>
        </w:rPr>
        <w:t xml:space="preserve">-5 </w:t>
      </w:r>
      <w:r w:rsidRPr="00F72E20">
        <w:rPr>
          <w:rFonts w:cs="Calibri"/>
          <w:sz w:val="14"/>
          <w:szCs w:val="14"/>
        </w:rPr>
        <w:t xml:space="preserve">монофосфата. </w:t>
      </w:r>
    </w:p>
    <w:p w:rsidR="003E0E01" w:rsidRDefault="003E0E01" w:rsidP="003E0E01">
      <w:pPr>
        <w:spacing w:after="0" w:line="240" w:lineRule="auto"/>
        <w:rPr>
          <w:rFonts w:cs="Calibri"/>
          <w:sz w:val="14"/>
          <w:szCs w:val="14"/>
        </w:rPr>
      </w:pPr>
    </w:p>
    <w:p w:rsidR="003E0E01" w:rsidRPr="00F72E20" w:rsidRDefault="003E0E01" w:rsidP="003E0E01">
      <w:pPr>
        <w:spacing w:after="0" w:line="240" w:lineRule="auto"/>
        <w:rPr>
          <w:bCs/>
          <w:sz w:val="14"/>
          <w:szCs w:val="14"/>
        </w:rPr>
      </w:pPr>
      <w:r w:rsidRPr="003E0E01">
        <w:rPr>
          <w:rFonts w:cs="Calibri"/>
          <w:b/>
          <w:i/>
          <w:sz w:val="14"/>
          <w:szCs w:val="14"/>
        </w:rPr>
        <w:t>Нейроспан Форте комплекс</w:t>
      </w:r>
      <w:r w:rsidRPr="00F72E20">
        <w:rPr>
          <w:rFonts w:cs="Calibri"/>
          <w:sz w:val="14"/>
          <w:szCs w:val="14"/>
        </w:rPr>
        <w:t xml:space="preserve"> – расширенная формула «Нейроспан комплекс для нервных волокон», так как в его состав добавлены холин, витамины В1 и В6, оказывающие положительное влияние на метаболизм нервных клеток и формирование  связей между ними, что </w:t>
      </w:r>
      <w:r w:rsidR="001C523D">
        <w:rPr>
          <w:rFonts w:cs="Calibri"/>
          <w:sz w:val="14"/>
          <w:szCs w:val="14"/>
        </w:rPr>
        <w:t>способствует</w:t>
      </w:r>
      <w:r w:rsidRPr="00F72E20">
        <w:rPr>
          <w:rFonts w:cs="Calibri"/>
          <w:sz w:val="14"/>
          <w:szCs w:val="14"/>
        </w:rPr>
        <w:t xml:space="preserve"> ускоренному восстановлению и нормализации работы центральной </w:t>
      </w:r>
      <w:r>
        <w:rPr>
          <w:rFonts w:cs="Calibri"/>
          <w:sz w:val="14"/>
          <w:szCs w:val="14"/>
        </w:rPr>
        <w:t xml:space="preserve"> нервной </w:t>
      </w:r>
      <w:r w:rsidRPr="00F72E20">
        <w:rPr>
          <w:rFonts w:cs="Calibri"/>
          <w:sz w:val="14"/>
          <w:szCs w:val="14"/>
        </w:rPr>
        <w:t>системы.</w:t>
      </w:r>
    </w:p>
    <w:p w:rsidR="003E0E01" w:rsidRDefault="003E0E01" w:rsidP="003E0E01">
      <w:pPr>
        <w:spacing w:before="120" w:after="0" w:line="240" w:lineRule="auto"/>
        <w:rPr>
          <w:bCs/>
          <w:sz w:val="14"/>
          <w:szCs w:val="14"/>
        </w:rPr>
      </w:pPr>
      <w:r w:rsidRPr="00F72E20">
        <w:rPr>
          <w:b/>
          <w:bCs/>
          <w:i/>
          <w:sz w:val="14"/>
          <w:szCs w:val="14"/>
        </w:rPr>
        <w:t xml:space="preserve">Состав: </w:t>
      </w:r>
      <w:r w:rsidRPr="003E0E01">
        <w:rPr>
          <w:bCs/>
          <w:sz w:val="14"/>
          <w:szCs w:val="14"/>
        </w:rPr>
        <w:t>микр</w:t>
      </w:r>
      <w:r>
        <w:rPr>
          <w:bCs/>
          <w:sz w:val="14"/>
          <w:szCs w:val="14"/>
        </w:rPr>
        <w:t xml:space="preserve">окристаллическая целлюлоза </w:t>
      </w:r>
      <w:r w:rsidRPr="003E0E01">
        <w:rPr>
          <w:bCs/>
          <w:sz w:val="14"/>
          <w:szCs w:val="14"/>
        </w:rPr>
        <w:t>(носитель), уридин-5-монофосфат динатриевая соль, холина битартрат (холин /витамин В4), ги</w:t>
      </w:r>
      <w:r>
        <w:rPr>
          <w:bCs/>
          <w:sz w:val="14"/>
          <w:szCs w:val="14"/>
        </w:rPr>
        <w:t xml:space="preserve">дроксипропилметилцеллюлоза </w:t>
      </w:r>
      <w:r w:rsidRPr="003E0E01">
        <w:rPr>
          <w:bCs/>
          <w:sz w:val="14"/>
          <w:szCs w:val="14"/>
        </w:rPr>
        <w:t>(носитель), магниев</w:t>
      </w:r>
      <w:r>
        <w:rPr>
          <w:bCs/>
          <w:sz w:val="14"/>
          <w:szCs w:val="14"/>
        </w:rPr>
        <w:t>ая соль стеариновой кислоты</w:t>
      </w:r>
      <w:r w:rsidRPr="003E0E01">
        <w:rPr>
          <w:bCs/>
          <w:sz w:val="14"/>
          <w:szCs w:val="14"/>
        </w:rPr>
        <w:t xml:space="preserve"> (агент антислеживающий), пиридоксина гидрохлорид (витамин В6), тиамина гидрохлорид (витамин В1), цианокобаламин (витамин В12), фолиевая кислота, </w:t>
      </w:r>
      <w:r w:rsidRPr="003E0E01">
        <w:rPr>
          <w:bCs/>
          <w:i/>
          <w:sz w:val="14"/>
          <w:szCs w:val="14"/>
        </w:rPr>
        <w:t>оболочка таблетки:</w:t>
      </w:r>
      <w:r w:rsidRPr="003E0E01">
        <w:rPr>
          <w:bCs/>
          <w:sz w:val="14"/>
          <w:szCs w:val="14"/>
        </w:rPr>
        <w:t xml:space="preserve"> г</w:t>
      </w:r>
      <w:r>
        <w:rPr>
          <w:bCs/>
          <w:sz w:val="14"/>
          <w:szCs w:val="14"/>
        </w:rPr>
        <w:t xml:space="preserve">идроксипропилметилцеллюлоза </w:t>
      </w:r>
      <w:r w:rsidRPr="003E0E01">
        <w:rPr>
          <w:bCs/>
          <w:sz w:val="14"/>
          <w:szCs w:val="14"/>
        </w:rPr>
        <w:t>(загус</w:t>
      </w:r>
      <w:r>
        <w:rPr>
          <w:bCs/>
          <w:sz w:val="14"/>
          <w:szCs w:val="14"/>
        </w:rPr>
        <w:t xml:space="preserve">титель), полиэтиленгликоль </w:t>
      </w:r>
      <w:r w:rsidRPr="003E0E01">
        <w:rPr>
          <w:bCs/>
          <w:sz w:val="14"/>
          <w:szCs w:val="14"/>
        </w:rPr>
        <w:t>(с</w:t>
      </w:r>
      <w:r>
        <w:rPr>
          <w:bCs/>
          <w:sz w:val="14"/>
          <w:szCs w:val="14"/>
        </w:rPr>
        <w:t>табилизатор), диоксид титана</w:t>
      </w:r>
      <w:r w:rsidRPr="003E0E01">
        <w:rPr>
          <w:bCs/>
          <w:sz w:val="14"/>
          <w:szCs w:val="14"/>
        </w:rPr>
        <w:t xml:space="preserve"> (краситель).</w:t>
      </w:r>
    </w:p>
    <w:p w:rsidR="00F83A4F" w:rsidRDefault="00F83A4F" w:rsidP="00F83A4F">
      <w:pPr>
        <w:spacing w:before="120" w:after="0" w:line="240" w:lineRule="auto"/>
        <w:rPr>
          <w:bCs/>
          <w:sz w:val="14"/>
          <w:szCs w:val="14"/>
        </w:rPr>
      </w:pPr>
      <w:r w:rsidRPr="00F83A4F">
        <w:rPr>
          <w:bCs/>
          <w:sz w:val="14"/>
          <w:szCs w:val="14"/>
        </w:rPr>
        <w:t>Биоло</w:t>
      </w:r>
      <w:r>
        <w:rPr>
          <w:bCs/>
          <w:sz w:val="14"/>
          <w:szCs w:val="14"/>
        </w:rPr>
        <w:t xml:space="preserve">гически активная добавка к пище </w:t>
      </w:r>
      <w:r w:rsidRPr="00F83A4F">
        <w:rPr>
          <w:bCs/>
          <w:sz w:val="14"/>
          <w:szCs w:val="14"/>
        </w:rPr>
        <w:t>«Нейроспан Форте комплекс для нервных волокон»</w:t>
      </w:r>
    </w:p>
    <w:p w:rsidR="00F83A4F" w:rsidRDefault="00F83A4F" w:rsidP="00F83A4F">
      <w:pPr>
        <w:spacing w:after="0" w:line="240" w:lineRule="auto"/>
        <w:rPr>
          <w:bCs/>
          <w:sz w:val="14"/>
          <w:szCs w:val="14"/>
        </w:rPr>
      </w:pPr>
      <w:r>
        <w:rPr>
          <w:bCs/>
          <w:sz w:val="14"/>
          <w:szCs w:val="14"/>
        </w:rPr>
        <w:t>(</w:t>
      </w:r>
      <w:r w:rsidRPr="00F83A4F">
        <w:rPr>
          <w:bCs/>
          <w:sz w:val="14"/>
          <w:szCs w:val="14"/>
        </w:rPr>
        <w:t>таблетки</w:t>
      </w:r>
      <w:r w:rsidR="001C523D">
        <w:rPr>
          <w:bCs/>
          <w:sz w:val="14"/>
          <w:szCs w:val="14"/>
        </w:rPr>
        <w:t>,</w:t>
      </w:r>
      <w:r w:rsidRPr="00F83A4F">
        <w:rPr>
          <w:bCs/>
          <w:sz w:val="14"/>
          <w:szCs w:val="14"/>
        </w:rPr>
        <w:t xml:space="preserve"> покрытые оболочкой, массой 550,0 мг</w:t>
      </w:r>
      <w:r>
        <w:rPr>
          <w:bCs/>
          <w:sz w:val="14"/>
          <w:szCs w:val="14"/>
        </w:rPr>
        <w:t>)</w:t>
      </w:r>
    </w:p>
    <w:p w:rsidR="00E6602E" w:rsidRDefault="00E6602E" w:rsidP="00F83A4F">
      <w:pPr>
        <w:spacing w:after="0" w:line="240" w:lineRule="auto"/>
        <w:rPr>
          <w:bCs/>
          <w:sz w:val="14"/>
          <w:szCs w:val="14"/>
        </w:rPr>
      </w:pPr>
    </w:p>
    <w:tbl>
      <w:tblPr>
        <w:tblStyle w:val="a9"/>
        <w:tblW w:w="0" w:type="auto"/>
        <w:tblLook w:val="04A0"/>
      </w:tblPr>
      <w:tblGrid>
        <w:gridCol w:w="1719"/>
        <w:gridCol w:w="1388"/>
        <w:gridCol w:w="1371"/>
        <w:gridCol w:w="2258"/>
      </w:tblGrid>
      <w:tr w:rsidR="00E6602E" w:rsidRPr="00E6602E" w:rsidTr="00E6602E">
        <w:trPr>
          <w:trHeight w:val="526"/>
        </w:trPr>
        <w:tc>
          <w:tcPr>
            <w:tcW w:w="1719" w:type="dxa"/>
            <w:vMerge w:val="restart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Компонент</w:t>
            </w:r>
          </w:p>
        </w:tc>
        <w:tc>
          <w:tcPr>
            <w:tcW w:w="1388" w:type="dxa"/>
            <w:vMerge w:val="restart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Содержание в таблетке, мг</w:t>
            </w:r>
          </w:p>
        </w:tc>
        <w:tc>
          <w:tcPr>
            <w:tcW w:w="3629" w:type="dxa"/>
            <w:gridSpan w:val="2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 xml:space="preserve">Суточная доза </w:t>
            </w:r>
            <w:r>
              <w:rPr>
                <w:bCs/>
                <w:sz w:val="14"/>
                <w:szCs w:val="14"/>
              </w:rPr>
              <w:t>(</w:t>
            </w:r>
            <w:r w:rsidRPr="00E6602E">
              <w:rPr>
                <w:bCs/>
                <w:sz w:val="14"/>
                <w:szCs w:val="14"/>
              </w:rPr>
              <w:t>2 таблетки</w:t>
            </w:r>
            <w:r>
              <w:rPr>
                <w:bCs/>
                <w:sz w:val="14"/>
                <w:szCs w:val="14"/>
              </w:rPr>
              <w:t>)</w:t>
            </w:r>
            <w:r w:rsidRPr="00E6602E">
              <w:rPr>
                <w:bCs/>
                <w:sz w:val="14"/>
                <w:szCs w:val="14"/>
              </w:rPr>
              <w:t xml:space="preserve"> содержит</w:t>
            </w:r>
          </w:p>
        </w:tc>
      </w:tr>
      <w:tr w:rsidR="00E6602E" w:rsidRPr="00E6602E" w:rsidTr="00E6602E">
        <w:trPr>
          <w:trHeight w:val="526"/>
        </w:trPr>
        <w:tc>
          <w:tcPr>
            <w:tcW w:w="1719" w:type="dxa"/>
            <w:vMerge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</w:p>
        </w:tc>
        <w:tc>
          <w:tcPr>
            <w:tcW w:w="1388" w:type="dxa"/>
            <w:vMerge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</w:p>
        </w:tc>
        <w:tc>
          <w:tcPr>
            <w:tcW w:w="1371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Количество, мг</w:t>
            </w:r>
          </w:p>
        </w:tc>
        <w:tc>
          <w:tcPr>
            <w:tcW w:w="225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% от рекомендуемого</w:t>
            </w:r>
            <w:r w:rsidRPr="00E6602E">
              <w:rPr>
                <w:bCs/>
                <w:sz w:val="14"/>
                <w:szCs w:val="14"/>
                <w:vertAlign w:val="superscript"/>
              </w:rPr>
              <w:t>1</w:t>
            </w:r>
            <w:r w:rsidRPr="00E6602E">
              <w:rPr>
                <w:bCs/>
                <w:sz w:val="14"/>
                <w:szCs w:val="14"/>
              </w:rPr>
              <w:t>/ адекватного</w:t>
            </w:r>
            <w:r w:rsidRPr="00E6602E">
              <w:rPr>
                <w:bCs/>
                <w:sz w:val="14"/>
                <w:szCs w:val="14"/>
                <w:vertAlign w:val="superscript"/>
              </w:rPr>
              <w:t>2</w:t>
            </w:r>
            <w:r w:rsidRPr="00E6602E">
              <w:rPr>
                <w:bCs/>
                <w:sz w:val="14"/>
                <w:szCs w:val="14"/>
              </w:rPr>
              <w:t xml:space="preserve"> уровня суточного потребления</w:t>
            </w:r>
          </w:p>
        </w:tc>
      </w:tr>
      <w:tr w:rsidR="00E6602E" w:rsidRPr="00E6602E" w:rsidTr="00E6602E">
        <w:tc>
          <w:tcPr>
            <w:tcW w:w="1719" w:type="dxa"/>
            <w:vAlign w:val="center"/>
          </w:tcPr>
          <w:p w:rsidR="00E6602E" w:rsidRPr="00E6602E" w:rsidRDefault="00E6602E" w:rsidP="00E6602E">
            <w:pPr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Витамин В1</w:t>
            </w:r>
          </w:p>
        </w:tc>
        <w:tc>
          <w:tcPr>
            <w:tcW w:w="138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2 (± 20%)</w:t>
            </w:r>
          </w:p>
        </w:tc>
        <w:tc>
          <w:tcPr>
            <w:tcW w:w="1371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4</w:t>
            </w:r>
          </w:p>
        </w:tc>
        <w:tc>
          <w:tcPr>
            <w:tcW w:w="225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  <w:vertAlign w:val="superscript"/>
              </w:rPr>
            </w:pPr>
            <w:r w:rsidRPr="00E6602E">
              <w:rPr>
                <w:bCs/>
                <w:sz w:val="14"/>
                <w:szCs w:val="14"/>
              </w:rPr>
              <w:t>286*</w:t>
            </w:r>
            <w:r w:rsidRPr="00E6602E">
              <w:rPr>
                <w:bCs/>
                <w:sz w:val="14"/>
                <w:szCs w:val="14"/>
                <w:vertAlign w:val="superscript"/>
              </w:rPr>
              <w:t xml:space="preserve"> 1</w:t>
            </w:r>
          </w:p>
        </w:tc>
      </w:tr>
      <w:tr w:rsidR="00E6602E" w:rsidRPr="00E6602E" w:rsidTr="00E6602E">
        <w:tc>
          <w:tcPr>
            <w:tcW w:w="1719" w:type="dxa"/>
            <w:vAlign w:val="center"/>
          </w:tcPr>
          <w:p w:rsidR="00E6602E" w:rsidRPr="00E6602E" w:rsidRDefault="00E6602E" w:rsidP="00E6602E">
            <w:pPr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Витамин В6</w:t>
            </w:r>
          </w:p>
        </w:tc>
        <w:tc>
          <w:tcPr>
            <w:tcW w:w="138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2,5 (± 20%)</w:t>
            </w:r>
          </w:p>
        </w:tc>
        <w:tc>
          <w:tcPr>
            <w:tcW w:w="1371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5</w:t>
            </w:r>
          </w:p>
        </w:tc>
        <w:tc>
          <w:tcPr>
            <w:tcW w:w="225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250*</w:t>
            </w:r>
            <w:r w:rsidRPr="00E6602E">
              <w:rPr>
                <w:bCs/>
                <w:sz w:val="14"/>
                <w:szCs w:val="14"/>
                <w:vertAlign w:val="superscript"/>
              </w:rPr>
              <w:t xml:space="preserve"> 1</w:t>
            </w:r>
          </w:p>
        </w:tc>
      </w:tr>
      <w:tr w:rsidR="00E6602E" w:rsidRPr="00E6602E" w:rsidTr="00E6602E">
        <w:tc>
          <w:tcPr>
            <w:tcW w:w="1719" w:type="dxa"/>
            <w:vAlign w:val="center"/>
          </w:tcPr>
          <w:p w:rsidR="00E6602E" w:rsidRPr="00E6602E" w:rsidRDefault="00E6602E" w:rsidP="00E6602E">
            <w:pPr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Витамин В12</w:t>
            </w:r>
          </w:p>
        </w:tc>
        <w:tc>
          <w:tcPr>
            <w:tcW w:w="138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0,002 (± 20%)</w:t>
            </w:r>
          </w:p>
        </w:tc>
        <w:tc>
          <w:tcPr>
            <w:tcW w:w="1371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0,004</w:t>
            </w:r>
          </w:p>
        </w:tc>
        <w:tc>
          <w:tcPr>
            <w:tcW w:w="225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400*</w:t>
            </w:r>
            <w:r w:rsidRPr="00E6602E">
              <w:rPr>
                <w:bCs/>
                <w:sz w:val="14"/>
                <w:szCs w:val="14"/>
                <w:vertAlign w:val="superscript"/>
              </w:rPr>
              <w:t xml:space="preserve"> 1</w:t>
            </w:r>
          </w:p>
        </w:tc>
      </w:tr>
      <w:tr w:rsidR="00E6602E" w:rsidRPr="00E6602E" w:rsidTr="00E6602E">
        <w:tc>
          <w:tcPr>
            <w:tcW w:w="1719" w:type="dxa"/>
            <w:vAlign w:val="center"/>
          </w:tcPr>
          <w:p w:rsidR="00E6602E" w:rsidRPr="00E6602E" w:rsidRDefault="00E6602E" w:rsidP="00E6602E">
            <w:pPr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Фолиевая кислота</w:t>
            </w:r>
          </w:p>
        </w:tc>
        <w:tc>
          <w:tcPr>
            <w:tcW w:w="138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0,2 (± 20%)</w:t>
            </w:r>
          </w:p>
        </w:tc>
        <w:tc>
          <w:tcPr>
            <w:tcW w:w="1371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0,4</w:t>
            </w:r>
          </w:p>
        </w:tc>
        <w:tc>
          <w:tcPr>
            <w:tcW w:w="225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200*</w:t>
            </w:r>
            <w:r w:rsidRPr="00E6602E">
              <w:rPr>
                <w:bCs/>
                <w:sz w:val="14"/>
                <w:szCs w:val="14"/>
                <w:vertAlign w:val="superscript"/>
              </w:rPr>
              <w:t>1</w:t>
            </w:r>
          </w:p>
        </w:tc>
      </w:tr>
      <w:tr w:rsidR="00E6602E" w:rsidRPr="00E6602E" w:rsidTr="00E6602E">
        <w:tc>
          <w:tcPr>
            <w:tcW w:w="1719" w:type="dxa"/>
            <w:vAlign w:val="center"/>
          </w:tcPr>
          <w:p w:rsidR="00E6602E" w:rsidRPr="00E6602E" w:rsidRDefault="00E6602E" w:rsidP="00E6602E">
            <w:pPr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Холин</w:t>
            </w:r>
          </w:p>
        </w:tc>
        <w:tc>
          <w:tcPr>
            <w:tcW w:w="138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60 (± 10%)</w:t>
            </w:r>
          </w:p>
        </w:tc>
        <w:tc>
          <w:tcPr>
            <w:tcW w:w="1371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120</w:t>
            </w:r>
          </w:p>
        </w:tc>
        <w:tc>
          <w:tcPr>
            <w:tcW w:w="225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24</w:t>
            </w:r>
            <w:r w:rsidRPr="00E6602E">
              <w:rPr>
                <w:bCs/>
                <w:sz w:val="14"/>
                <w:szCs w:val="14"/>
                <w:vertAlign w:val="superscript"/>
              </w:rPr>
              <w:t xml:space="preserve"> 2</w:t>
            </w:r>
          </w:p>
        </w:tc>
      </w:tr>
      <w:tr w:rsidR="00E6602E" w:rsidRPr="00E6602E" w:rsidTr="00E6602E">
        <w:tc>
          <w:tcPr>
            <w:tcW w:w="1719" w:type="dxa"/>
            <w:vAlign w:val="center"/>
          </w:tcPr>
          <w:p w:rsidR="00E6602E" w:rsidRPr="00E6602E" w:rsidRDefault="00E6602E" w:rsidP="00E6602E">
            <w:pPr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Уридин-5-монофосфат динатриевая соль</w:t>
            </w:r>
          </w:p>
        </w:tc>
        <w:tc>
          <w:tcPr>
            <w:tcW w:w="138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150 (± 10%)</w:t>
            </w:r>
          </w:p>
        </w:tc>
        <w:tc>
          <w:tcPr>
            <w:tcW w:w="1371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300</w:t>
            </w:r>
          </w:p>
        </w:tc>
        <w:tc>
          <w:tcPr>
            <w:tcW w:w="2258" w:type="dxa"/>
            <w:vAlign w:val="center"/>
          </w:tcPr>
          <w:p w:rsidR="00E6602E" w:rsidRPr="00E6602E" w:rsidRDefault="00E6602E" w:rsidP="00E6602E">
            <w:pPr>
              <w:jc w:val="center"/>
              <w:rPr>
                <w:bCs/>
                <w:sz w:val="14"/>
                <w:szCs w:val="14"/>
              </w:rPr>
            </w:pPr>
            <w:r w:rsidRPr="00E6602E">
              <w:rPr>
                <w:bCs/>
                <w:sz w:val="14"/>
                <w:szCs w:val="14"/>
              </w:rPr>
              <w:t>-</w:t>
            </w:r>
          </w:p>
        </w:tc>
      </w:tr>
    </w:tbl>
    <w:p w:rsidR="00E6602E" w:rsidRPr="00F97910" w:rsidRDefault="00E6602E" w:rsidP="00E6602E">
      <w:pPr>
        <w:spacing w:before="120" w:after="0" w:line="240" w:lineRule="auto"/>
        <w:rPr>
          <w:bCs/>
          <w:sz w:val="12"/>
          <w:szCs w:val="12"/>
        </w:rPr>
      </w:pPr>
      <w:r w:rsidRPr="00F97910">
        <w:rPr>
          <w:bCs/>
          <w:sz w:val="12"/>
          <w:szCs w:val="12"/>
        </w:rPr>
        <w:t>* не превышает верхний допустимый уровень потребления</w:t>
      </w:r>
      <w:r>
        <w:rPr>
          <w:bCs/>
          <w:sz w:val="12"/>
          <w:szCs w:val="12"/>
        </w:rPr>
        <w:t>, установленный</w:t>
      </w:r>
      <w:r w:rsidRPr="00F97910">
        <w:rPr>
          <w:bCs/>
          <w:sz w:val="12"/>
          <w:szCs w:val="12"/>
        </w:rPr>
        <w:t xml:space="preserve"> согласно «Едины</w:t>
      </w:r>
      <w:r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санитарно-эпидемиологически</w:t>
      </w:r>
      <w:r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и гигиенически</w:t>
      </w:r>
      <w:r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требования</w:t>
      </w:r>
      <w:r>
        <w:rPr>
          <w:bCs/>
          <w:sz w:val="12"/>
          <w:szCs w:val="12"/>
        </w:rPr>
        <w:t>м</w:t>
      </w:r>
      <w:r w:rsidRPr="00F97910">
        <w:rPr>
          <w:bCs/>
          <w:sz w:val="12"/>
          <w:szCs w:val="12"/>
        </w:rPr>
        <w:t xml:space="preserve"> к товарам, подлежащим санитарно-эпидемиологическому надзору (контролю)» (Глава II, раздел 1, Приложение 5)2;</w:t>
      </w:r>
    </w:p>
    <w:p w:rsidR="00E6602E" w:rsidRDefault="00E6602E" w:rsidP="00E6602E">
      <w:pPr>
        <w:spacing w:before="120" w:after="0" w:line="240" w:lineRule="auto"/>
        <w:rPr>
          <w:bCs/>
          <w:sz w:val="12"/>
          <w:szCs w:val="12"/>
        </w:rPr>
      </w:pPr>
      <w:r w:rsidRPr="00F97910">
        <w:rPr>
          <w:bCs/>
          <w:sz w:val="12"/>
          <w:szCs w:val="12"/>
        </w:rPr>
        <w:lastRenderedPageBreak/>
        <w:t>1 - согласно: ТР ТС 022/2011 «Пищевая продукция в части ее маркировки»  (Приложение 2).</w:t>
      </w:r>
    </w:p>
    <w:p w:rsidR="00F83A4F" w:rsidRPr="00F72E20" w:rsidRDefault="001C523D" w:rsidP="00F83A4F">
      <w:pPr>
        <w:spacing w:after="0" w:line="240" w:lineRule="auto"/>
        <w:rPr>
          <w:bCs/>
          <w:sz w:val="14"/>
          <w:szCs w:val="14"/>
        </w:rPr>
      </w:pPr>
      <w:r>
        <w:rPr>
          <w:bCs/>
          <w:sz w:val="12"/>
          <w:szCs w:val="12"/>
        </w:rPr>
        <w:t xml:space="preserve">2 </w:t>
      </w:r>
      <w:r w:rsidR="006548AC" w:rsidRPr="006548AC">
        <w:rPr>
          <w:bCs/>
          <w:sz w:val="12"/>
          <w:szCs w:val="12"/>
        </w:rPr>
        <w:t>– согласно «Единым санитарно-эпидемиологическим и гигиеническим требованиям к товарам, подлежащим санитарно-эпидемиологическому надзору (контролю)» (Глава II, раздел 1, Приложение 5);</w:t>
      </w:r>
    </w:p>
    <w:p w:rsidR="003E0E01" w:rsidRPr="00F72E20" w:rsidRDefault="003E0E01" w:rsidP="003E0E01">
      <w:pPr>
        <w:spacing w:before="120" w:after="0" w:line="240" w:lineRule="auto"/>
        <w:rPr>
          <w:b/>
          <w:bCs/>
          <w:i/>
          <w:sz w:val="14"/>
          <w:szCs w:val="14"/>
        </w:rPr>
      </w:pPr>
      <w:r w:rsidRPr="00F72E20">
        <w:rPr>
          <w:b/>
          <w:bCs/>
          <w:i/>
          <w:sz w:val="14"/>
          <w:szCs w:val="14"/>
        </w:rPr>
        <w:t>Информация о биологически активных веществах и их свойствах:</w:t>
      </w:r>
    </w:p>
    <w:p w:rsidR="003E0E01" w:rsidRPr="00F72E20" w:rsidRDefault="003E0E01" w:rsidP="003E0E01">
      <w:pPr>
        <w:pStyle w:val="a6"/>
        <w:spacing w:before="120" w:beforeAutospacing="0" w:after="0" w:afterAutospacing="0"/>
        <w:rPr>
          <w:rFonts w:ascii="Calibri" w:hAnsi="Calibri"/>
          <w:bCs/>
          <w:sz w:val="14"/>
          <w:szCs w:val="14"/>
        </w:rPr>
      </w:pPr>
      <w:r w:rsidRPr="00F72E20">
        <w:rPr>
          <w:rFonts w:ascii="Calibri" w:hAnsi="Calibri"/>
          <w:b/>
          <w:bCs/>
          <w:sz w:val="14"/>
          <w:szCs w:val="14"/>
        </w:rPr>
        <w:t>Уридин</w:t>
      </w:r>
      <w:r w:rsidR="00221398">
        <w:rPr>
          <w:rFonts w:ascii="Calibri" w:hAnsi="Calibri"/>
          <w:b/>
          <w:bCs/>
          <w:sz w:val="14"/>
          <w:szCs w:val="14"/>
        </w:rPr>
        <w:t xml:space="preserve">-5 </w:t>
      </w:r>
      <w:r w:rsidRPr="00F72E20">
        <w:rPr>
          <w:rFonts w:ascii="Calibri" w:hAnsi="Calibri"/>
          <w:b/>
          <w:bCs/>
          <w:sz w:val="14"/>
          <w:szCs w:val="14"/>
        </w:rPr>
        <w:t>монофосфат</w:t>
      </w:r>
      <w:r w:rsidRPr="00F72E20">
        <w:rPr>
          <w:rFonts w:ascii="Calibri" w:hAnsi="Calibri"/>
          <w:bCs/>
          <w:sz w:val="14"/>
          <w:szCs w:val="14"/>
        </w:rPr>
        <w:t xml:space="preserve">  - незаменимый компонент, способствующий регенерации нервного волокна, восстановлению поврежденных миелиновых оболочек нервов. Его поступление в организм извне имеет важное значение для процессов восстановления и регенерации</w:t>
      </w:r>
      <w:r>
        <w:rPr>
          <w:rFonts w:ascii="Calibri" w:hAnsi="Calibri"/>
          <w:bCs/>
          <w:sz w:val="14"/>
          <w:szCs w:val="14"/>
        </w:rPr>
        <w:t xml:space="preserve"> поврежденных </w:t>
      </w:r>
      <w:r w:rsidRPr="00F72E20">
        <w:rPr>
          <w:rFonts w:ascii="Calibri" w:hAnsi="Calibri"/>
          <w:bCs/>
          <w:sz w:val="14"/>
          <w:szCs w:val="14"/>
        </w:rPr>
        <w:t>нерв</w:t>
      </w:r>
      <w:r>
        <w:rPr>
          <w:rFonts w:ascii="Calibri" w:hAnsi="Calibri"/>
          <w:bCs/>
          <w:sz w:val="14"/>
          <w:szCs w:val="14"/>
        </w:rPr>
        <w:t>ных волокон</w:t>
      </w:r>
      <w:r w:rsidRPr="00F72E20">
        <w:rPr>
          <w:rFonts w:ascii="Calibri" w:hAnsi="Calibri"/>
          <w:bCs/>
          <w:sz w:val="14"/>
          <w:szCs w:val="14"/>
        </w:rPr>
        <w:t xml:space="preserve">. </w:t>
      </w:r>
    </w:p>
    <w:p w:rsidR="003E0E01" w:rsidRPr="00F72E20" w:rsidRDefault="003E0E01" w:rsidP="003E0E01">
      <w:pPr>
        <w:pStyle w:val="a6"/>
        <w:spacing w:before="0" w:beforeAutospacing="0" w:after="0" w:afterAutospacing="0"/>
        <w:rPr>
          <w:rFonts w:ascii="Calibri" w:hAnsi="Calibri"/>
          <w:sz w:val="14"/>
          <w:szCs w:val="14"/>
        </w:rPr>
      </w:pPr>
      <w:r w:rsidRPr="00F72E20">
        <w:rPr>
          <w:rFonts w:ascii="Calibri" w:hAnsi="Calibri"/>
          <w:sz w:val="14"/>
          <w:szCs w:val="14"/>
        </w:rPr>
        <w:t>Уридинмонофосфат усиливает синтез белка в головном мозге, способствует формированию мембран нервных клеток, развитию их отростков и формированию контактов между клетками.</w:t>
      </w:r>
    </w:p>
    <w:p w:rsidR="003E0E01" w:rsidRDefault="006548AC" w:rsidP="003E0E01">
      <w:pPr>
        <w:pStyle w:val="a6"/>
        <w:spacing w:before="120" w:beforeAutospacing="0" w:after="0" w:afterAutospacing="0"/>
        <w:rPr>
          <w:rFonts w:ascii="Calibri" w:hAnsi="Calibri" w:cs="Calibri"/>
          <w:sz w:val="14"/>
          <w:szCs w:val="14"/>
        </w:rPr>
      </w:pPr>
      <w:r w:rsidRPr="00F72E20">
        <w:rPr>
          <w:rFonts w:ascii="Calibri" w:hAnsi="Calibri" w:cs="Calibri"/>
          <w:b/>
          <w:sz w:val="14"/>
          <w:szCs w:val="14"/>
        </w:rPr>
        <w:t>Витамин В4</w:t>
      </w:r>
      <w:r w:rsidRPr="006548AC">
        <w:rPr>
          <w:rFonts w:ascii="Calibri" w:hAnsi="Calibri" w:cs="Calibri"/>
          <w:b/>
          <w:sz w:val="14"/>
          <w:szCs w:val="14"/>
        </w:rPr>
        <w:t xml:space="preserve"> (</w:t>
      </w:r>
      <w:r w:rsidR="003E0E01">
        <w:rPr>
          <w:rFonts w:ascii="Calibri" w:hAnsi="Calibri" w:cs="Calibri"/>
          <w:b/>
          <w:sz w:val="14"/>
          <w:szCs w:val="14"/>
        </w:rPr>
        <w:t>Х</w:t>
      </w:r>
      <w:r w:rsidR="003E0E01" w:rsidRPr="00F72E20">
        <w:rPr>
          <w:rFonts w:ascii="Calibri" w:hAnsi="Calibri" w:cs="Calibri"/>
          <w:b/>
          <w:sz w:val="14"/>
          <w:szCs w:val="14"/>
        </w:rPr>
        <w:t>олин</w:t>
      </w:r>
      <w:r w:rsidR="003E0E01">
        <w:rPr>
          <w:rFonts w:ascii="Calibri" w:hAnsi="Calibri" w:cs="Calibri"/>
          <w:b/>
          <w:sz w:val="14"/>
          <w:szCs w:val="14"/>
        </w:rPr>
        <w:t>а битартрат</w:t>
      </w:r>
      <w:r w:rsidR="003E0E01" w:rsidRPr="00F72E20">
        <w:rPr>
          <w:rFonts w:ascii="Calibri" w:hAnsi="Calibri" w:cs="Calibri"/>
          <w:b/>
          <w:sz w:val="14"/>
          <w:szCs w:val="14"/>
        </w:rPr>
        <w:t>)</w:t>
      </w:r>
      <w:r w:rsidR="003E0E01" w:rsidRPr="00F72E20">
        <w:rPr>
          <w:rFonts w:ascii="Calibri" w:hAnsi="Calibri" w:cs="Calibri"/>
          <w:sz w:val="14"/>
          <w:szCs w:val="14"/>
        </w:rPr>
        <w:t xml:space="preserve"> является предшественником одного из главных медиаторов центральной нервной системы – ацетилхолина, отвечающего за многие функции головного мозга (управление движением, мыслительный процесс, сон, память и т.д.). Входит в состав главного компонента мембран нервных клеток – фосфатидилхолина, дефицит которого приводит к когнитивным нарушениям и деменции.</w:t>
      </w:r>
    </w:p>
    <w:p w:rsidR="003E0E01" w:rsidRPr="001F6458" w:rsidRDefault="003E0E01" w:rsidP="003E0E01">
      <w:pPr>
        <w:pStyle w:val="a6"/>
        <w:spacing w:before="120" w:beforeAutospacing="0" w:after="0" w:afterAutospacing="0"/>
        <w:rPr>
          <w:rFonts w:ascii="Calibri" w:hAnsi="Calibri" w:cs="Calibri"/>
          <w:b/>
          <w:sz w:val="14"/>
          <w:szCs w:val="14"/>
        </w:rPr>
      </w:pPr>
      <w:r w:rsidRPr="001F6458">
        <w:rPr>
          <w:rFonts w:ascii="Calibri" w:hAnsi="Calibri" w:cs="Calibri"/>
          <w:b/>
          <w:sz w:val="14"/>
          <w:szCs w:val="14"/>
        </w:rPr>
        <w:t>Витамин В1 (</w:t>
      </w:r>
      <w:r w:rsidR="00DB6698">
        <w:rPr>
          <w:rFonts w:ascii="Calibri" w:hAnsi="Calibri" w:cs="Calibri"/>
          <w:b/>
          <w:sz w:val="14"/>
          <w:szCs w:val="14"/>
        </w:rPr>
        <w:t>Т</w:t>
      </w:r>
      <w:r w:rsidRPr="001F6458">
        <w:rPr>
          <w:rFonts w:ascii="Calibri" w:hAnsi="Calibri" w:cs="Calibri"/>
          <w:b/>
          <w:sz w:val="14"/>
          <w:szCs w:val="14"/>
        </w:rPr>
        <w:t>иамина гидрохлорид)</w:t>
      </w:r>
    </w:p>
    <w:p w:rsidR="003E0E01" w:rsidRPr="00F72E20" w:rsidRDefault="003E0E01" w:rsidP="003E0E01">
      <w:pPr>
        <w:spacing w:after="0" w:line="240" w:lineRule="auto"/>
        <w:rPr>
          <w:sz w:val="14"/>
          <w:szCs w:val="14"/>
        </w:rPr>
      </w:pPr>
      <w:r w:rsidRPr="00F72E20">
        <w:rPr>
          <w:sz w:val="14"/>
          <w:szCs w:val="14"/>
        </w:rPr>
        <w:t>Тиамин, находящийся в мембранах нервных клеток, оказывает влияние на процессы восстановления нервных клеток, регулирует проведение сигналов по нервным волокнам, а также участвует в обеспечении энергетических процессов в нервных клетках.</w:t>
      </w:r>
    </w:p>
    <w:p w:rsidR="003E0E01" w:rsidRPr="00F72E20" w:rsidRDefault="003E0E01" w:rsidP="003E0E01">
      <w:pPr>
        <w:spacing w:before="120" w:after="120" w:line="240" w:lineRule="auto"/>
        <w:rPr>
          <w:sz w:val="14"/>
          <w:szCs w:val="14"/>
        </w:rPr>
      </w:pPr>
      <w:r w:rsidRPr="00F72E20">
        <w:rPr>
          <w:b/>
          <w:sz w:val="14"/>
          <w:szCs w:val="14"/>
        </w:rPr>
        <w:t>Витамин B6 (</w:t>
      </w:r>
      <w:r w:rsidR="00DB6698">
        <w:rPr>
          <w:b/>
          <w:sz w:val="14"/>
          <w:szCs w:val="14"/>
        </w:rPr>
        <w:t>П</w:t>
      </w:r>
      <w:r w:rsidRPr="00F72E20">
        <w:rPr>
          <w:b/>
          <w:sz w:val="14"/>
          <w:szCs w:val="14"/>
        </w:rPr>
        <w:t>иридоксин</w:t>
      </w:r>
      <w:r w:rsidR="00DB6698">
        <w:rPr>
          <w:b/>
          <w:sz w:val="14"/>
          <w:szCs w:val="14"/>
        </w:rPr>
        <w:t xml:space="preserve">а </w:t>
      </w:r>
      <w:r w:rsidR="00DB6698" w:rsidRPr="00DB6698">
        <w:rPr>
          <w:b/>
          <w:sz w:val="14"/>
          <w:szCs w:val="14"/>
        </w:rPr>
        <w:t>гидрохлорид</w:t>
      </w:r>
      <w:r w:rsidRPr="00F72E20">
        <w:rPr>
          <w:b/>
          <w:sz w:val="14"/>
          <w:szCs w:val="14"/>
        </w:rPr>
        <w:t>)</w:t>
      </w:r>
      <w:r w:rsidRPr="00F72E20">
        <w:rPr>
          <w:sz w:val="14"/>
          <w:szCs w:val="14"/>
        </w:rPr>
        <w:t xml:space="preserve"> </w:t>
      </w:r>
      <w:r w:rsidRPr="00F72E20">
        <w:rPr>
          <w:rFonts w:eastAsia="Calibri"/>
          <w:sz w:val="14"/>
          <w:szCs w:val="14"/>
          <w:lang w:eastAsia="en-US"/>
        </w:rPr>
        <w:t>участвует в метаболизме белков нервной ткани</w:t>
      </w:r>
      <w:r w:rsidRPr="00F72E20">
        <w:rPr>
          <w:sz w:val="14"/>
          <w:szCs w:val="14"/>
        </w:rPr>
        <w:t>. Он способствует выработке энергии в организме</w:t>
      </w:r>
      <w:r>
        <w:rPr>
          <w:sz w:val="14"/>
          <w:szCs w:val="14"/>
        </w:rPr>
        <w:t>, а также</w:t>
      </w:r>
      <w:r w:rsidRPr="00F72E20">
        <w:rPr>
          <w:sz w:val="14"/>
          <w:szCs w:val="14"/>
        </w:rPr>
        <w:t xml:space="preserve"> обладает антиоксидантным действием. </w:t>
      </w:r>
    </w:p>
    <w:p w:rsidR="003E0E01" w:rsidRPr="00F72E20" w:rsidRDefault="006548AC" w:rsidP="003E0E01">
      <w:pPr>
        <w:spacing w:after="120" w:line="240" w:lineRule="auto"/>
        <w:rPr>
          <w:bCs/>
          <w:sz w:val="14"/>
          <w:szCs w:val="14"/>
        </w:rPr>
      </w:pPr>
      <w:bookmarkStart w:id="0" w:name="3"/>
      <w:bookmarkStart w:id="1" w:name="4"/>
      <w:bookmarkStart w:id="2" w:name="5"/>
      <w:bookmarkEnd w:id="0"/>
      <w:bookmarkEnd w:id="1"/>
      <w:bookmarkEnd w:id="2"/>
      <w:r>
        <w:rPr>
          <w:b/>
          <w:bCs/>
          <w:sz w:val="14"/>
          <w:szCs w:val="14"/>
        </w:rPr>
        <w:t>Витамин</w:t>
      </w:r>
      <w:r w:rsidRPr="006548AC">
        <w:rPr>
          <w:b/>
          <w:bCs/>
          <w:sz w:val="14"/>
          <w:szCs w:val="14"/>
        </w:rPr>
        <w:t xml:space="preserve"> </w:t>
      </w:r>
      <w:r w:rsidRPr="00F72E20">
        <w:rPr>
          <w:b/>
          <w:bCs/>
          <w:sz w:val="14"/>
          <w:szCs w:val="14"/>
        </w:rPr>
        <w:t>B9</w:t>
      </w:r>
      <w:r w:rsidRPr="006548AC">
        <w:rPr>
          <w:b/>
          <w:bCs/>
          <w:sz w:val="14"/>
          <w:szCs w:val="14"/>
        </w:rPr>
        <w:t xml:space="preserve"> </w:t>
      </w:r>
      <w:r>
        <w:rPr>
          <w:b/>
          <w:bCs/>
          <w:sz w:val="14"/>
          <w:szCs w:val="14"/>
        </w:rPr>
        <w:t>(Фолиевая кислота</w:t>
      </w:r>
      <w:r w:rsidR="003E0E01" w:rsidRPr="00F72E20">
        <w:rPr>
          <w:b/>
          <w:bCs/>
          <w:sz w:val="14"/>
          <w:szCs w:val="14"/>
        </w:rPr>
        <w:t>)</w:t>
      </w:r>
      <w:r w:rsidR="003E0E01" w:rsidRPr="00F72E20">
        <w:rPr>
          <w:bCs/>
          <w:sz w:val="14"/>
          <w:szCs w:val="14"/>
        </w:rPr>
        <w:t xml:space="preserve"> выступает в качестве кофермента во множестве реакций восстановления нервных волокон, в особенности в метаболизме белка и нуклеиновых кислот. </w:t>
      </w:r>
    </w:p>
    <w:p w:rsidR="003E0E01" w:rsidRPr="00F72E20" w:rsidRDefault="003E0E01" w:rsidP="003E0E01">
      <w:pPr>
        <w:spacing w:after="120" w:line="240" w:lineRule="auto"/>
        <w:rPr>
          <w:bCs/>
          <w:sz w:val="14"/>
          <w:szCs w:val="14"/>
        </w:rPr>
      </w:pPr>
      <w:r w:rsidRPr="00F72E20">
        <w:rPr>
          <w:b/>
          <w:bCs/>
          <w:sz w:val="14"/>
          <w:szCs w:val="14"/>
        </w:rPr>
        <w:t>Витамин B12 (</w:t>
      </w:r>
      <w:r w:rsidR="00DB6698">
        <w:rPr>
          <w:b/>
          <w:bCs/>
          <w:sz w:val="14"/>
          <w:szCs w:val="14"/>
        </w:rPr>
        <w:t>Ц</w:t>
      </w:r>
      <w:r w:rsidRPr="00F72E20">
        <w:rPr>
          <w:b/>
          <w:bCs/>
          <w:sz w:val="14"/>
          <w:szCs w:val="14"/>
        </w:rPr>
        <w:t>ианокобаламин)</w:t>
      </w:r>
      <w:r w:rsidRPr="00F72E20">
        <w:rPr>
          <w:bCs/>
          <w:sz w:val="14"/>
          <w:szCs w:val="14"/>
        </w:rPr>
        <w:t xml:space="preserve"> имеет важное значение для нервной системы, так как участвует в биохимических процессах, обеспечивающих образование миелиновой оболочки</w:t>
      </w:r>
      <w:r>
        <w:rPr>
          <w:bCs/>
          <w:sz w:val="14"/>
          <w:szCs w:val="14"/>
        </w:rPr>
        <w:t xml:space="preserve"> нервов</w:t>
      </w:r>
      <w:r w:rsidRPr="00F72E20">
        <w:rPr>
          <w:bCs/>
          <w:sz w:val="14"/>
          <w:szCs w:val="14"/>
        </w:rPr>
        <w:t xml:space="preserve">. Также витамин B12 переводит фолиевую кислоту в ее активную форму. Он необходим для создания ДНК и РНК в каждой клетке тела. </w:t>
      </w:r>
    </w:p>
    <w:p w:rsidR="003E0E01" w:rsidRDefault="003E0E01" w:rsidP="003E0E01">
      <w:pPr>
        <w:spacing w:before="120" w:after="0" w:line="240" w:lineRule="auto"/>
        <w:rPr>
          <w:bCs/>
          <w:sz w:val="14"/>
          <w:szCs w:val="14"/>
        </w:rPr>
      </w:pPr>
      <w:r w:rsidRPr="00F72E20">
        <w:rPr>
          <w:b/>
          <w:bCs/>
          <w:i/>
          <w:sz w:val="14"/>
          <w:szCs w:val="14"/>
        </w:rPr>
        <w:t>Область применения:</w:t>
      </w:r>
      <w:r w:rsidRPr="00F72E20">
        <w:rPr>
          <w:b/>
          <w:bCs/>
          <w:sz w:val="14"/>
          <w:szCs w:val="14"/>
        </w:rPr>
        <w:t xml:space="preserve"> </w:t>
      </w:r>
      <w:r w:rsidRPr="003E0E01">
        <w:rPr>
          <w:bCs/>
          <w:sz w:val="14"/>
          <w:szCs w:val="14"/>
        </w:rPr>
        <w:t>в качестве биологи</w:t>
      </w:r>
      <w:r>
        <w:rPr>
          <w:bCs/>
          <w:sz w:val="14"/>
          <w:szCs w:val="14"/>
        </w:rPr>
        <w:t>чески активной добавки к пище -</w:t>
      </w:r>
      <w:r w:rsidRPr="003E0E01">
        <w:rPr>
          <w:bCs/>
          <w:sz w:val="14"/>
          <w:szCs w:val="14"/>
        </w:rPr>
        <w:t xml:space="preserve"> дополнительного источника витаминов В1, В6, В12 и фолиевой кислоты, источника холина, содержащей натриевую соль уридинмонофосфата.</w:t>
      </w:r>
    </w:p>
    <w:p w:rsidR="003E0E01" w:rsidRPr="00F72E20" w:rsidRDefault="003E0E01" w:rsidP="003E0E01">
      <w:pPr>
        <w:spacing w:before="120" w:after="0" w:line="240" w:lineRule="auto"/>
        <w:rPr>
          <w:bCs/>
          <w:sz w:val="14"/>
          <w:szCs w:val="14"/>
        </w:rPr>
      </w:pPr>
      <w:r w:rsidRPr="00F72E20">
        <w:rPr>
          <w:bCs/>
          <w:sz w:val="14"/>
          <w:szCs w:val="14"/>
        </w:rPr>
        <w:t>БАД, не является лекарственным средством.</w:t>
      </w:r>
      <w:r w:rsidRPr="00F72E20">
        <w:rPr>
          <w:bCs/>
          <w:sz w:val="14"/>
          <w:szCs w:val="14"/>
        </w:rPr>
        <w:tab/>
      </w:r>
    </w:p>
    <w:p w:rsidR="003E0E01" w:rsidRPr="00F72E20" w:rsidRDefault="003E0E01" w:rsidP="003E0E01">
      <w:pPr>
        <w:spacing w:before="120" w:after="0" w:line="240" w:lineRule="auto"/>
        <w:rPr>
          <w:bCs/>
          <w:sz w:val="14"/>
          <w:szCs w:val="14"/>
        </w:rPr>
      </w:pPr>
      <w:bookmarkStart w:id="3" w:name="6"/>
      <w:bookmarkEnd w:id="3"/>
      <w:r w:rsidRPr="00F72E20">
        <w:rPr>
          <w:b/>
          <w:bCs/>
          <w:i/>
          <w:sz w:val="14"/>
          <w:szCs w:val="14"/>
        </w:rPr>
        <w:t xml:space="preserve">Противопоказания: </w:t>
      </w:r>
      <w:r w:rsidRPr="00F72E20">
        <w:rPr>
          <w:bCs/>
          <w:sz w:val="14"/>
          <w:szCs w:val="14"/>
        </w:rPr>
        <w:t>индивидуальная непереносимость компонентов, беременность, кормление грудью.</w:t>
      </w:r>
    </w:p>
    <w:p w:rsidR="003E0E01" w:rsidRPr="00F72E20" w:rsidRDefault="003E0E01" w:rsidP="003E0E01">
      <w:pPr>
        <w:shd w:val="clear" w:color="auto" w:fill="FFFFFF"/>
        <w:spacing w:before="100" w:after="66" w:line="240" w:lineRule="auto"/>
        <w:ind w:right="199"/>
        <w:outlineLvl w:val="1"/>
        <w:rPr>
          <w:rFonts w:cs="Arial"/>
          <w:b/>
          <w:bCs/>
          <w:color w:val="000000"/>
          <w:sz w:val="14"/>
          <w:szCs w:val="14"/>
        </w:rPr>
      </w:pPr>
      <w:r w:rsidRPr="00F72E20">
        <w:rPr>
          <w:rFonts w:eastAsia="Calibri"/>
          <w:sz w:val="14"/>
          <w:szCs w:val="14"/>
          <w:lang w:eastAsia="en-US"/>
        </w:rPr>
        <w:t>Перед применением рекомендуется проконсультироваться с врачом.</w:t>
      </w:r>
    </w:p>
    <w:p w:rsidR="003E0E01" w:rsidRDefault="003E0E01" w:rsidP="003E0E01">
      <w:pPr>
        <w:spacing w:before="120" w:after="0" w:line="240" w:lineRule="auto"/>
        <w:rPr>
          <w:bCs/>
          <w:sz w:val="14"/>
          <w:szCs w:val="14"/>
        </w:rPr>
      </w:pPr>
      <w:bookmarkStart w:id="4" w:name="7"/>
      <w:bookmarkStart w:id="5" w:name="8"/>
      <w:bookmarkEnd w:id="4"/>
      <w:bookmarkEnd w:id="5"/>
      <w:r w:rsidRPr="00F72E20">
        <w:rPr>
          <w:b/>
          <w:bCs/>
          <w:i/>
          <w:sz w:val="14"/>
          <w:szCs w:val="14"/>
        </w:rPr>
        <w:t xml:space="preserve">Способ применения и дозы: </w:t>
      </w:r>
      <w:bookmarkStart w:id="6" w:name="9"/>
      <w:bookmarkStart w:id="7" w:name="13"/>
      <w:bookmarkStart w:id="8" w:name="14"/>
      <w:bookmarkStart w:id="9" w:name="15"/>
      <w:bookmarkEnd w:id="6"/>
      <w:bookmarkEnd w:id="7"/>
      <w:bookmarkEnd w:id="8"/>
      <w:bookmarkEnd w:id="9"/>
      <w:r w:rsidRPr="003E0E01">
        <w:rPr>
          <w:bCs/>
          <w:sz w:val="14"/>
          <w:szCs w:val="14"/>
        </w:rPr>
        <w:t>взрослым по 2 таблетки в день, запивая достаточным количеством воды. Продолжительность приема - 1 месяц. При необходимости прием можно повторить.</w:t>
      </w:r>
    </w:p>
    <w:p w:rsidR="003E0E01" w:rsidRPr="00F72E20" w:rsidRDefault="003E0E01" w:rsidP="003E0E01">
      <w:pPr>
        <w:spacing w:before="120" w:after="0" w:line="240" w:lineRule="auto"/>
        <w:rPr>
          <w:b/>
          <w:bCs/>
          <w:i/>
          <w:sz w:val="14"/>
          <w:szCs w:val="14"/>
        </w:rPr>
      </w:pPr>
      <w:r w:rsidRPr="00F72E20">
        <w:rPr>
          <w:b/>
          <w:bCs/>
          <w:i/>
          <w:sz w:val="14"/>
          <w:szCs w:val="14"/>
        </w:rPr>
        <w:t xml:space="preserve">Условия хранения: </w:t>
      </w:r>
      <w:r w:rsidRPr="00F72E20">
        <w:rPr>
          <w:bCs/>
          <w:sz w:val="14"/>
          <w:szCs w:val="14"/>
        </w:rPr>
        <w:t>хранить в защищенном от воздействия прямых солнечных лучей и недоступном для детей месте, при температуре не выше 25°С.</w:t>
      </w:r>
    </w:p>
    <w:p w:rsidR="003E0E01" w:rsidRPr="00F72E20" w:rsidRDefault="003E0E01" w:rsidP="003E0E01">
      <w:pPr>
        <w:spacing w:before="120" w:after="0" w:line="240" w:lineRule="auto"/>
        <w:rPr>
          <w:b/>
          <w:bCs/>
          <w:i/>
          <w:sz w:val="14"/>
          <w:szCs w:val="14"/>
        </w:rPr>
      </w:pPr>
      <w:bookmarkStart w:id="10" w:name="16"/>
      <w:bookmarkEnd w:id="10"/>
      <w:r w:rsidRPr="00F72E20">
        <w:rPr>
          <w:b/>
          <w:bCs/>
          <w:i/>
          <w:sz w:val="14"/>
          <w:szCs w:val="14"/>
        </w:rPr>
        <w:t xml:space="preserve">Срок годности: </w:t>
      </w:r>
      <w:r w:rsidRPr="00F72E20">
        <w:rPr>
          <w:bCs/>
          <w:sz w:val="14"/>
          <w:szCs w:val="14"/>
        </w:rPr>
        <w:t>2 года.</w:t>
      </w:r>
    </w:p>
    <w:p w:rsidR="003E0E01" w:rsidRPr="00F83A4F" w:rsidRDefault="00F83A4F" w:rsidP="00F83A4F">
      <w:pPr>
        <w:spacing w:before="120" w:after="0" w:line="240" w:lineRule="auto"/>
        <w:jc w:val="both"/>
        <w:rPr>
          <w:rFonts w:cstheme="minorHAnsi"/>
          <w:bCs/>
          <w:sz w:val="14"/>
          <w:szCs w:val="14"/>
        </w:rPr>
      </w:pPr>
      <w:bookmarkStart w:id="11" w:name="17"/>
      <w:bookmarkEnd w:id="11"/>
      <w:r w:rsidRPr="00F83A4F">
        <w:rPr>
          <w:rFonts w:cstheme="minorHAnsi"/>
          <w:b/>
          <w:bCs/>
          <w:i/>
          <w:sz w:val="14"/>
          <w:szCs w:val="14"/>
        </w:rPr>
        <w:t>М</w:t>
      </w:r>
      <w:r w:rsidRPr="00F83A4F">
        <w:rPr>
          <w:rFonts w:cstheme="minorHAnsi"/>
          <w:b/>
          <w:i/>
          <w:sz w:val="14"/>
          <w:szCs w:val="14"/>
        </w:rPr>
        <w:t>еста реализации</w:t>
      </w:r>
      <w:r w:rsidRPr="00F83A4F">
        <w:rPr>
          <w:rFonts w:cstheme="minorHAnsi"/>
          <w:sz w:val="14"/>
          <w:szCs w:val="14"/>
        </w:rPr>
        <w:t xml:space="preserve"> определяются национальным законодательством государств-членов Евразийского экономического союза.</w:t>
      </w:r>
    </w:p>
    <w:p w:rsidR="003E0E01" w:rsidRPr="00F72E20" w:rsidRDefault="003E0E01" w:rsidP="003E0E01">
      <w:pPr>
        <w:spacing w:before="120" w:after="0" w:line="240" w:lineRule="auto"/>
        <w:rPr>
          <w:i/>
          <w:sz w:val="14"/>
          <w:szCs w:val="14"/>
        </w:rPr>
      </w:pPr>
      <w:r w:rsidRPr="00F72E20">
        <w:rPr>
          <w:b/>
          <w:bCs/>
          <w:i/>
          <w:sz w:val="14"/>
          <w:szCs w:val="14"/>
        </w:rPr>
        <w:t>Производитель / Организация, принимающая претензии потребителей:</w:t>
      </w:r>
    </w:p>
    <w:p w:rsidR="003E0E01" w:rsidRPr="00F72E20" w:rsidRDefault="003E0E01" w:rsidP="003E0E01">
      <w:pPr>
        <w:spacing w:after="0" w:line="240" w:lineRule="auto"/>
        <w:rPr>
          <w:sz w:val="14"/>
          <w:szCs w:val="14"/>
        </w:rPr>
      </w:pPr>
      <w:r w:rsidRPr="00F72E20">
        <w:rPr>
          <w:sz w:val="14"/>
          <w:szCs w:val="14"/>
        </w:rPr>
        <w:t xml:space="preserve">ООО «Квадрат-С», РФ, 107143, г. Москва, 2-й Иртышский пр-д, д. 4Б, стр. 5, </w:t>
      </w:r>
    </w:p>
    <w:p w:rsidR="003E0E01" w:rsidRPr="00F72E20" w:rsidRDefault="003E0E01" w:rsidP="003E0E01">
      <w:pPr>
        <w:spacing w:after="0" w:line="240" w:lineRule="auto"/>
        <w:rPr>
          <w:sz w:val="14"/>
          <w:szCs w:val="14"/>
        </w:rPr>
      </w:pPr>
      <w:r w:rsidRPr="00F72E20">
        <w:rPr>
          <w:sz w:val="14"/>
          <w:szCs w:val="14"/>
        </w:rPr>
        <w:t>тел./факс: 8 (495) 230-01-17</w:t>
      </w:r>
    </w:p>
    <w:p w:rsidR="003E0E01" w:rsidRPr="00F72E20" w:rsidRDefault="003E0E01" w:rsidP="003E0E01">
      <w:pPr>
        <w:spacing w:after="0" w:line="240" w:lineRule="auto"/>
        <w:rPr>
          <w:sz w:val="14"/>
          <w:szCs w:val="14"/>
        </w:rPr>
      </w:pPr>
      <w:r w:rsidRPr="00F72E20">
        <w:rPr>
          <w:sz w:val="14"/>
          <w:szCs w:val="14"/>
        </w:rPr>
        <w:t>Электронная почта: info@</w:t>
      </w:r>
      <w:r w:rsidRPr="00F72E20">
        <w:rPr>
          <w:sz w:val="14"/>
          <w:szCs w:val="14"/>
          <w:lang w:val="en-US"/>
        </w:rPr>
        <w:t>kvadrat</w:t>
      </w:r>
      <w:r w:rsidRPr="00F72E20">
        <w:rPr>
          <w:sz w:val="14"/>
          <w:szCs w:val="14"/>
        </w:rPr>
        <w:t>-</w:t>
      </w:r>
      <w:r w:rsidRPr="00F72E20">
        <w:rPr>
          <w:sz w:val="14"/>
          <w:szCs w:val="14"/>
          <w:lang w:val="en-US"/>
        </w:rPr>
        <w:t>c</w:t>
      </w:r>
      <w:r w:rsidRPr="00F72E20">
        <w:rPr>
          <w:sz w:val="14"/>
          <w:szCs w:val="14"/>
        </w:rPr>
        <w:t>.</w:t>
      </w:r>
      <w:r w:rsidRPr="00F72E20">
        <w:rPr>
          <w:sz w:val="14"/>
          <w:szCs w:val="14"/>
          <w:lang w:val="en-US"/>
        </w:rPr>
        <w:t>ru</w:t>
      </w:r>
    </w:p>
    <w:p w:rsidR="003E0E01" w:rsidRPr="00F72E20" w:rsidRDefault="003E0E01" w:rsidP="003E0E01">
      <w:pPr>
        <w:spacing w:after="0" w:line="240" w:lineRule="auto"/>
        <w:rPr>
          <w:i/>
          <w:sz w:val="14"/>
          <w:szCs w:val="14"/>
          <w:u w:val="single"/>
        </w:rPr>
      </w:pPr>
      <w:r w:rsidRPr="00F72E20">
        <w:rPr>
          <w:sz w:val="14"/>
          <w:szCs w:val="14"/>
        </w:rPr>
        <w:t xml:space="preserve">Адрес в интернете: </w:t>
      </w:r>
      <w:hyperlink r:id="rId7" w:history="1">
        <w:r w:rsidRPr="00F72E20">
          <w:rPr>
            <w:rStyle w:val="a5"/>
            <w:sz w:val="14"/>
            <w:szCs w:val="14"/>
            <w:lang w:val="en-US"/>
          </w:rPr>
          <w:t>www</w:t>
        </w:r>
        <w:r w:rsidRPr="00F72E20">
          <w:rPr>
            <w:rStyle w:val="a5"/>
            <w:sz w:val="14"/>
            <w:szCs w:val="14"/>
          </w:rPr>
          <w:t>.</w:t>
        </w:r>
        <w:r w:rsidRPr="00F72E20">
          <w:rPr>
            <w:rStyle w:val="a5"/>
            <w:sz w:val="14"/>
            <w:szCs w:val="14"/>
            <w:lang w:val="en-US"/>
          </w:rPr>
          <w:t>kvadrat</w:t>
        </w:r>
      </w:hyperlink>
      <w:r w:rsidRPr="00F72E20">
        <w:rPr>
          <w:sz w:val="14"/>
          <w:szCs w:val="14"/>
        </w:rPr>
        <w:t>-</w:t>
      </w:r>
      <w:r w:rsidRPr="00F72E20">
        <w:rPr>
          <w:sz w:val="14"/>
          <w:szCs w:val="14"/>
          <w:lang w:val="en-US"/>
        </w:rPr>
        <w:t>c</w:t>
      </w:r>
      <w:r w:rsidRPr="00F72E20">
        <w:rPr>
          <w:sz w:val="14"/>
          <w:szCs w:val="14"/>
        </w:rPr>
        <w:t>.</w:t>
      </w:r>
      <w:r w:rsidRPr="00F72E20">
        <w:rPr>
          <w:sz w:val="14"/>
          <w:szCs w:val="14"/>
          <w:lang w:val="en-US"/>
        </w:rPr>
        <w:t>ru</w:t>
      </w:r>
    </w:p>
    <w:p w:rsidR="003E0E01" w:rsidRPr="00F72E20" w:rsidRDefault="003E0E01" w:rsidP="003E0E01">
      <w:pPr>
        <w:spacing w:before="120" w:after="0" w:line="240" w:lineRule="auto"/>
        <w:rPr>
          <w:b/>
          <w:bCs/>
          <w:sz w:val="14"/>
          <w:szCs w:val="14"/>
        </w:rPr>
      </w:pPr>
      <w:r w:rsidRPr="00F72E20">
        <w:rPr>
          <w:b/>
          <w:bCs/>
          <w:i/>
          <w:sz w:val="14"/>
          <w:szCs w:val="14"/>
        </w:rPr>
        <w:lastRenderedPageBreak/>
        <w:t>Адрес производства:</w:t>
      </w:r>
      <w:r w:rsidRPr="00F72E20">
        <w:rPr>
          <w:b/>
          <w:bCs/>
          <w:sz w:val="14"/>
          <w:szCs w:val="14"/>
        </w:rPr>
        <w:t xml:space="preserve"> </w:t>
      </w:r>
    </w:p>
    <w:p w:rsidR="003E0E01" w:rsidRDefault="003E0E01" w:rsidP="003E0E01">
      <w:pPr>
        <w:spacing w:after="0" w:line="240" w:lineRule="auto"/>
        <w:rPr>
          <w:bCs/>
          <w:sz w:val="14"/>
          <w:szCs w:val="14"/>
        </w:rPr>
      </w:pPr>
      <w:r w:rsidRPr="00F72E20">
        <w:rPr>
          <w:bCs/>
          <w:sz w:val="14"/>
          <w:szCs w:val="14"/>
        </w:rPr>
        <w:t xml:space="preserve">РФ, 612711, Кировская область, Омутнинский район, пгт. Восточный, ул. Заводская, д. 1, </w:t>
      </w:r>
    </w:p>
    <w:p w:rsidR="003E0E01" w:rsidRPr="003E0E01" w:rsidRDefault="003E0E01" w:rsidP="003E0E01">
      <w:pPr>
        <w:spacing w:after="0" w:line="240" w:lineRule="auto"/>
        <w:rPr>
          <w:sz w:val="14"/>
          <w:szCs w:val="14"/>
        </w:rPr>
      </w:pPr>
      <w:r w:rsidRPr="00F72E20">
        <w:rPr>
          <w:bCs/>
          <w:sz w:val="14"/>
          <w:szCs w:val="14"/>
        </w:rPr>
        <w:t>тел.:</w:t>
      </w:r>
      <w:r w:rsidRPr="003E0E01">
        <w:t xml:space="preserve"> </w:t>
      </w:r>
      <w:r w:rsidRPr="003E0E01">
        <w:rPr>
          <w:bCs/>
          <w:sz w:val="14"/>
          <w:szCs w:val="14"/>
        </w:rPr>
        <w:t>8 (83352) 33-7-94</w:t>
      </w:r>
    </w:p>
    <w:p w:rsidR="003E0E01" w:rsidRPr="00F83A4F" w:rsidRDefault="003E0E01" w:rsidP="003E0E01">
      <w:pPr>
        <w:spacing w:before="240" w:after="0" w:line="240" w:lineRule="auto"/>
        <w:jc w:val="both"/>
        <w:rPr>
          <w:rFonts w:cstheme="minorHAnsi"/>
          <w:b/>
          <w:i/>
          <w:color w:val="000000" w:themeColor="text1"/>
          <w:sz w:val="14"/>
          <w:szCs w:val="14"/>
        </w:rPr>
      </w:pPr>
      <w:r w:rsidRPr="00F83A4F">
        <w:rPr>
          <w:rFonts w:cstheme="minorHAnsi"/>
          <w:b/>
          <w:i/>
          <w:color w:val="000000" w:themeColor="text1"/>
          <w:sz w:val="14"/>
          <w:szCs w:val="14"/>
        </w:rPr>
        <w:t>Свидетельство о государственной регистрации:</w:t>
      </w:r>
    </w:p>
    <w:p w:rsidR="00F83A4F" w:rsidRPr="00F83A4F" w:rsidRDefault="00F83A4F" w:rsidP="003E0E01">
      <w:pPr>
        <w:spacing w:after="0" w:line="240" w:lineRule="auto"/>
        <w:jc w:val="both"/>
        <w:rPr>
          <w:rFonts w:cstheme="minorHAnsi"/>
          <w:color w:val="000000" w:themeColor="text1"/>
          <w:sz w:val="14"/>
          <w:szCs w:val="14"/>
        </w:rPr>
      </w:pPr>
      <w:r w:rsidRPr="00F83A4F">
        <w:rPr>
          <w:rFonts w:cstheme="minorHAnsi"/>
          <w:color w:val="000000" w:themeColor="text1"/>
          <w:sz w:val="14"/>
          <w:szCs w:val="14"/>
        </w:rPr>
        <w:t>RU.77.99.11.003.R.003501.10.20 от 23.10.2020</w:t>
      </w:r>
    </w:p>
    <w:p w:rsidR="003E0E01" w:rsidRPr="00F83A4F" w:rsidRDefault="003E0E01" w:rsidP="003E0E01">
      <w:pPr>
        <w:spacing w:after="0" w:line="240" w:lineRule="auto"/>
        <w:jc w:val="both"/>
        <w:rPr>
          <w:rFonts w:cstheme="minorHAnsi"/>
          <w:b/>
          <w:i/>
          <w:color w:val="000000" w:themeColor="text1"/>
          <w:sz w:val="14"/>
          <w:szCs w:val="14"/>
        </w:rPr>
      </w:pPr>
      <w:r w:rsidRPr="00F83A4F">
        <w:rPr>
          <w:rFonts w:cstheme="minorHAnsi"/>
          <w:b/>
          <w:i/>
          <w:color w:val="000000" w:themeColor="text1"/>
          <w:sz w:val="14"/>
          <w:szCs w:val="14"/>
        </w:rPr>
        <w:t>Изготовлена в соответствии с документами:</w:t>
      </w:r>
    </w:p>
    <w:p w:rsidR="00F83A4F" w:rsidRPr="00F83A4F" w:rsidRDefault="00F83A4F" w:rsidP="003E0E01">
      <w:pPr>
        <w:spacing w:after="0" w:line="240" w:lineRule="auto"/>
        <w:jc w:val="both"/>
        <w:rPr>
          <w:rFonts w:cstheme="minorHAnsi"/>
          <w:color w:val="000000" w:themeColor="text1"/>
          <w:sz w:val="14"/>
          <w:szCs w:val="14"/>
        </w:rPr>
      </w:pPr>
      <w:r w:rsidRPr="00F83A4F">
        <w:rPr>
          <w:rFonts w:cstheme="minorHAnsi"/>
          <w:color w:val="000000" w:themeColor="text1"/>
          <w:sz w:val="14"/>
          <w:szCs w:val="14"/>
        </w:rPr>
        <w:t>ТУ 10.89.19-086-66999749-2019</w:t>
      </w:r>
    </w:p>
    <w:p w:rsidR="00702852" w:rsidRDefault="00702852"/>
    <w:sectPr w:rsidR="00702852" w:rsidSect="00E14A6E">
      <w:pgSz w:w="7088" w:h="9979" w:code="9"/>
      <w:pgMar w:top="284" w:right="284" w:bottom="284" w:left="284" w:header="709" w:footer="191" w:gutter="0"/>
      <w:pgBorders w:offsetFrom="page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644" w:rsidRDefault="00836644" w:rsidP="00F83A4F">
      <w:pPr>
        <w:spacing w:after="0" w:line="240" w:lineRule="auto"/>
      </w:pPr>
      <w:r>
        <w:separator/>
      </w:r>
    </w:p>
  </w:endnote>
  <w:endnote w:type="continuationSeparator" w:id="0">
    <w:p w:rsidR="00836644" w:rsidRDefault="00836644" w:rsidP="00F8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644" w:rsidRDefault="00836644" w:rsidP="00F83A4F">
      <w:pPr>
        <w:spacing w:after="0" w:line="240" w:lineRule="auto"/>
      </w:pPr>
      <w:r>
        <w:separator/>
      </w:r>
    </w:p>
  </w:footnote>
  <w:footnote w:type="continuationSeparator" w:id="0">
    <w:p w:rsidR="00836644" w:rsidRDefault="00836644" w:rsidP="00F83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E01"/>
    <w:rsid w:val="001C523D"/>
    <w:rsid w:val="00221398"/>
    <w:rsid w:val="003E0E01"/>
    <w:rsid w:val="004735EF"/>
    <w:rsid w:val="004821C6"/>
    <w:rsid w:val="004C08AB"/>
    <w:rsid w:val="006548AC"/>
    <w:rsid w:val="0067400F"/>
    <w:rsid w:val="00702852"/>
    <w:rsid w:val="00836644"/>
    <w:rsid w:val="0086534D"/>
    <w:rsid w:val="008A2713"/>
    <w:rsid w:val="00977017"/>
    <w:rsid w:val="00A66E70"/>
    <w:rsid w:val="00DB6698"/>
    <w:rsid w:val="00E32E1B"/>
    <w:rsid w:val="00E6602E"/>
    <w:rsid w:val="00F83A4F"/>
    <w:rsid w:val="00FC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E0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E0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E0E01"/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3E0E0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E0E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F8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A4F"/>
    <w:rPr>
      <w:rFonts w:ascii="Calibri" w:eastAsia="Times New Roman" w:hAnsi="Calibri" w:cs="Times New Roman"/>
      <w:lang w:eastAsia="ru-RU"/>
    </w:rPr>
  </w:style>
  <w:style w:type="table" w:styleId="a9">
    <w:name w:val="Table Grid"/>
    <w:basedOn w:val="a1"/>
    <w:uiPriority w:val="59"/>
    <w:rsid w:val="00E66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1C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523D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basedOn w:val="a0"/>
    <w:uiPriority w:val="99"/>
    <w:semiHidden/>
    <w:unhideWhenUsed/>
    <w:rsid w:val="001C523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C523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C523D"/>
    <w:rPr>
      <w:rFonts w:ascii="Calibri" w:eastAsia="Times New Roman" w:hAnsi="Calibri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C523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C52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vadr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80C03-DAF1-4BDE-BB3E-C3AE01A1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Лямина</dc:creator>
  <cp:lastModifiedBy>Ксения Лямина</cp:lastModifiedBy>
  <cp:revision>2</cp:revision>
  <dcterms:created xsi:type="dcterms:W3CDTF">2020-12-21T15:22:00Z</dcterms:created>
  <dcterms:modified xsi:type="dcterms:W3CDTF">2020-12-21T15:22:00Z</dcterms:modified>
</cp:coreProperties>
</file>