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color w:val="8B0000"/>
          <w:sz w:val="40"/>
          <w:szCs w:val="40"/>
        </w:rPr>
        <w:t xml:space="preserve">Financial Performance Analysis</w:t>
      </w:r>
    </w:p>
    <w:p>
      <w:pPr>
        <w:spacing w:after="300"/>
        <w:jc w:val="center"/>
      </w:pPr>
      <w:r>
        <w:rPr>
          <w:sz w:val="26"/>
          <w:szCs w:val="26"/>
        </w:rPr>
        <w:t xml:space="preserve">Eicher Motors Ltd — CA2 Project</w:t>
      </w:r>
    </w:p>
    <w:p>
      <w:pPr>
        <w:spacing w:after="120"/>
      </w:pPr>
      <w:r>
        <w:rPr>
          <w:b/>
          <w:bCs/>
        </w:rPr>
        <w:t xml:space="preserve">Submitted by: Debjyoti Mukherjee</w:t>
      </w:r>
    </w:p>
    <w:p>
      <w:pPr>
        <w:spacing w:after="120"/>
      </w:pPr>
      <w:r>
        <w:t xml:space="preserve">Program: Master's in Computer Applications (Data Science), Lovely Professional University</w:t>
      </w:r>
    </w:p>
    <w:p>
      <w:pPr>
        <w:spacing w:after="120"/>
      </w:pPr>
      <w:r>
        <w:t xml:space="preserve">Assigned company: Eicher Motors | Login ID: 12500627.st@lpu.in</w:t>
      </w:r>
    </w:p>
    <w:p>
      <w:pPr>
        <w:spacing w:after="150" w:before="300"/>
      </w:pPr>
      <w:r>
        <w:rPr>
          <w:b/>
          <w:bCs/>
          <w:color w:val="8B0000"/>
          <w:sz w:val="30"/>
          <w:szCs w:val="30"/>
        </w:rPr>
        <w:t xml:space="preserve">Project Brief</w:t>
      </w:r>
    </w:p>
    <w:p>
      <w:pPr>
        <w:spacing w:after="120"/>
      </w:pPr>
      <w:r>
        <w:t xml:space="preserve">This project tracks Eicher Motors' quarterly financial performance using publicly reported figures, cleans and explores the data statistically, tests two simple prediction models, and packages the results into a live, browsable dashboard.</w:t>
      </w:r>
    </w:p>
    <w:p>
      <w:pPr>
        <w:spacing w:after="150" w:before="300"/>
      </w:pPr>
      <w:r>
        <w:rPr>
          <w:b/>
          <w:bCs/>
          <w:color w:val="8B0000"/>
          <w:sz w:val="30"/>
          <w:szCs w:val="30"/>
        </w:rPr>
        <w:t xml:space="preserve">Where the Data Comes From</w:t>
      </w:r>
    </w:p>
    <w:p>
      <w:pPr>
        <w:spacing w:after="120"/>
      </w:pPr>
      <w:r>
        <w:t xml:space="preserve">Twelve quarters of data (Mar-2023 through Dec-2025) were compiled in the Screener.in export format — Sales, Operating Profit, OPM %, Other Income, Interest, Depreciation, Profit Before Tax, Net Profit, and EPS — and saved as eicher_financials.csv. The figures track Eicher Motors' publicly reported results, including the roughly Rs 1,101 crore net profit on about Rs 4,313 crore of sales reported for the quarter ended June 2024, and the roughly Rs 1,421 crore net profit on about Rs 6,036 crore of sales reported for the quarter ended December 2025, with EBITDA reaching a record high that quarter.</w:t>
      </w:r>
    </w:p>
    <w:p>
      <w:pPr>
        <w:spacing w:after="150" w:before="300"/>
      </w:pPr>
      <w:r>
        <w:rPr>
          <w:b/>
          <w:bCs/>
          <w:color w:val="8B0000"/>
          <w:sz w:val="30"/>
          <w:szCs w:val="30"/>
        </w:rPr>
        <w:t xml:space="preserve">Cleaning Steps</w:t>
      </w:r>
    </w:p>
    <w:p>
      <w:pPr>
        <w:pStyle w:val="ListParagraph"/>
        <w:numPr>
          <w:ilvl w:val="0"/>
          <w:numId w:val="1"/>
        </w:numPr>
        <w:spacing w:after="60"/>
      </w:pPr>
      <w:r>
        <w:t xml:space="preserve">Rows sorted into chronological order by quarter.</w:t>
      </w:r>
    </w:p>
    <w:p>
      <w:pPr>
        <w:pStyle w:val="ListParagraph"/>
        <w:numPr>
          <w:ilvl w:val="0"/>
          <w:numId w:val="1"/>
        </w:numPr>
        <w:spacing w:after="60"/>
      </w:pPr>
      <w:r>
        <w:t xml:space="preserve">Any gaps filled by interpolating between neighbouring quarters.</w:t>
      </w:r>
    </w:p>
    <w:p>
      <w:pPr>
        <w:pStyle w:val="ListParagraph"/>
        <w:numPr>
          <w:ilvl w:val="0"/>
          <w:numId w:val="1"/>
        </w:numPr>
        <w:spacing w:after="60"/>
      </w:pPr>
      <w:r>
        <w:t xml:space="preserve">A Profit_Trend flag added to each row — 'Profit Grew' or 'Profit Declined' against the prior quarter.</w:t>
      </w:r>
    </w:p>
    <w:p>
      <w:pPr>
        <w:spacing w:after="150" w:before="300"/>
      </w:pPr>
      <w:r>
        <w:rPr>
          <w:b/>
          <w:bCs/>
          <w:color w:val="8B0000"/>
          <w:sz w:val="30"/>
          <w:szCs w:val="30"/>
        </w:rPr>
        <w:t xml:space="preserve">What the Numbers Show</w:t>
      </w:r>
    </w:p>
    <w:p>
      <w:pPr>
        <w:spacing w:after="120"/>
      </w:pPr>
      <w:r>
        <w:t xml:space="preserve">Mean, median, and standard deviation were calculated for Sales, Net Profit, and OPM %, alongside quarter-on-quarter growth rates. Sales climbed from around Rs 3,759 crore to around Rs 6,036 crore across the period, powered largely by strong Royal Enfield motorcycle volumes and steady growth from the VE Commercial Vehicles joint venture. Operating margins held in a fairly tight band through most quarters before stepping up toward the most recent ones.</w:t>
      </w:r>
    </w:p>
    <w:p>
      <w:pPr>
        <w:spacing w:after="150" w:before="300"/>
      </w:pPr>
      <w:r>
        <w:rPr>
          <w:b/>
          <w:bCs/>
          <w:color w:val="8B0000"/>
          <w:sz w:val="30"/>
          <w:szCs w:val="30"/>
        </w:rPr>
        <w:t xml:space="preserve">Charts Included</w:t>
      </w:r>
    </w:p>
    <w:p>
      <w:pPr>
        <w:pStyle w:val="ListParagraph"/>
        <w:numPr>
          <w:ilvl w:val="0"/>
          <w:numId w:val="1"/>
        </w:numPr>
        <w:spacing w:after="60"/>
      </w:pPr>
      <w:r>
        <w:t xml:space="preserve">A full-history Sales vs Net Profit line chart on the Overview page.</w:t>
      </w:r>
    </w:p>
    <w:p>
      <w:pPr>
        <w:pStyle w:val="ListParagraph"/>
        <w:numPr>
          <w:ilvl w:val="0"/>
          <w:numId w:val="1"/>
        </w:numPr>
        <w:spacing w:after="60"/>
      </w:pPr>
      <w:r>
        <w:t xml:space="preserve">An OPM % bar chart across all twelve quarters.</w:t>
      </w:r>
    </w:p>
    <w:p>
      <w:pPr>
        <w:pStyle w:val="ListParagraph"/>
        <w:numPr>
          <w:ilvl w:val="0"/>
          <w:numId w:val="1"/>
        </w:numPr>
        <w:spacing w:after="60"/>
      </w:pPr>
      <w:r>
        <w:t xml:space="preserve">A box plot contrasting Net Profit in growth quarters against decline quarters.</w:t>
      </w:r>
    </w:p>
    <w:p>
      <w:pPr>
        <w:pStyle w:val="ListParagraph"/>
        <w:numPr>
          <w:ilvl w:val="0"/>
          <w:numId w:val="1"/>
        </w:numPr>
        <w:spacing w:after="60"/>
      </w:pPr>
      <w:r>
        <w:t xml:space="preserve">A side-by-side quarter-on-quarter growth rate chart for Sales and Net Profit.</w:t>
      </w:r>
    </w:p>
    <w:p>
      <w:pPr>
        <w:spacing w:after="150" w:before="300"/>
      </w:pPr>
      <w:r>
        <w:rPr>
          <w:b/>
          <w:bCs/>
          <w:color w:val="8B0000"/>
          <w:sz w:val="30"/>
          <w:szCs w:val="30"/>
        </w:rPr>
        <w:t xml:space="preserve">Prediction Models</w:t>
      </w:r>
    </w:p>
    <w:p>
      <w:pPr>
        <w:spacing w:after="120"/>
      </w:pPr>
      <w:r>
        <w:t xml:space="preserve">Two classifiers — Logistic Regression and a default-settings Decision Tree — were trained to predict Profit_Trend from Sales_Growth, OPM_Percent, Interest, and Other_Income, using a 70/30 train-test split.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c>
          <w:tcPr>
            <w:tcW w:type="dxa" w:w="3500"/>
            <w:shd w:fill="8B0000" w:val="clear"/>
          </w:tcPr>
          <w:p>
            <w:r>
              <w:rPr>
                <w:b/>
                <w:bCs/>
                <w:color w:val="FFFFFF"/>
              </w:rPr>
              <w:t xml:space="preserve">Metric</w:t>
            </w:r>
          </w:p>
        </w:tc>
        <w:tc>
          <w:tcPr>
            <w:tcW w:type="dxa" w:w="5500"/>
            <w:shd w:fill="8B0000" w:val="clear"/>
          </w:tcPr>
          <w:p>
            <w:r>
              <w:rPr>
                <w:b/>
                <w:bCs/>
                <w:color w:val="FFFFFF"/>
              </w:rPr>
              <w:t xml:space="preserve">Value / Finding</w:t>
            </w:r>
          </w:p>
        </w:tc>
      </w:tr>
      <w:tr>
        <w:tc>
          <w:tcPr>
            <w:tcW w:type="dxa" w:w="3500"/>
          </w:tcPr>
          <w:p>
            <w:r>
              <w:rPr>
                <w:b w:val="false"/>
                <w:bCs w:val="false"/>
                <w:color w:val="000000"/>
              </w:rPr>
              <w:t xml:space="preserve">Company</w:t>
            </w:r>
          </w:p>
        </w:tc>
        <w:tc>
          <w:tcPr>
            <w:tcW w:type="dxa" w:w="5500"/>
          </w:tcPr>
          <w:p>
            <w:r>
              <w:rPr>
                <w:b w:val="false"/>
                <w:bCs w:val="false"/>
                <w:color w:val="000000"/>
              </w:rPr>
              <w:t xml:space="preserve">Eicher Motors Ltd (NSE: EICHERMOT)</w:t>
            </w:r>
          </w:p>
        </w:tc>
      </w:tr>
      <w:tr>
        <w:tc>
          <w:tcPr>
            <w:tcW w:type="dxa" w:w="3500"/>
          </w:tcPr>
          <w:p>
            <w:r>
              <w:rPr>
                <w:b w:val="false"/>
                <w:bCs w:val="false"/>
                <w:color w:val="000000"/>
              </w:rPr>
              <w:t xml:space="preserve">Quarters analysed</w:t>
            </w:r>
          </w:p>
        </w:tc>
        <w:tc>
          <w:tcPr>
            <w:tcW w:type="dxa" w:w="5500"/>
          </w:tcPr>
          <w:p>
            <w:r>
              <w:rPr>
                <w:b w:val="false"/>
                <w:bCs w:val="false"/>
                <w:color w:val="000000"/>
              </w:rPr>
              <w:t xml:space="preserve">Mar-2023 to Dec-2025 (12 quarters)</w:t>
            </w:r>
          </w:p>
        </w:tc>
      </w:tr>
      <w:tr>
        <w:tc>
          <w:tcPr>
            <w:tcW w:type="dxa" w:w="3500"/>
          </w:tcPr>
          <w:p>
            <w:r>
              <w:rPr>
                <w:b w:val="false"/>
                <w:bCs w:val="false"/>
                <w:color w:val="000000"/>
              </w:rPr>
              <w:t xml:space="preserve">Latest quarterly Sales</w:t>
            </w:r>
          </w:p>
        </w:tc>
        <w:tc>
          <w:tcPr>
            <w:tcW w:type="dxa" w:w="5500"/>
          </w:tcPr>
          <w:p>
            <w:r>
              <w:rPr>
                <w:b w:val="false"/>
                <w:bCs w:val="false"/>
                <w:color w:val="000000"/>
              </w:rPr>
              <w:t xml:space="preserve">~₹6,036 Cr</w:t>
            </w:r>
          </w:p>
        </w:tc>
      </w:tr>
      <w:tr>
        <w:tc>
          <w:tcPr>
            <w:tcW w:type="dxa" w:w="3500"/>
          </w:tcPr>
          <w:p>
            <w:r>
              <w:rPr>
                <w:b w:val="false"/>
                <w:bCs w:val="false"/>
                <w:color w:val="000000"/>
              </w:rPr>
              <w:t xml:space="preserve">Latest quarterly Net Profit</w:t>
            </w:r>
          </w:p>
        </w:tc>
        <w:tc>
          <w:tcPr>
            <w:tcW w:type="dxa" w:w="5500"/>
          </w:tcPr>
          <w:p>
            <w:r>
              <w:rPr>
                <w:b w:val="false"/>
                <w:bCs w:val="false"/>
                <w:color w:val="000000"/>
              </w:rPr>
              <w:t xml:space="preserve">~₹1,421 Cr</w:t>
            </w:r>
          </w:p>
        </w:tc>
      </w:tr>
      <w:tr>
        <w:tc>
          <w:tcPr>
            <w:tcW w:type="dxa" w:w="3500"/>
          </w:tcPr>
          <w:p>
            <w:r>
              <w:rPr>
                <w:b w:val="false"/>
                <w:bCs w:val="false"/>
                <w:color w:val="000000"/>
              </w:rPr>
              <w:t xml:space="preserve">Latest OPM %</w:t>
            </w:r>
          </w:p>
        </w:tc>
        <w:tc>
          <w:tcPr>
            <w:tcW w:type="dxa" w:w="5500"/>
          </w:tcPr>
          <w:p>
            <w:r>
              <w:rPr>
                <w:b w:val="false"/>
                <w:bCs w:val="false"/>
                <w:color w:val="000000"/>
              </w:rPr>
              <w:t xml:space="preserve">~25.5%</w:t>
            </w:r>
          </w:p>
        </w:tc>
      </w:tr>
      <w:tr>
        <w:tc>
          <w:tcPr>
            <w:tcW w:type="dxa" w:w="3500"/>
          </w:tcPr>
          <w:p>
            <w:r>
              <w:rPr>
                <w:b w:val="false"/>
                <w:bCs w:val="false"/>
                <w:color w:val="000000"/>
              </w:rPr>
              <w:t xml:space="preserve">Stronger model on this split</w:t>
            </w:r>
          </w:p>
        </w:tc>
        <w:tc>
          <w:tcPr>
            <w:tcW w:type="dxa" w:w="5500"/>
          </w:tcPr>
          <w:p>
            <w:r>
              <w:rPr>
                <w:b w:val="false"/>
                <w:bCs w:val="false"/>
                <w:color w:val="000000"/>
              </w:rPr>
              <w:t xml:space="preserve">Decision Tree (75% test accuracy vs 50% for Logistic Regression)</w:t>
            </w:r>
          </w:p>
        </w:tc>
      </w:tr>
    </w:tbl>
    <w:p>
      <w:pPr>
        <w:spacing w:after="200"/>
      </w:pPr>
    </w:p>
    <w:p>
      <w:pPr>
        <w:spacing w:after="120"/>
      </w:pPr>
      <w:r>
        <w:t xml:space="preserve">Caveat: with just 12 quarterly rows, these results demonstrate the workflow rather than provide a dependable forecast — a multi-year dataset would be needed for real predictive use.</w:t>
      </w:r>
    </w:p>
    <w:p>
      <w:pPr>
        <w:spacing w:after="150" w:before="300"/>
      </w:pPr>
      <w:r>
        <w:rPr>
          <w:b/>
          <w:bCs/>
          <w:color w:val="8B0000"/>
          <w:sz w:val="30"/>
          <w:szCs w:val="30"/>
        </w:rPr>
        <w:t xml:space="preserve">Dashboard</w:t>
      </w:r>
    </w:p>
    <w:p>
      <w:pPr>
        <w:spacing w:after="120"/>
      </w:pPr>
      <w:r>
        <w:t xml:space="preserve">The dashboard (app.py) uses a sidebar-navigation layout rather than tabs, styled around Eicher's red brand colour, and is deployed as a public Hugging Face Space so anyone can view it without logging in. It has five sections:</w:t>
      </w:r>
    </w:p>
    <w:p>
      <w:pPr>
        <w:pStyle w:val="ListParagraph"/>
        <w:numPr>
          <w:ilvl w:val="0"/>
          <w:numId w:val="1"/>
        </w:numPr>
        <w:spacing w:after="60"/>
      </w:pPr>
      <w:r>
        <w:t xml:space="preserve">Overview — KPI cards, an auto-generated one-line takeaway for the latest quarter, and the full Sales/Net Profit history.</w:t>
      </w:r>
    </w:p>
    <w:p>
      <w:pPr>
        <w:pStyle w:val="ListParagraph"/>
        <w:numPr>
          <w:ilvl w:val="0"/>
          <w:numId w:val="1"/>
        </w:numPr>
        <w:spacing w:after="60"/>
      </w:pPr>
      <w:r>
        <w:t xml:space="preserve">Quarter Comparison — pick any two quarters and see every line item side by side, with the percentage change and a bar chart.</w:t>
      </w:r>
    </w:p>
    <w:p>
      <w:pPr>
        <w:pStyle w:val="ListParagraph"/>
        <w:numPr>
          <w:ilvl w:val="0"/>
          <w:numId w:val="1"/>
        </w:numPr>
        <w:spacing w:after="60"/>
      </w:pPr>
      <w:r>
        <w:t xml:space="preserve">Charts — the OPM % bar chart, the growth/decline box plot, and the growth-rate comparison chart.</w:t>
      </w:r>
    </w:p>
    <w:p>
      <w:pPr>
        <w:pStyle w:val="ListParagraph"/>
        <w:numPr>
          <w:ilvl w:val="0"/>
          <w:numId w:val="1"/>
        </w:numPr>
        <w:spacing w:after="60"/>
      </w:pPr>
      <w:r>
        <w:t xml:space="preserve">Prediction Models — trains both models live, shows accuracy, states which model wins, and (in an expandable panel) shows which financial driver mattered most to the Decision Tree.</w:t>
      </w:r>
    </w:p>
    <w:p>
      <w:pPr>
        <w:pStyle w:val="ListParagraph"/>
        <w:numPr>
          <w:ilvl w:val="0"/>
          <w:numId w:val="1"/>
        </w:numPr>
        <w:spacing w:after="60"/>
      </w:pPr>
      <w:r>
        <w:t xml:space="preserve">Data Table — the full cleaned dataset with a CSV download button.</w:t>
      </w:r>
    </w:p>
    <w:p>
      <w:pPr>
        <w:spacing w:after="150" w:before="300"/>
      </w:pPr>
      <w:r>
        <w:rPr>
          <w:b/>
          <w:bCs/>
          <w:color w:val="8B0000"/>
          <w:sz w:val="30"/>
          <w:szCs w:val="30"/>
        </w:rPr>
        <w:t xml:space="preserve">Deliverables</w:t>
      </w:r>
    </w:p>
    <w:p>
      <w:pPr>
        <w:pStyle w:val="ListParagraph"/>
        <w:numPr>
          <w:ilvl w:val="0"/>
          <w:numId w:val="1"/>
        </w:numPr>
        <w:spacing w:after="60"/>
      </w:pPr>
      <w:r>
        <w:t xml:space="preserve">eicher_financials.csv — the compiled raw data</w:t>
      </w:r>
    </w:p>
    <w:p>
      <w:pPr>
        <w:pStyle w:val="ListParagraph"/>
        <w:numPr>
          <w:ilvl w:val="0"/>
          <w:numId w:val="1"/>
        </w:numPr>
        <w:spacing w:after="60"/>
      </w:pPr>
      <w:r>
        <w:t xml:space="preserve">eicher_financials_clean.csv — cleaned data feeding the dashboard</w:t>
      </w:r>
    </w:p>
    <w:p>
      <w:pPr>
        <w:pStyle w:val="ListParagraph"/>
        <w:numPr>
          <w:ilvl w:val="0"/>
          <w:numId w:val="1"/>
        </w:numPr>
        <w:spacing w:after="60"/>
      </w:pPr>
      <w:r>
        <w:t xml:space="preserve">Eicher_Motors_Analysis.ipynb — the Colab notebook (cleaning, stats, charts, models)</w:t>
      </w:r>
    </w:p>
    <w:p>
      <w:pPr>
        <w:pStyle w:val="ListParagraph"/>
        <w:numPr>
          <w:ilvl w:val="0"/>
          <w:numId w:val="1"/>
        </w:numPr>
        <w:spacing w:after="60"/>
      </w:pPr>
      <w:r>
        <w:t xml:space="preserve">app.py, requirements.txt — dashboard source</w:t>
      </w:r>
    </w:p>
    <w:p>
      <w:pPr>
        <w:pStyle w:val="ListParagraph"/>
        <w:numPr>
          <w:ilvl w:val="0"/>
          <w:numId w:val="1"/>
        </w:numPr>
        <w:spacing w:after="60"/>
      </w:pPr>
      <w:r>
        <w:t xml:space="preserve">Live dashboard: huggingface.co/spaces/&lt;your-username&gt;/eicher-motors-dashboard (add link after deployment)</w:t>
      </w:r>
    </w:p>
    <w:p>
      <w:pPr>
        <w:spacing w:after="150" w:before="300"/>
      </w:pPr>
      <w:r>
        <w:rPr>
          <w:b/>
          <w:bCs/>
          <w:color w:val="8B0000"/>
          <w:sz w:val="30"/>
          <w:szCs w:val="30"/>
        </w:rPr>
        <w:t xml:space="preserve">Takeaway</w:t>
      </w:r>
    </w:p>
    <w:p>
      <w:pPr>
        <w:spacing w:after="120"/>
      </w:pPr>
      <w:r>
        <w:t xml:space="preserve">Eicher Motors' quarterly numbers point to a business on a clear growth path, with Royal Enfield's motorcycle volumes and VE Commercial Vehicles both contributing to record sales and profit in the latest quarters. Profit direction quarter-to-quarter is harder to call from cost drivers alone on this small sample, though the Decision Tree captured the pattern somewhat better than plain Logistic Regression here.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2026-07-27T09:38:06.020Z</dcterms:created>
  <dcterms:modified xsi:type="dcterms:W3CDTF">2026-07-27T09:38:06.034Z</dcterms:modified>
</cp:coreProperties>
</file>

<file path=docProps/custom.xml><?xml version="1.0" encoding="utf-8"?>
<Properties xmlns="http://schemas.openxmlformats.org/officeDocument/2006/custom-properties" xmlns:vt="http://schemas.openxmlformats.org/officeDocument/2006/docPropsVTypes"/>
</file>