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本次样本共{institutions|count}家机构，状态：{flags.includeRates|if:包含比率指标:不包含比率指标}，环比增长率{metrics.growthRate|format:percent:0.00}，坏账率{metrics.badDebtRate|format:permille:0.00}。</w:t>
      </w:r>
    </w:p>
    <w:p>
      <w:r>
        <w:t xml:space="preserve">备用写法（number pattern）：{metrics.growthRate|format:number:0.00%} / {metrics.badDebtRate|format:number:0.00‰}</w:t>
      </w:r>
    </w:p>
  </w:body>
</w:document>
</file>