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统计数据包括了从{financeMonthly|sort:month:asc|first|get:month|format:date:yyyy年M月}到{financeMonthly|sort:month:asc|last|get:month|format:date:yyyy年M月}的财务数据，其中营收最高的是{financeMonthly|maxby:revenue|get:month|format:date:M月}，营收为{financeMonthly|maxby:revenue|get:revenue|format:number:#,##0}元</w:t>
      </w:r>
    </w:p>
    <w:p>
      <w:r>
        <w:t xml:space="preserve">在这些机构的对比数据中，其中营收最高的为{institutions|maxby:revenue|get:name}，收入为{institutions|maxby:revenue|get:revenue|format:number:#,##0}元，营收最低的为{institutions|minby:revenue|get:name}，收入为{institutions|minby:revenue|get:revenue|format:number:#,##0}元</w:t>
      </w:r>
    </w:p>
  </w:body>
</w:document>
</file>