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13DC" w14:textId="77777777" w:rsidR="00F610C9" w:rsidRPr="0010708D" w:rsidRDefault="00000000">
      <w:pPr>
        <w:spacing w:line="240" w:lineRule="auto"/>
        <w:ind w:right="-188"/>
        <w:jc w:val="center"/>
        <w:rPr>
          <w:rFonts w:asciiTheme="majorHAnsi" w:eastAsia="Calibri" w:hAnsiTheme="majorHAnsi" w:cstheme="majorHAnsi"/>
          <w:b/>
          <w:color w:val="242324"/>
          <w:sz w:val="20"/>
          <w:szCs w:val="20"/>
        </w:rPr>
      </w:pPr>
      <w:r w:rsidRPr="0010708D">
        <w:rPr>
          <w:rFonts w:asciiTheme="majorHAnsi" w:eastAsia="Calibri" w:hAnsiTheme="majorHAnsi" w:cstheme="majorHAnsi"/>
          <w:b/>
          <w:color w:val="002060"/>
          <w:sz w:val="20"/>
          <w:szCs w:val="20"/>
        </w:rPr>
        <w:t>ONE 97 COMMUNICATIONS LIMITED</w:t>
      </w:r>
    </w:p>
    <w:p w14:paraId="7678A161" w14:textId="77777777" w:rsidR="00F610C9" w:rsidRPr="0010708D" w:rsidRDefault="00000000">
      <w:pPr>
        <w:spacing w:line="240" w:lineRule="auto"/>
        <w:jc w:val="center"/>
        <w:rPr>
          <w:rFonts w:asciiTheme="majorHAnsi" w:eastAsia="Calibri" w:hAnsiTheme="majorHAnsi" w:cstheme="majorHAnsi"/>
          <w:b/>
          <w:sz w:val="20"/>
          <w:szCs w:val="20"/>
        </w:rPr>
      </w:pPr>
      <w:r w:rsidRPr="0010708D">
        <w:rPr>
          <w:rFonts w:asciiTheme="majorHAnsi" w:eastAsia="Calibri" w:hAnsiTheme="majorHAnsi" w:cstheme="majorHAnsi"/>
          <w:b/>
          <w:sz w:val="20"/>
          <w:szCs w:val="20"/>
        </w:rPr>
        <w:t xml:space="preserve">CIN: </w:t>
      </w:r>
      <w:r w:rsidRPr="0010708D">
        <w:rPr>
          <w:rFonts w:asciiTheme="majorHAnsi" w:eastAsia="Calibri" w:hAnsiTheme="majorHAnsi" w:cstheme="majorHAnsi"/>
          <w:sz w:val="20"/>
          <w:szCs w:val="20"/>
        </w:rPr>
        <w:t>L72200DL2000PLC108985</w:t>
      </w:r>
    </w:p>
    <w:p w14:paraId="0CD40ADD" w14:textId="77777777" w:rsidR="00F610C9" w:rsidRPr="0010708D" w:rsidRDefault="00000000">
      <w:pPr>
        <w:spacing w:line="240" w:lineRule="auto"/>
        <w:jc w:val="center"/>
        <w:rPr>
          <w:rFonts w:asciiTheme="majorHAnsi" w:eastAsia="Calibri" w:hAnsiTheme="majorHAnsi" w:cstheme="majorHAnsi"/>
          <w:sz w:val="20"/>
          <w:szCs w:val="20"/>
        </w:rPr>
      </w:pPr>
      <w:r w:rsidRPr="0010708D">
        <w:rPr>
          <w:rFonts w:asciiTheme="majorHAnsi" w:eastAsia="Calibri" w:hAnsiTheme="majorHAnsi" w:cstheme="majorHAnsi"/>
          <w:b/>
          <w:sz w:val="20"/>
          <w:szCs w:val="20"/>
        </w:rPr>
        <w:t xml:space="preserve">Registered Office: </w:t>
      </w:r>
      <w:r w:rsidRPr="0010708D">
        <w:rPr>
          <w:rFonts w:asciiTheme="majorHAnsi" w:eastAsia="Calibri" w:hAnsiTheme="majorHAnsi" w:cstheme="majorHAnsi"/>
          <w:sz w:val="20"/>
          <w:szCs w:val="20"/>
        </w:rPr>
        <w:t>136</w:t>
      </w:r>
      <w:r w:rsidRPr="0010708D">
        <w:rPr>
          <w:rFonts w:asciiTheme="majorHAnsi" w:eastAsia="Calibri" w:hAnsiTheme="majorHAnsi" w:cstheme="majorHAnsi"/>
          <w:b/>
          <w:sz w:val="20"/>
          <w:szCs w:val="20"/>
        </w:rPr>
        <w:t xml:space="preserve">, </w:t>
      </w:r>
      <w:r w:rsidRPr="0010708D">
        <w:rPr>
          <w:rFonts w:asciiTheme="majorHAnsi" w:eastAsia="Calibri" w:hAnsiTheme="majorHAnsi" w:cstheme="majorHAnsi"/>
          <w:sz w:val="20"/>
          <w:szCs w:val="20"/>
        </w:rPr>
        <w:t>First Floor, Devika Tower, Nehru Place, New Delhi - 110019, Delhi, India</w:t>
      </w:r>
    </w:p>
    <w:p w14:paraId="3DB1873E" w14:textId="77777777" w:rsidR="00F610C9" w:rsidRPr="0010708D" w:rsidRDefault="00000000">
      <w:pPr>
        <w:spacing w:line="240" w:lineRule="auto"/>
        <w:jc w:val="center"/>
        <w:rPr>
          <w:rFonts w:asciiTheme="majorHAnsi" w:eastAsia="Calibri" w:hAnsiTheme="majorHAnsi" w:cstheme="majorHAnsi"/>
          <w:sz w:val="20"/>
          <w:szCs w:val="20"/>
        </w:rPr>
      </w:pPr>
      <w:r w:rsidRPr="0010708D">
        <w:rPr>
          <w:rFonts w:asciiTheme="majorHAnsi" w:eastAsia="Calibri" w:hAnsiTheme="majorHAnsi" w:cstheme="majorHAnsi"/>
          <w:b/>
          <w:sz w:val="20"/>
          <w:szCs w:val="20"/>
        </w:rPr>
        <w:t xml:space="preserve">Corporate Office: </w:t>
      </w:r>
      <w:r w:rsidRPr="0010708D">
        <w:rPr>
          <w:rFonts w:asciiTheme="majorHAnsi" w:eastAsia="Calibri" w:hAnsiTheme="majorHAnsi" w:cstheme="majorHAnsi"/>
          <w:sz w:val="20"/>
          <w:szCs w:val="20"/>
        </w:rPr>
        <w:t xml:space="preserve">One Skymark, Tower - D, Plot No. H - 10B, Sector - 98, Noida - 201304, Uttar </w:t>
      </w:r>
    </w:p>
    <w:p w14:paraId="5E9E2FE3" w14:textId="77777777" w:rsidR="00F610C9" w:rsidRPr="0010708D" w:rsidRDefault="00000000">
      <w:pPr>
        <w:spacing w:line="240" w:lineRule="auto"/>
        <w:jc w:val="center"/>
        <w:rPr>
          <w:rFonts w:asciiTheme="majorHAnsi" w:eastAsia="Calibri" w:hAnsiTheme="majorHAnsi" w:cstheme="majorHAnsi"/>
          <w:sz w:val="20"/>
          <w:szCs w:val="20"/>
        </w:rPr>
      </w:pPr>
      <w:r w:rsidRPr="0010708D">
        <w:rPr>
          <w:rFonts w:asciiTheme="majorHAnsi" w:eastAsia="Calibri" w:hAnsiTheme="majorHAnsi" w:cstheme="majorHAnsi"/>
          <w:sz w:val="20"/>
          <w:szCs w:val="20"/>
        </w:rPr>
        <w:t>Pradesh, India</w:t>
      </w:r>
    </w:p>
    <w:p w14:paraId="759FF38C" w14:textId="77777777" w:rsidR="00F610C9" w:rsidRPr="0010708D" w:rsidRDefault="00000000">
      <w:pPr>
        <w:spacing w:line="240" w:lineRule="auto"/>
        <w:jc w:val="center"/>
        <w:rPr>
          <w:rFonts w:asciiTheme="majorHAnsi" w:eastAsia="Calibri" w:hAnsiTheme="majorHAnsi" w:cstheme="majorHAnsi"/>
          <w:b/>
          <w:sz w:val="20"/>
          <w:szCs w:val="20"/>
        </w:rPr>
      </w:pPr>
      <w:r w:rsidRPr="0010708D">
        <w:rPr>
          <w:rFonts w:asciiTheme="majorHAnsi" w:eastAsia="Calibri" w:hAnsiTheme="majorHAnsi" w:cstheme="majorHAnsi"/>
          <w:b/>
          <w:sz w:val="20"/>
          <w:szCs w:val="20"/>
        </w:rPr>
        <w:t xml:space="preserve">Telephone No.: </w:t>
      </w:r>
      <w:r w:rsidRPr="0010708D">
        <w:rPr>
          <w:rFonts w:asciiTheme="majorHAnsi" w:eastAsia="Calibri" w:hAnsiTheme="majorHAnsi" w:cstheme="majorHAnsi"/>
          <w:sz w:val="20"/>
          <w:szCs w:val="20"/>
        </w:rPr>
        <w:t>+91 - 120 - 4770770</w:t>
      </w:r>
      <w:r w:rsidRPr="0010708D">
        <w:rPr>
          <w:rFonts w:asciiTheme="majorHAnsi" w:eastAsia="Calibri" w:hAnsiTheme="majorHAnsi" w:cstheme="majorHAnsi"/>
          <w:b/>
          <w:sz w:val="20"/>
          <w:szCs w:val="20"/>
        </w:rPr>
        <w:t xml:space="preserve">; Fax: </w:t>
      </w:r>
      <w:r w:rsidRPr="0010708D">
        <w:rPr>
          <w:rFonts w:asciiTheme="majorHAnsi" w:eastAsia="Calibri" w:hAnsiTheme="majorHAnsi" w:cstheme="majorHAnsi"/>
          <w:sz w:val="20"/>
          <w:szCs w:val="20"/>
        </w:rPr>
        <w:t>+91 - 120 - 4770771</w:t>
      </w:r>
    </w:p>
    <w:p w14:paraId="144F4B22" w14:textId="77777777" w:rsidR="00F610C9" w:rsidRPr="0010708D" w:rsidRDefault="00000000">
      <w:pPr>
        <w:spacing w:line="240" w:lineRule="auto"/>
        <w:jc w:val="center"/>
        <w:rPr>
          <w:rFonts w:asciiTheme="majorHAnsi" w:eastAsia="Calibri" w:hAnsiTheme="majorHAnsi" w:cstheme="majorHAnsi"/>
          <w:b/>
          <w:color w:val="242324"/>
          <w:sz w:val="20"/>
          <w:szCs w:val="20"/>
        </w:rPr>
      </w:pPr>
      <w:r w:rsidRPr="0010708D">
        <w:rPr>
          <w:rFonts w:asciiTheme="majorHAnsi" w:eastAsia="Calibri" w:hAnsiTheme="majorHAnsi" w:cstheme="majorHAnsi"/>
          <w:b/>
          <w:sz w:val="20"/>
          <w:szCs w:val="20"/>
        </w:rPr>
        <w:t xml:space="preserve">Email: </w:t>
      </w:r>
      <w:hyperlink r:id="rId5">
        <w:r w:rsidR="00F610C9" w:rsidRPr="0010708D">
          <w:rPr>
            <w:rFonts w:asciiTheme="majorHAnsi" w:eastAsia="Calibri" w:hAnsiTheme="majorHAnsi" w:cstheme="majorHAnsi"/>
            <w:color w:val="0563C1"/>
            <w:sz w:val="20"/>
            <w:szCs w:val="20"/>
            <w:u w:val="single"/>
          </w:rPr>
          <w:t>compliance.officer@paytm.com</w:t>
        </w:r>
      </w:hyperlink>
      <w:r w:rsidRPr="0010708D">
        <w:rPr>
          <w:rFonts w:asciiTheme="majorHAnsi" w:eastAsia="Calibri" w:hAnsiTheme="majorHAnsi" w:cstheme="majorHAnsi"/>
          <w:sz w:val="20"/>
          <w:szCs w:val="20"/>
        </w:rPr>
        <w:t>;</w:t>
      </w:r>
      <w:r w:rsidRPr="0010708D">
        <w:rPr>
          <w:rFonts w:asciiTheme="majorHAnsi" w:eastAsia="Calibri" w:hAnsiTheme="majorHAnsi" w:cstheme="majorHAnsi"/>
          <w:b/>
          <w:sz w:val="20"/>
          <w:szCs w:val="20"/>
        </w:rPr>
        <w:t xml:space="preserve"> Website:</w:t>
      </w:r>
      <w:r w:rsidRPr="0010708D">
        <w:rPr>
          <w:rFonts w:asciiTheme="majorHAnsi" w:eastAsia="Calibri" w:hAnsiTheme="majorHAnsi" w:cstheme="majorHAnsi"/>
          <w:sz w:val="20"/>
          <w:szCs w:val="20"/>
        </w:rPr>
        <w:t xml:space="preserve"> </w:t>
      </w:r>
      <w:hyperlink r:id="rId6">
        <w:r w:rsidR="00F610C9" w:rsidRPr="0010708D">
          <w:rPr>
            <w:rFonts w:asciiTheme="majorHAnsi" w:eastAsia="Calibri" w:hAnsiTheme="majorHAnsi" w:cstheme="majorHAnsi"/>
            <w:color w:val="0563C1"/>
            <w:sz w:val="20"/>
            <w:szCs w:val="20"/>
            <w:u w:val="single"/>
          </w:rPr>
          <w:t>www.paytm.com</w:t>
        </w:r>
      </w:hyperlink>
    </w:p>
    <w:p w14:paraId="410201D6" w14:textId="77777777" w:rsidR="00F610C9" w:rsidRPr="0010708D" w:rsidRDefault="00F610C9">
      <w:pPr>
        <w:spacing w:line="259" w:lineRule="auto"/>
        <w:rPr>
          <w:rFonts w:asciiTheme="majorHAnsi" w:eastAsia="Calibri" w:hAnsiTheme="majorHAnsi" w:cstheme="majorHAnsi"/>
          <w:b/>
          <w:color w:val="242324"/>
          <w:sz w:val="20"/>
          <w:szCs w:val="20"/>
        </w:rPr>
      </w:pPr>
      <w:bookmarkStart w:id="0" w:name="_fjgp0e9ua0dm" w:colFirst="0" w:colLast="0"/>
      <w:bookmarkEnd w:id="0"/>
    </w:p>
    <w:p w14:paraId="050D4836" w14:textId="7FB9524D" w:rsidR="00F610C9" w:rsidRPr="0010708D" w:rsidRDefault="00000000">
      <w:pPr>
        <w:ind w:right="-180"/>
        <w:jc w:val="center"/>
        <w:rPr>
          <w:rFonts w:asciiTheme="majorHAnsi" w:eastAsia="Calibri" w:hAnsiTheme="majorHAnsi" w:cstheme="majorHAnsi"/>
          <w:b/>
          <w:color w:val="242324"/>
          <w:sz w:val="20"/>
          <w:szCs w:val="20"/>
        </w:rPr>
      </w:pPr>
      <w:r w:rsidRPr="0010708D">
        <w:rPr>
          <w:rFonts w:asciiTheme="majorHAnsi" w:eastAsia="Calibri" w:hAnsiTheme="majorHAnsi" w:cstheme="majorHAnsi"/>
          <w:b/>
          <w:color w:val="242324"/>
          <w:sz w:val="20"/>
          <w:szCs w:val="20"/>
          <w:u w:val="single"/>
        </w:rPr>
        <w:t>NOTICE OF THE 25</w:t>
      </w:r>
      <w:r w:rsidRPr="0010708D">
        <w:rPr>
          <w:rFonts w:asciiTheme="majorHAnsi" w:eastAsia="Calibri" w:hAnsiTheme="majorHAnsi" w:cstheme="majorHAnsi"/>
          <w:b/>
          <w:color w:val="242324"/>
          <w:sz w:val="20"/>
          <w:szCs w:val="20"/>
          <w:u w:val="single"/>
          <w:vertAlign w:val="superscript"/>
        </w:rPr>
        <w:t>TH</w:t>
      </w:r>
      <w:r w:rsidR="0010708D" w:rsidRPr="0010708D">
        <w:rPr>
          <w:rFonts w:asciiTheme="majorHAnsi" w:eastAsia="Calibri" w:hAnsiTheme="majorHAnsi" w:cstheme="majorHAnsi"/>
          <w:b/>
          <w:color w:val="242324"/>
          <w:sz w:val="20"/>
          <w:szCs w:val="20"/>
          <w:u w:val="single"/>
        </w:rPr>
        <w:t xml:space="preserve"> </w:t>
      </w:r>
      <w:r w:rsidRPr="0010708D">
        <w:rPr>
          <w:rFonts w:asciiTheme="majorHAnsi" w:eastAsia="Calibri" w:hAnsiTheme="majorHAnsi" w:cstheme="majorHAnsi"/>
          <w:b/>
          <w:color w:val="242324"/>
          <w:sz w:val="20"/>
          <w:szCs w:val="20"/>
          <w:u w:val="single"/>
        </w:rPr>
        <w:t>ANNUAL GENERAL MEETING (“AGM”) OF MEMBERS OF ONE 97 COMMUNICATIONS LIMITED (“COMPANY”) AND E-VOTING INFORMATION</w:t>
      </w:r>
      <w:r w:rsidRPr="0010708D">
        <w:rPr>
          <w:rFonts w:asciiTheme="majorHAnsi" w:eastAsia="Calibri" w:hAnsiTheme="majorHAnsi" w:cstheme="majorHAnsi"/>
          <w:b/>
          <w:color w:val="242324"/>
          <w:sz w:val="20"/>
          <w:szCs w:val="20"/>
        </w:rPr>
        <w:t xml:space="preserve"> </w:t>
      </w:r>
    </w:p>
    <w:p w14:paraId="0E757D80" w14:textId="4E5DC839" w:rsidR="00F610C9" w:rsidRPr="0010708D" w:rsidRDefault="00000000" w:rsidP="003D1DBF">
      <w:pPr>
        <w:spacing w:before="240" w:after="240" w:line="259" w:lineRule="auto"/>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Notice is hereby given that the 25</w:t>
      </w:r>
      <w:r w:rsidRPr="0010708D">
        <w:rPr>
          <w:rFonts w:asciiTheme="majorHAnsi" w:eastAsia="Calibri" w:hAnsiTheme="majorHAnsi" w:cstheme="majorHAnsi"/>
          <w:color w:val="242324"/>
          <w:sz w:val="20"/>
          <w:szCs w:val="20"/>
          <w:vertAlign w:val="superscript"/>
        </w:rPr>
        <w:t>th</w:t>
      </w:r>
      <w:r w:rsidRPr="0010708D">
        <w:rPr>
          <w:rFonts w:asciiTheme="majorHAnsi" w:eastAsia="Calibri" w:hAnsiTheme="majorHAnsi" w:cstheme="majorHAnsi"/>
          <w:color w:val="242324"/>
          <w:sz w:val="20"/>
          <w:szCs w:val="20"/>
        </w:rPr>
        <w:t xml:space="preserve"> AGM of the Company is scheduled to be held on </w:t>
      </w:r>
      <w:r w:rsidRPr="0010708D">
        <w:rPr>
          <w:rFonts w:asciiTheme="majorHAnsi" w:eastAsia="Calibri" w:hAnsiTheme="majorHAnsi" w:cstheme="majorHAnsi"/>
          <w:b/>
          <w:color w:val="242324"/>
          <w:sz w:val="20"/>
          <w:szCs w:val="20"/>
        </w:rPr>
        <w:t xml:space="preserve">Friday, August 29, </w:t>
      </w:r>
      <w:proofErr w:type="gramStart"/>
      <w:r w:rsidRPr="0010708D">
        <w:rPr>
          <w:rFonts w:asciiTheme="majorHAnsi" w:eastAsia="Calibri" w:hAnsiTheme="majorHAnsi" w:cstheme="majorHAnsi"/>
          <w:b/>
          <w:color w:val="242324"/>
          <w:sz w:val="20"/>
          <w:szCs w:val="20"/>
        </w:rPr>
        <w:t>2025</w:t>
      </w:r>
      <w:proofErr w:type="gramEnd"/>
      <w:r w:rsidR="0010708D" w:rsidRPr="0010708D">
        <w:rPr>
          <w:rFonts w:asciiTheme="majorHAnsi" w:eastAsia="Calibri" w:hAnsiTheme="majorHAnsi" w:cstheme="majorHAnsi"/>
          <w:b/>
          <w:color w:val="242324"/>
          <w:sz w:val="20"/>
          <w:szCs w:val="20"/>
        </w:rPr>
        <w:t xml:space="preserve"> </w:t>
      </w:r>
      <w:r w:rsidRPr="0010708D">
        <w:rPr>
          <w:rFonts w:asciiTheme="majorHAnsi" w:eastAsia="Calibri" w:hAnsiTheme="majorHAnsi" w:cstheme="majorHAnsi"/>
          <w:b/>
          <w:color w:val="242324"/>
          <w:sz w:val="20"/>
          <w:szCs w:val="20"/>
        </w:rPr>
        <w:t>at 09:00 a.m. (IST)</w:t>
      </w:r>
      <w:r w:rsidRPr="0010708D">
        <w:rPr>
          <w:rFonts w:asciiTheme="majorHAnsi" w:eastAsia="Calibri" w:hAnsiTheme="majorHAnsi" w:cstheme="majorHAnsi"/>
          <w:color w:val="242324"/>
          <w:sz w:val="20"/>
          <w:szCs w:val="20"/>
        </w:rPr>
        <w:t xml:space="preserve"> through Video Conferencing (“VC”)/ Other Audio Visual Means (“OAVM”) to transact the businesses as set out in the Notice of the AGM (“Notice”).</w:t>
      </w:r>
      <w:bookmarkStart w:id="1" w:name="_2qs5rws903pi" w:colFirst="0" w:colLast="0"/>
      <w:bookmarkEnd w:id="1"/>
    </w:p>
    <w:p w14:paraId="4C5C4E7F" w14:textId="77777777" w:rsidR="00F610C9" w:rsidRPr="0010708D" w:rsidRDefault="00000000">
      <w:pPr>
        <w:numPr>
          <w:ilvl w:val="0"/>
          <w:numId w:val="6"/>
        </w:numPr>
        <w:ind w:right="-180"/>
        <w:jc w:val="both"/>
        <w:rPr>
          <w:rFonts w:asciiTheme="majorHAnsi" w:eastAsia="Calibri" w:hAnsiTheme="majorHAnsi" w:cstheme="majorHAnsi"/>
          <w:color w:val="242324"/>
          <w:sz w:val="20"/>
          <w:szCs w:val="20"/>
        </w:rPr>
      </w:pPr>
      <w:bookmarkStart w:id="2" w:name="_p8dqztj2ssjs" w:colFirst="0" w:colLast="0"/>
      <w:bookmarkEnd w:id="2"/>
      <w:r w:rsidRPr="0010708D">
        <w:rPr>
          <w:rFonts w:asciiTheme="majorHAnsi" w:eastAsia="Calibri" w:hAnsiTheme="majorHAnsi" w:cstheme="majorHAnsi"/>
          <w:color w:val="242324"/>
          <w:sz w:val="20"/>
          <w:szCs w:val="20"/>
        </w:rPr>
        <w:t>The Notice and Annual Report 2024-25 (“Annual Report”) have been sent in electronic mode only, on Tuesday, August 05, 2025, to those Members whose email addresses are registered with the Company/ MUFG Intime India Private Limited (Formerly known as Link Intime India Pvt. Ltd.), the Registrar and Share Transfer Agent of the Company (“RTA”)/ Depositories/ Depository Participants (“DPs”) and whose names appear in the Register of Members of the Company and/or in the Register of Beneficial Owners maintained by the Depositories. The electronic dispatch of the Notice and Annual Report to the Members has been completed on Tuesday, August 05, 2025.</w:t>
      </w:r>
    </w:p>
    <w:p w14:paraId="0C3C446B" w14:textId="77777777" w:rsidR="00F610C9" w:rsidRPr="0010708D" w:rsidRDefault="00F610C9">
      <w:pPr>
        <w:ind w:left="720" w:right="-180"/>
        <w:jc w:val="both"/>
        <w:rPr>
          <w:rFonts w:asciiTheme="majorHAnsi" w:eastAsia="Calibri" w:hAnsiTheme="majorHAnsi" w:cstheme="majorHAnsi"/>
          <w:color w:val="242324"/>
          <w:sz w:val="20"/>
          <w:szCs w:val="20"/>
        </w:rPr>
      </w:pPr>
      <w:bookmarkStart w:id="3" w:name="_h429j8gyu8wu" w:colFirst="0" w:colLast="0"/>
      <w:bookmarkEnd w:id="3"/>
    </w:p>
    <w:p w14:paraId="7F196E05" w14:textId="77777777" w:rsidR="00F610C9" w:rsidRPr="0010708D" w:rsidRDefault="00000000">
      <w:pPr>
        <w:numPr>
          <w:ilvl w:val="0"/>
          <w:numId w:val="6"/>
        </w:numPr>
        <w:ind w:right="-180"/>
        <w:jc w:val="both"/>
        <w:rPr>
          <w:rFonts w:asciiTheme="majorHAnsi" w:eastAsia="Calibri" w:hAnsiTheme="majorHAnsi" w:cstheme="majorHAnsi"/>
          <w:color w:val="242324"/>
          <w:sz w:val="20"/>
          <w:szCs w:val="20"/>
        </w:rPr>
      </w:pPr>
      <w:bookmarkStart w:id="4" w:name="_v8963itk0cpi" w:colFirst="0" w:colLast="0"/>
      <w:bookmarkEnd w:id="4"/>
      <w:r w:rsidRPr="0010708D">
        <w:rPr>
          <w:rFonts w:asciiTheme="majorHAnsi" w:eastAsia="Calibri" w:hAnsiTheme="majorHAnsi" w:cstheme="majorHAnsi"/>
          <w:color w:val="242324"/>
          <w:sz w:val="20"/>
          <w:szCs w:val="20"/>
        </w:rPr>
        <w:t xml:space="preserve">A letter providing the web-link, including the exact path, for accessing the Annual Report for the Financial Year 2024-25, was dispatched on Tuesday, August 05, </w:t>
      </w:r>
      <w:proofErr w:type="gramStart"/>
      <w:r w:rsidRPr="0010708D">
        <w:rPr>
          <w:rFonts w:asciiTheme="majorHAnsi" w:eastAsia="Calibri" w:hAnsiTheme="majorHAnsi" w:cstheme="majorHAnsi"/>
          <w:color w:val="242324"/>
          <w:sz w:val="20"/>
          <w:szCs w:val="20"/>
        </w:rPr>
        <w:t>2025</w:t>
      </w:r>
      <w:proofErr w:type="gramEnd"/>
      <w:r w:rsidRPr="0010708D">
        <w:rPr>
          <w:rFonts w:asciiTheme="majorHAnsi" w:eastAsia="Calibri" w:hAnsiTheme="majorHAnsi" w:cstheme="majorHAnsi"/>
          <w:color w:val="242324"/>
          <w:sz w:val="20"/>
          <w:szCs w:val="20"/>
        </w:rPr>
        <w:t xml:space="preserve"> to those members who have not registered their email ids with the Company/RTA/DPs.</w:t>
      </w:r>
    </w:p>
    <w:p w14:paraId="0D9EBC04" w14:textId="77777777" w:rsidR="00F610C9" w:rsidRPr="0010708D" w:rsidRDefault="00000000">
      <w:pPr>
        <w:ind w:left="720" w:right="-180"/>
        <w:jc w:val="both"/>
        <w:rPr>
          <w:rFonts w:asciiTheme="majorHAnsi" w:eastAsia="Calibri" w:hAnsiTheme="majorHAnsi" w:cstheme="majorHAnsi"/>
          <w:color w:val="242324"/>
          <w:sz w:val="20"/>
          <w:szCs w:val="20"/>
        </w:rPr>
      </w:pPr>
      <w:bookmarkStart w:id="5" w:name="_hawseh1eskmn" w:colFirst="0" w:colLast="0"/>
      <w:bookmarkEnd w:id="5"/>
      <w:r w:rsidRPr="0010708D">
        <w:rPr>
          <w:rFonts w:asciiTheme="majorHAnsi" w:eastAsia="Calibri" w:hAnsiTheme="majorHAnsi" w:cstheme="majorHAnsi"/>
          <w:color w:val="242324"/>
          <w:sz w:val="20"/>
          <w:szCs w:val="20"/>
        </w:rPr>
        <w:t xml:space="preserve"> </w:t>
      </w:r>
    </w:p>
    <w:p w14:paraId="1D9FA538" w14:textId="77777777" w:rsidR="00F610C9" w:rsidRPr="0010708D" w:rsidRDefault="00000000">
      <w:pPr>
        <w:numPr>
          <w:ilvl w:val="0"/>
          <w:numId w:val="8"/>
        </w:numPr>
        <w:ind w:right="-180"/>
        <w:jc w:val="both"/>
        <w:rPr>
          <w:rFonts w:asciiTheme="majorHAnsi" w:eastAsia="Calibri" w:hAnsiTheme="majorHAnsi" w:cstheme="majorHAnsi"/>
          <w:sz w:val="20"/>
          <w:szCs w:val="20"/>
        </w:rPr>
      </w:pPr>
      <w:r w:rsidRPr="0010708D">
        <w:rPr>
          <w:rFonts w:asciiTheme="majorHAnsi" w:eastAsia="Calibri" w:hAnsiTheme="majorHAnsi" w:cstheme="majorHAnsi"/>
          <w:color w:val="242324"/>
          <w:sz w:val="20"/>
          <w:szCs w:val="20"/>
        </w:rPr>
        <w:t>The Notice and Annual Report are also available on the website of the Company at</w:t>
      </w:r>
      <w:hyperlink r:id="rId7">
        <w:r w:rsidR="00F610C9" w:rsidRPr="0010708D">
          <w:rPr>
            <w:rFonts w:asciiTheme="majorHAnsi" w:eastAsia="Calibri" w:hAnsiTheme="majorHAnsi" w:cstheme="majorHAnsi"/>
            <w:color w:val="242324"/>
            <w:sz w:val="20"/>
            <w:szCs w:val="20"/>
          </w:rPr>
          <w:t xml:space="preserve"> </w:t>
        </w:r>
      </w:hyperlink>
      <w:hyperlink r:id="rId8">
        <w:r w:rsidR="00F610C9" w:rsidRPr="0010708D">
          <w:rPr>
            <w:rFonts w:asciiTheme="majorHAnsi" w:eastAsia="Calibri" w:hAnsiTheme="majorHAnsi" w:cstheme="majorHAnsi"/>
            <w:color w:val="0563C1"/>
            <w:sz w:val="20"/>
            <w:szCs w:val="20"/>
            <w:u w:val="single"/>
          </w:rPr>
          <w:t>https://ir.paytm.com/agm</w:t>
        </w:r>
      </w:hyperlink>
      <w:r w:rsidRPr="0010708D">
        <w:rPr>
          <w:rFonts w:asciiTheme="majorHAnsi" w:eastAsia="Calibri" w:hAnsiTheme="majorHAnsi" w:cstheme="majorHAnsi"/>
          <w:color w:val="242324"/>
          <w:sz w:val="20"/>
          <w:szCs w:val="20"/>
        </w:rPr>
        <w:t>, on the website of National Securities Depositories Limited (“NSDL”) at</w:t>
      </w:r>
      <w:hyperlink r:id="rId9">
        <w:r w:rsidR="00F610C9" w:rsidRPr="0010708D">
          <w:rPr>
            <w:rFonts w:asciiTheme="majorHAnsi" w:eastAsia="Calibri" w:hAnsiTheme="majorHAnsi" w:cstheme="majorHAnsi"/>
            <w:color w:val="242324"/>
            <w:sz w:val="20"/>
            <w:szCs w:val="20"/>
          </w:rPr>
          <w:t xml:space="preserve"> </w:t>
        </w:r>
      </w:hyperlink>
      <w:hyperlink r:id="rId10">
        <w:r w:rsidR="00F610C9" w:rsidRPr="0010708D">
          <w:rPr>
            <w:rFonts w:asciiTheme="majorHAnsi" w:eastAsia="Calibri" w:hAnsiTheme="majorHAnsi" w:cstheme="majorHAnsi"/>
            <w:color w:val="1155CC"/>
            <w:sz w:val="20"/>
            <w:szCs w:val="20"/>
            <w:u w:val="single"/>
          </w:rPr>
          <w:t>www.evoting.nsdl.com</w:t>
        </w:r>
      </w:hyperlink>
      <w:r w:rsidRPr="0010708D">
        <w:rPr>
          <w:rFonts w:asciiTheme="majorHAnsi" w:eastAsia="Calibri" w:hAnsiTheme="majorHAnsi" w:cstheme="majorHAnsi"/>
          <w:color w:val="242324"/>
          <w:sz w:val="20"/>
          <w:szCs w:val="20"/>
        </w:rPr>
        <w:t>, on the websites of the Stock Exchanges i.e., BSE Limited and National Stock Exchange of India Limited at</w:t>
      </w:r>
      <w:hyperlink r:id="rId11">
        <w:r w:rsidR="00F610C9" w:rsidRPr="0010708D">
          <w:rPr>
            <w:rFonts w:asciiTheme="majorHAnsi" w:eastAsia="Calibri" w:hAnsiTheme="majorHAnsi" w:cstheme="majorHAnsi"/>
            <w:color w:val="242324"/>
            <w:sz w:val="20"/>
            <w:szCs w:val="20"/>
          </w:rPr>
          <w:t xml:space="preserve"> </w:t>
        </w:r>
      </w:hyperlink>
      <w:hyperlink r:id="rId12">
        <w:r w:rsidR="00F610C9" w:rsidRPr="0010708D">
          <w:rPr>
            <w:rFonts w:asciiTheme="majorHAnsi" w:eastAsia="Calibri" w:hAnsiTheme="majorHAnsi" w:cstheme="majorHAnsi"/>
            <w:color w:val="0563C1"/>
            <w:sz w:val="20"/>
            <w:szCs w:val="20"/>
            <w:u w:val="single"/>
          </w:rPr>
          <w:t>www.bseindia.com</w:t>
        </w:r>
      </w:hyperlink>
      <w:r w:rsidRPr="0010708D">
        <w:rPr>
          <w:rFonts w:asciiTheme="majorHAnsi" w:eastAsia="Calibri" w:hAnsiTheme="majorHAnsi" w:cstheme="majorHAnsi"/>
          <w:color w:val="242324"/>
          <w:sz w:val="20"/>
          <w:szCs w:val="20"/>
        </w:rPr>
        <w:t xml:space="preserve"> and</w:t>
      </w:r>
      <w:hyperlink r:id="rId13">
        <w:r w:rsidR="00F610C9" w:rsidRPr="0010708D">
          <w:rPr>
            <w:rFonts w:asciiTheme="majorHAnsi" w:eastAsia="Calibri" w:hAnsiTheme="majorHAnsi" w:cstheme="majorHAnsi"/>
            <w:color w:val="242324"/>
            <w:sz w:val="20"/>
            <w:szCs w:val="20"/>
          </w:rPr>
          <w:t xml:space="preserve"> </w:t>
        </w:r>
      </w:hyperlink>
      <w:hyperlink r:id="rId14">
        <w:r w:rsidR="00F610C9" w:rsidRPr="0010708D">
          <w:rPr>
            <w:rFonts w:asciiTheme="majorHAnsi" w:eastAsia="Calibri" w:hAnsiTheme="majorHAnsi" w:cstheme="majorHAnsi"/>
            <w:color w:val="0563C1"/>
            <w:sz w:val="20"/>
            <w:szCs w:val="20"/>
            <w:u w:val="single"/>
          </w:rPr>
          <w:t>www.nseindia.com</w:t>
        </w:r>
      </w:hyperlink>
      <w:r w:rsidRPr="0010708D">
        <w:rPr>
          <w:rFonts w:asciiTheme="majorHAnsi" w:eastAsia="Calibri" w:hAnsiTheme="majorHAnsi" w:cstheme="majorHAnsi"/>
          <w:color w:val="242324"/>
          <w:sz w:val="20"/>
          <w:szCs w:val="20"/>
        </w:rPr>
        <w:t>, respectively and on the website of RTA at</w:t>
      </w:r>
      <w:hyperlink r:id="rId15">
        <w:r w:rsidR="00F610C9" w:rsidRPr="0010708D">
          <w:rPr>
            <w:rFonts w:asciiTheme="majorHAnsi" w:eastAsia="Calibri" w:hAnsiTheme="majorHAnsi" w:cstheme="majorHAnsi"/>
            <w:color w:val="242324"/>
            <w:sz w:val="20"/>
            <w:szCs w:val="20"/>
          </w:rPr>
          <w:t xml:space="preserve"> </w:t>
        </w:r>
      </w:hyperlink>
      <w:hyperlink r:id="rId16">
        <w:r w:rsidR="00F610C9" w:rsidRPr="0010708D">
          <w:rPr>
            <w:rFonts w:asciiTheme="majorHAnsi" w:eastAsia="Calibri" w:hAnsiTheme="majorHAnsi" w:cstheme="majorHAnsi"/>
            <w:color w:val="1155CC"/>
            <w:sz w:val="20"/>
            <w:szCs w:val="20"/>
            <w:u w:val="single"/>
          </w:rPr>
          <w:t>https://web.in.mpms.mufg.com/client-downloads.html</w:t>
        </w:r>
      </w:hyperlink>
      <w:r w:rsidRPr="0010708D">
        <w:rPr>
          <w:rFonts w:asciiTheme="majorHAnsi" w:eastAsia="Calibri" w:hAnsiTheme="majorHAnsi" w:cstheme="majorHAnsi"/>
          <w:color w:val="242324"/>
          <w:sz w:val="20"/>
          <w:szCs w:val="20"/>
        </w:rPr>
        <w:t>.</w:t>
      </w:r>
    </w:p>
    <w:p w14:paraId="10921EED" w14:textId="77777777" w:rsidR="00F610C9" w:rsidRPr="0010708D" w:rsidRDefault="00000000">
      <w:pPr>
        <w:ind w:left="720" w:right="-180"/>
        <w:jc w:val="both"/>
        <w:rPr>
          <w:rFonts w:asciiTheme="majorHAnsi" w:eastAsia="Calibri" w:hAnsiTheme="majorHAnsi" w:cstheme="majorHAnsi"/>
          <w:color w:val="242324"/>
          <w:sz w:val="20"/>
          <w:szCs w:val="20"/>
        </w:rPr>
      </w:pPr>
      <w:bookmarkStart w:id="6" w:name="_y9l4jxj4jdow" w:colFirst="0" w:colLast="0"/>
      <w:bookmarkEnd w:id="6"/>
      <w:r w:rsidRPr="0010708D">
        <w:rPr>
          <w:rFonts w:asciiTheme="majorHAnsi" w:eastAsia="Calibri" w:hAnsiTheme="majorHAnsi" w:cstheme="majorHAnsi"/>
          <w:color w:val="242324"/>
          <w:sz w:val="20"/>
          <w:szCs w:val="20"/>
        </w:rPr>
        <w:t xml:space="preserve"> </w:t>
      </w:r>
    </w:p>
    <w:p w14:paraId="50B92BCF" w14:textId="6F677943" w:rsidR="00F610C9" w:rsidRPr="0010708D" w:rsidRDefault="00000000">
      <w:pPr>
        <w:numPr>
          <w:ilvl w:val="0"/>
          <w:numId w:val="9"/>
        </w:numPr>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Pursuant to the provisions of Section 108 of the Act read with Rule 20 of the Companies (Management and Administration) Rules, 2014, as amended from time to time, Regulation 44 of the SEBI Listing Regulations and the Secretarial Standard on General Meetings (SS-2) issued by the Institute of Company Secretaries of India (ICSI), the Members are provided with the facility to cast their votes on all resolutions (Ordinary and Special Resolutions) as set forth in the Notice using the facility of remote e-voting or e-voting at the AGM. The Company has appointed </w:t>
      </w:r>
      <w:r w:rsidR="0010708D" w:rsidRPr="0010708D">
        <w:rPr>
          <w:rFonts w:asciiTheme="majorHAnsi" w:eastAsia="Calibri" w:hAnsiTheme="majorHAnsi" w:cstheme="majorHAnsi"/>
          <w:color w:val="242324"/>
          <w:sz w:val="20"/>
          <w:szCs w:val="20"/>
        </w:rPr>
        <w:t>NSDL</w:t>
      </w:r>
      <w:r w:rsidRPr="0010708D">
        <w:rPr>
          <w:rFonts w:asciiTheme="majorHAnsi" w:eastAsia="Calibri" w:hAnsiTheme="majorHAnsi" w:cstheme="majorHAnsi"/>
          <w:color w:val="242324"/>
          <w:sz w:val="20"/>
          <w:szCs w:val="20"/>
        </w:rPr>
        <w:t xml:space="preserve"> to provide VC/ OAVM services along with the e-voting facility to cast vote on the businesses to be transacted at the AGM.</w:t>
      </w:r>
    </w:p>
    <w:p w14:paraId="6AD28980" w14:textId="77777777" w:rsidR="00F610C9" w:rsidRPr="0010708D" w:rsidRDefault="00000000">
      <w:pPr>
        <w:ind w:left="720" w:right="-180"/>
        <w:jc w:val="both"/>
        <w:rPr>
          <w:rFonts w:asciiTheme="majorHAnsi" w:eastAsia="Calibri" w:hAnsiTheme="majorHAnsi" w:cstheme="majorHAnsi"/>
          <w:color w:val="242324"/>
          <w:sz w:val="20"/>
          <w:szCs w:val="20"/>
        </w:rPr>
      </w:pPr>
      <w:bookmarkStart w:id="7" w:name="_my5kbnhf5ocf" w:colFirst="0" w:colLast="0"/>
      <w:bookmarkEnd w:id="7"/>
      <w:r w:rsidRPr="0010708D">
        <w:rPr>
          <w:rFonts w:asciiTheme="majorHAnsi" w:eastAsia="Calibri" w:hAnsiTheme="majorHAnsi" w:cstheme="majorHAnsi"/>
          <w:color w:val="242324"/>
          <w:sz w:val="20"/>
          <w:szCs w:val="20"/>
        </w:rPr>
        <w:t xml:space="preserve"> </w:t>
      </w:r>
    </w:p>
    <w:p w14:paraId="29F1E385" w14:textId="77777777" w:rsidR="00F610C9" w:rsidRPr="0010708D" w:rsidRDefault="00000000">
      <w:pPr>
        <w:numPr>
          <w:ilvl w:val="0"/>
          <w:numId w:val="2"/>
        </w:numPr>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Members whose name appears in the Register of Members or in the Register of Beneficial Owners maintained by the Depositories as on the cut-off date i.e., Friday, August 22, 2025 (“Cut-off date”) shall be entitled to avail the facility of remote e-voting or e-voting at the AGM. The voting rights of Members shall be in proportion to their share in the paid-up equity share capital of the Company as on the Cut-off date and a person who is not a Member as on the Cut-off date should treat the Notice for information purposes only.</w:t>
      </w:r>
    </w:p>
    <w:p w14:paraId="3FB22E12" w14:textId="77777777" w:rsidR="00F610C9" w:rsidRPr="0010708D" w:rsidRDefault="00000000">
      <w:pPr>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 </w:t>
      </w:r>
    </w:p>
    <w:p w14:paraId="319E50B1" w14:textId="77777777" w:rsidR="00F610C9" w:rsidRPr="0010708D" w:rsidRDefault="00000000">
      <w:pPr>
        <w:numPr>
          <w:ilvl w:val="0"/>
          <w:numId w:val="4"/>
        </w:numPr>
        <w:ind w:right="-180"/>
        <w:jc w:val="both"/>
        <w:rPr>
          <w:rFonts w:asciiTheme="majorHAnsi" w:eastAsia="Calibri" w:hAnsiTheme="majorHAnsi" w:cstheme="majorHAnsi"/>
          <w:sz w:val="20"/>
          <w:szCs w:val="20"/>
        </w:rPr>
      </w:pPr>
      <w:r w:rsidRPr="0010708D">
        <w:rPr>
          <w:rFonts w:asciiTheme="majorHAnsi" w:eastAsia="Calibri" w:hAnsiTheme="majorHAnsi" w:cstheme="majorHAnsi"/>
          <w:color w:val="242324"/>
          <w:sz w:val="20"/>
          <w:szCs w:val="20"/>
        </w:rPr>
        <w:lastRenderedPageBreak/>
        <w:t xml:space="preserve">Any person who acquires share(s) of the Company and becomes a Member of the Company after the dispatch of Notice and hold shares as on Cut-off date i.e., Friday, August 22, 2025, may obtain the login ID and password by sending a request at </w:t>
      </w:r>
      <w:r w:rsidRPr="0010708D">
        <w:rPr>
          <w:rFonts w:asciiTheme="majorHAnsi" w:eastAsia="Calibri" w:hAnsiTheme="majorHAnsi" w:cstheme="majorHAnsi"/>
          <w:color w:val="0563C1"/>
          <w:sz w:val="20"/>
          <w:szCs w:val="20"/>
          <w:u w:val="single"/>
        </w:rPr>
        <w:t>evoting@nsdl.com</w:t>
      </w:r>
      <w:r w:rsidRPr="0010708D">
        <w:rPr>
          <w:rFonts w:asciiTheme="majorHAnsi" w:eastAsia="Calibri" w:hAnsiTheme="majorHAnsi" w:cstheme="majorHAnsi"/>
          <w:color w:val="242324"/>
          <w:sz w:val="20"/>
          <w:szCs w:val="20"/>
        </w:rPr>
        <w:t xml:space="preserve">. However, if a </w:t>
      </w:r>
      <w:proofErr w:type="gramStart"/>
      <w:r w:rsidRPr="0010708D">
        <w:rPr>
          <w:rFonts w:asciiTheme="majorHAnsi" w:eastAsia="Calibri" w:hAnsiTheme="majorHAnsi" w:cstheme="majorHAnsi"/>
          <w:color w:val="242324"/>
          <w:sz w:val="20"/>
          <w:szCs w:val="20"/>
        </w:rPr>
        <w:t>Member</w:t>
      </w:r>
      <w:proofErr w:type="gramEnd"/>
      <w:r w:rsidRPr="0010708D">
        <w:rPr>
          <w:rFonts w:asciiTheme="majorHAnsi" w:eastAsia="Calibri" w:hAnsiTheme="majorHAnsi" w:cstheme="majorHAnsi"/>
          <w:color w:val="242324"/>
          <w:sz w:val="20"/>
          <w:szCs w:val="20"/>
        </w:rPr>
        <w:t xml:space="preserve"> is already registered with NSDL for e-voting, then the Member can use their existing user ID and password for casting the vote.</w:t>
      </w:r>
    </w:p>
    <w:p w14:paraId="218A5C36" w14:textId="77777777" w:rsidR="00F610C9" w:rsidRPr="0010708D" w:rsidRDefault="00000000">
      <w:pPr>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 </w:t>
      </w:r>
    </w:p>
    <w:p w14:paraId="54004926" w14:textId="77777777" w:rsidR="00F610C9" w:rsidRPr="0010708D" w:rsidRDefault="00000000">
      <w:pPr>
        <w:numPr>
          <w:ilvl w:val="0"/>
          <w:numId w:val="3"/>
        </w:numPr>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 The remote e-voting period is as follows:</w:t>
      </w:r>
    </w:p>
    <w:tbl>
      <w:tblPr>
        <w:tblStyle w:val="a"/>
        <w:tblW w:w="8652" w:type="dxa"/>
        <w:tblInd w:w="841" w:type="dxa"/>
        <w:tblBorders>
          <w:top w:val="nil"/>
          <w:left w:val="nil"/>
          <w:bottom w:val="nil"/>
          <w:right w:val="nil"/>
          <w:insideH w:val="nil"/>
          <w:insideV w:val="nil"/>
        </w:tblBorders>
        <w:tblLayout w:type="fixed"/>
        <w:tblLook w:val="0600" w:firstRow="0" w:lastRow="0" w:firstColumn="0" w:lastColumn="0" w:noHBand="1" w:noVBand="1"/>
      </w:tblPr>
      <w:tblGrid>
        <w:gridCol w:w="4425"/>
        <w:gridCol w:w="4227"/>
      </w:tblGrid>
      <w:tr w:rsidR="00F610C9" w:rsidRPr="0010708D" w14:paraId="48D88FEF" w14:textId="77777777" w:rsidTr="0010708D">
        <w:trPr>
          <w:trHeight w:val="296"/>
        </w:trPr>
        <w:tc>
          <w:tcPr>
            <w:tcW w:w="4425" w:type="dxa"/>
            <w:tcBorders>
              <w:top w:val="single" w:sz="8" w:space="0" w:color="297FD5"/>
              <w:left w:val="single" w:sz="8" w:space="0" w:color="297FD5"/>
              <w:bottom w:val="single" w:sz="8" w:space="0" w:color="297FD5"/>
              <w:right w:val="single" w:sz="8" w:space="0" w:color="297FD5"/>
            </w:tcBorders>
            <w:shd w:val="clear" w:color="auto" w:fill="FFFFFF"/>
            <w:tcMar>
              <w:top w:w="0" w:type="dxa"/>
              <w:left w:w="100" w:type="dxa"/>
              <w:bottom w:w="0" w:type="dxa"/>
              <w:right w:w="100" w:type="dxa"/>
            </w:tcMar>
          </w:tcPr>
          <w:p w14:paraId="2A03263A" w14:textId="77777777" w:rsidR="00F610C9" w:rsidRPr="0010708D" w:rsidRDefault="00000000">
            <w:pPr>
              <w:ind w:left="440" w:right="-180"/>
              <w:jc w:val="both"/>
              <w:rPr>
                <w:rFonts w:asciiTheme="majorHAnsi" w:eastAsia="Calibri" w:hAnsiTheme="majorHAnsi" w:cstheme="majorHAnsi"/>
                <w:b/>
                <w:color w:val="242324"/>
                <w:sz w:val="20"/>
                <w:szCs w:val="20"/>
              </w:rPr>
            </w:pPr>
            <w:r w:rsidRPr="0010708D">
              <w:rPr>
                <w:rFonts w:asciiTheme="majorHAnsi" w:eastAsia="Calibri" w:hAnsiTheme="majorHAnsi" w:cstheme="majorHAnsi"/>
                <w:b/>
                <w:color w:val="242324"/>
                <w:sz w:val="20"/>
                <w:szCs w:val="20"/>
              </w:rPr>
              <w:t>Commencement of Remote e-voting</w:t>
            </w:r>
          </w:p>
        </w:tc>
        <w:tc>
          <w:tcPr>
            <w:tcW w:w="4227" w:type="dxa"/>
            <w:tcBorders>
              <w:top w:val="single" w:sz="8" w:space="0" w:color="297FD5"/>
              <w:left w:val="nil"/>
              <w:bottom w:val="single" w:sz="8" w:space="0" w:color="297FD5"/>
              <w:right w:val="single" w:sz="8" w:space="0" w:color="297FD5"/>
            </w:tcBorders>
            <w:shd w:val="clear" w:color="auto" w:fill="FFFFFF"/>
            <w:tcMar>
              <w:top w:w="0" w:type="dxa"/>
              <w:left w:w="100" w:type="dxa"/>
              <w:bottom w:w="0" w:type="dxa"/>
              <w:right w:w="100" w:type="dxa"/>
            </w:tcMar>
          </w:tcPr>
          <w:p w14:paraId="55DE365E" w14:textId="77777777" w:rsidR="00F610C9" w:rsidRPr="0010708D" w:rsidRDefault="00000000">
            <w:pPr>
              <w:ind w:left="440" w:right="-180"/>
              <w:jc w:val="both"/>
              <w:rPr>
                <w:rFonts w:asciiTheme="majorHAnsi" w:eastAsia="Calibri" w:hAnsiTheme="majorHAnsi" w:cstheme="majorHAnsi"/>
                <w:b/>
                <w:color w:val="242324"/>
                <w:sz w:val="20"/>
                <w:szCs w:val="20"/>
              </w:rPr>
            </w:pPr>
            <w:r w:rsidRPr="0010708D">
              <w:rPr>
                <w:rFonts w:asciiTheme="majorHAnsi" w:eastAsia="Calibri" w:hAnsiTheme="majorHAnsi" w:cstheme="majorHAnsi"/>
                <w:b/>
                <w:color w:val="242324"/>
                <w:sz w:val="20"/>
                <w:szCs w:val="20"/>
              </w:rPr>
              <w:t>Conclusion of Remote e-voting</w:t>
            </w:r>
          </w:p>
        </w:tc>
      </w:tr>
      <w:tr w:rsidR="00F610C9" w:rsidRPr="0010708D" w14:paraId="2A9CCED1" w14:textId="77777777" w:rsidTr="0010708D">
        <w:trPr>
          <w:trHeight w:val="577"/>
        </w:trPr>
        <w:tc>
          <w:tcPr>
            <w:tcW w:w="4425" w:type="dxa"/>
            <w:tcBorders>
              <w:top w:val="nil"/>
              <w:left w:val="single" w:sz="8" w:space="0" w:color="297FD5"/>
              <w:bottom w:val="single" w:sz="8" w:space="0" w:color="297FD5"/>
              <w:right w:val="single" w:sz="8" w:space="0" w:color="297FD5"/>
            </w:tcBorders>
            <w:shd w:val="clear" w:color="auto" w:fill="FFFFFF"/>
            <w:tcMar>
              <w:top w:w="0" w:type="dxa"/>
              <w:left w:w="100" w:type="dxa"/>
              <w:bottom w:w="0" w:type="dxa"/>
              <w:right w:w="100" w:type="dxa"/>
            </w:tcMar>
          </w:tcPr>
          <w:p w14:paraId="3716B138" w14:textId="77777777" w:rsidR="00F610C9" w:rsidRPr="0010708D" w:rsidRDefault="00000000">
            <w:pPr>
              <w:spacing w:before="24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Tuesday, August 26, </w:t>
            </w:r>
            <w:proofErr w:type="gramStart"/>
            <w:r w:rsidRPr="0010708D">
              <w:rPr>
                <w:rFonts w:asciiTheme="majorHAnsi" w:eastAsia="Calibri" w:hAnsiTheme="majorHAnsi" w:cstheme="majorHAnsi"/>
                <w:color w:val="242324"/>
                <w:sz w:val="20"/>
                <w:szCs w:val="20"/>
              </w:rPr>
              <w:t>2025</w:t>
            </w:r>
            <w:proofErr w:type="gramEnd"/>
            <w:r w:rsidRPr="0010708D">
              <w:rPr>
                <w:rFonts w:asciiTheme="majorHAnsi" w:eastAsia="Calibri" w:hAnsiTheme="majorHAnsi" w:cstheme="majorHAnsi"/>
                <w:color w:val="242324"/>
                <w:sz w:val="20"/>
                <w:szCs w:val="20"/>
              </w:rPr>
              <w:t xml:space="preserve"> at 09:00 a.m. (IST)</w:t>
            </w:r>
          </w:p>
        </w:tc>
        <w:tc>
          <w:tcPr>
            <w:tcW w:w="4227" w:type="dxa"/>
            <w:tcBorders>
              <w:top w:val="nil"/>
              <w:left w:val="nil"/>
              <w:bottom w:val="single" w:sz="8" w:space="0" w:color="297FD5"/>
              <w:right w:val="single" w:sz="8" w:space="0" w:color="297FD5"/>
            </w:tcBorders>
            <w:shd w:val="clear" w:color="auto" w:fill="FFFFFF"/>
            <w:tcMar>
              <w:top w:w="0" w:type="dxa"/>
              <w:left w:w="100" w:type="dxa"/>
              <w:bottom w:w="0" w:type="dxa"/>
              <w:right w:w="100" w:type="dxa"/>
            </w:tcMar>
          </w:tcPr>
          <w:p w14:paraId="7C9992AC" w14:textId="77777777" w:rsidR="00F610C9" w:rsidRPr="0010708D" w:rsidRDefault="00000000">
            <w:pPr>
              <w:spacing w:before="24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Thursday, August 28, </w:t>
            </w:r>
            <w:proofErr w:type="gramStart"/>
            <w:r w:rsidRPr="0010708D">
              <w:rPr>
                <w:rFonts w:asciiTheme="majorHAnsi" w:eastAsia="Calibri" w:hAnsiTheme="majorHAnsi" w:cstheme="majorHAnsi"/>
                <w:color w:val="242324"/>
                <w:sz w:val="20"/>
                <w:szCs w:val="20"/>
              </w:rPr>
              <w:t>2025</w:t>
            </w:r>
            <w:proofErr w:type="gramEnd"/>
            <w:r w:rsidRPr="0010708D">
              <w:rPr>
                <w:rFonts w:asciiTheme="majorHAnsi" w:eastAsia="Calibri" w:hAnsiTheme="majorHAnsi" w:cstheme="majorHAnsi"/>
                <w:color w:val="242324"/>
                <w:sz w:val="20"/>
                <w:szCs w:val="20"/>
              </w:rPr>
              <w:t xml:space="preserve"> at 05:00 p.m. (IST)</w:t>
            </w:r>
          </w:p>
        </w:tc>
      </w:tr>
    </w:tbl>
    <w:p w14:paraId="5CB6E4FE" w14:textId="77777777" w:rsidR="00F610C9" w:rsidRPr="0010708D" w:rsidRDefault="00000000">
      <w:pPr>
        <w:ind w:left="720" w:right="-180"/>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 </w:t>
      </w:r>
    </w:p>
    <w:p w14:paraId="6F7BBF89" w14:textId="77777777" w:rsidR="00F610C9" w:rsidRPr="0010708D" w:rsidRDefault="00000000">
      <w:pPr>
        <w:numPr>
          <w:ilvl w:val="0"/>
          <w:numId w:val="5"/>
        </w:numPr>
        <w:ind w:right="-180"/>
        <w:jc w:val="both"/>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Members may please note that the remote e-voting shall be disabled by NSDL upon expiry of the aforesaid period. Once the vote on a resolution is cast by the Member, the Member cannot change it subsequently. Members who have cast their vote by remote e-voting prior to the </w:t>
      </w:r>
      <w:proofErr w:type="gramStart"/>
      <w:r w:rsidRPr="0010708D">
        <w:rPr>
          <w:rFonts w:asciiTheme="majorHAnsi" w:eastAsia="Calibri" w:hAnsiTheme="majorHAnsi" w:cstheme="majorHAnsi"/>
          <w:color w:val="242324"/>
          <w:sz w:val="20"/>
          <w:szCs w:val="20"/>
        </w:rPr>
        <w:t>AGM,</w:t>
      </w:r>
      <w:proofErr w:type="gramEnd"/>
      <w:r w:rsidRPr="0010708D">
        <w:rPr>
          <w:rFonts w:asciiTheme="majorHAnsi" w:eastAsia="Calibri" w:hAnsiTheme="majorHAnsi" w:cstheme="majorHAnsi"/>
          <w:color w:val="242324"/>
          <w:sz w:val="20"/>
          <w:szCs w:val="20"/>
        </w:rPr>
        <w:t xml:space="preserve"> may also attend the AGM but shall not be entitled to cast their vote(s) at the AGM again.</w:t>
      </w:r>
    </w:p>
    <w:p w14:paraId="796FCDBF" w14:textId="77777777" w:rsidR="00F610C9" w:rsidRPr="0010708D" w:rsidRDefault="00000000">
      <w:pPr>
        <w:ind w:left="720" w:right="-180"/>
        <w:rPr>
          <w:rFonts w:asciiTheme="majorHAnsi" w:eastAsia="Calibri" w:hAnsiTheme="majorHAnsi" w:cstheme="majorHAnsi"/>
          <w:color w:val="242324"/>
          <w:sz w:val="20"/>
          <w:szCs w:val="20"/>
        </w:rPr>
      </w:pPr>
      <w:r w:rsidRPr="0010708D">
        <w:rPr>
          <w:rFonts w:asciiTheme="majorHAnsi" w:eastAsia="Calibri" w:hAnsiTheme="majorHAnsi" w:cstheme="majorHAnsi"/>
          <w:color w:val="242324"/>
          <w:sz w:val="20"/>
          <w:szCs w:val="20"/>
        </w:rPr>
        <w:t xml:space="preserve"> </w:t>
      </w:r>
    </w:p>
    <w:p w14:paraId="513516A4" w14:textId="77777777" w:rsidR="00F610C9" w:rsidRPr="0010708D" w:rsidRDefault="00000000">
      <w:pPr>
        <w:numPr>
          <w:ilvl w:val="0"/>
          <w:numId w:val="7"/>
        </w:numPr>
        <w:ind w:right="-180"/>
        <w:jc w:val="both"/>
        <w:rPr>
          <w:rFonts w:asciiTheme="majorHAnsi" w:eastAsia="Calibri" w:hAnsiTheme="majorHAnsi" w:cstheme="majorHAnsi"/>
          <w:color w:val="242324"/>
          <w:sz w:val="20"/>
          <w:szCs w:val="20"/>
          <w:highlight w:val="white"/>
        </w:rPr>
      </w:pPr>
      <w:r w:rsidRPr="0010708D">
        <w:rPr>
          <w:rFonts w:asciiTheme="majorHAnsi" w:eastAsia="Calibri" w:hAnsiTheme="majorHAnsi" w:cstheme="majorHAnsi"/>
          <w:color w:val="242324"/>
          <w:sz w:val="20"/>
          <w:szCs w:val="20"/>
          <w:highlight w:val="white"/>
        </w:rPr>
        <w:t xml:space="preserve">The detailed procedure for remote e-voting, joining the AGM through VC/ OAVM </w:t>
      </w:r>
      <w:r w:rsidRPr="0010708D">
        <w:rPr>
          <w:rFonts w:asciiTheme="majorHAnsi" w:eastAsia="Calibri" w:hAnsiTheme="majorHAnsi" w:cstheme="majorHAnsi"/>
          <w:color w:val="242324"/>
          <w:sz w:val="20"/>
          <w:szCs w:val="20"/>
        </w:rPr>
        <w:t>and e-voting at the AGM</w:t>
      </w:r>
      <w:r w:rsidRPr="0010708D">
        <w:rPr>
          <w:rFonts w:asciiTheme="majorHAnsi" w:eastAsia="Calibri" w:hAnsiTheme="majorHAnsi" w:cstheme="majorHAnsi"/>
          <w:color w:val="242324"/>
          <w:sz w:val="20"/>
          <w:szCs w:val="20"/>
          <w:highlight w:val="white"/>
        </w:rPr>
        <w:t xml:space="preserve">, including the </w:t>
      </w:r>
      <w:proofErr w:type="gramStart"/>
      <w:r w:rsidRPr="0010708D">
        <w:rPr>
          <w:rFonts w:asciiTheme="majorHAnsi" w:eastAsia="Calibri" w:hAnsiTheme="majorHAnsi" w:cstheme="majorHAnsi"/>
          <w:color w:val="242324"/>
          <w:sz w:val="20"/>
          <w:szCs w:val="20"/>
          <w:highlight w:val="white"/>
        </w:rPr>
        <w:t>manner in which</w:t>
      </w:r>
      <w:proofErr w:type="gramEnd"/>
      <w:r w:rsidRPr="0010708D">
        <w:rPr>
          <w:rFonts w:asciiTheme="majorHAnsi" w:eastAsia="Calibri" w:hAnsiTheme="majorHAnsi" w:cstheme="majorHAnsi"/>
          <w:color w:val="242324"/>
          <w:sz w:val="20"/>
          <w:szCs w:val="20"/>
          <w:highlight w:val="white"/>
        </w:rPr>
        <w:t xml:space="preserve"> Members hold shares in physical/ demat mode and who have not registered their email address, is provided in the Notice.</w:t>
      </w:r>
    </w:p>
    <w:p w14:paraId="7CB26DF6" w14:textId="77777777" w:rsidR="00F610C9" w:rsidRPr="0010708D" w:rsidRDefault="00000000">
      <w:pPr>
        <w:ind w:right="-180"/>
        <w:jc w:val="both"/>
        <w:rPr>
          <w:rFonts w:asciiTheme="majorHAnsi" w:eastAsia="Calibri" w:hAnsiTheme="majorHAnsi" w:cstheme="majorHAnsi"/>
          <w:color w:val="242324"/>
          <w:sz w:val="20"/>
          <w:szCs w:val="20"/>
          <w:highlight w:val="yellow"/>
          <w:u w:val="single"/>
        </w:rPr>
      </w:pPr>
      <w:r w:rsidRPr="0010708D">
        <w:rPr>
          <w:rFonts w:asciiTheme="majorHAnsi" w:eastAsia="Calibri" w:hAnsiTheme="majorHAnsi" w:cstheme="majorHAnsi"/>
          <w:color w:val="242324"/>
          <w:sz w:val="20"/>
          <w:szCs w:val="20"/>
          <w:highlight w:val="yellow"/>
          <w:u w:val="single"/>
        </w:rPr>
        <w:t xml:space="preserve"> </w:t>
      </w:r>
    </w:p>
    <w:p w14:paraId="64317525" w14:textId="77777777" w:rsidR="00F610C9" w:rsidRPr="0010708D" w:rsidRDefault="00000000">
      <w:pPr>
        <w:numPr>
          <w:ilvl w:val="0"/>
          <w:numId w:val="1"/>
        </w:numPr>
        <w:ind w:right="-180"/>
        <w:jc w:val="both"/>
        <w:rPr>
          <w:rFonts w:asciiTheme="majorHAnsi" w:eastAsia="Calibri" w:hAnsiTheme="majorHAnsi" w:cstheme="majorHAnsi"/>
          <w:sz w:val="20"/>
          <w:szCs w:val="20"/>
        </w:rPr>
      </w:pPr>
      <w:bookmarkStart w:id="8" w:name="_i3k9b13u7bix" w:colFirst="0" w:colLast="0"/>
      <w:bookmarkEnd w:id="8"/>
      <w:r w:rsidRPr="0010708D">
        <w:rPr>
          <w:rFonts w:asciiTheme="majorHAnsi" w:eastAsia="Calibri" w:hAnsiTheme="majorHAnsi" w:cstheme="majorHAnsi"/>
          <w:color w:val="242324"/>
          <w:sz w:val="20"/>
          <w:szCs w:val="20"/>
        </w:rPr>
        <w:t>In case of any queries or issues regarding remote e-voting or e-voting at the AGM, Members may refer the (i) Frequently Asked Questions (FAQs) or e-voting user manual for Members available at the download section of</w:t>
      </w:r>
      <w:hyperlink r:id="rId17">
        <w:r w:rsidR="00F610C9" w:rsidRPr="0010708D">
          <w:rPr>
            <w:rFonts w:asciiTheme="majorHAnsi" w:eastAsia="Calibri" w:hAnsiTheme="majorHAnsi" w:cstheme="majorHAnsi"/>
            <w:color w:val="242324"/>
            <w:sz w:val="20"/>
            <w:szCs w:val="20"/>
          </w:rPr>
          <w:t xml:space="preserve"> </w:t>
        </w:r>
      </w:hyperlink>
      <w:hyperlink r:id="rId18">
        <w:r w:rsidR="00F610C9" w:rsidRPr="0010708D">
          <w:rPr>
            <w:rFonts w:asciiTheme="majorHAnsi" w:eastAsia="Calibri" w:hAnsiTheme="majorHAnsi" w:cstheme="majorHAnsi"/>
            <w:color w:val="0563C1"/>
            <w:sz w:val="20"/>
            <w:szCs w:val="20"/>
            <w:u w:val="single"/>
          </w:rPr>
          <w:t>www.evoting.nsdl.com</w:t>
        </w:r>
      </w:hyperlink>
      <w:r w:rsidRPr="0010708D">
        <w:rPr>
          <w:rFonts w:asciiTheme="majorHAnsi" w:eastAsia="Calibri" w:hAnsiTheme="majorHAnsi" w:cstheme="majorHAnsi"/>
          <w:color w:val="242324"/>
          <w:sz w:val="20"/>
          <w:szCs w:val="20"/>
        </w:rPr>
        <w:t xml:space="preserve">, or (ii) Contact Pallavi Mhatre, Senior Manager, NSDL, at </w:t>
      </w:r>
      <w:hyperlink r:id="rId19">
        <w:r w:rsidR="00F610C9" w:rsidRPr="0010708D">
          <w:rPr>
            <w:rFonts w:asciiTheme="majorHAnsi" w:eastAsia="Calibri" w:hAnsiTheme="majorHAnsi" w:cstheme="majorHAnsi"/>
            <w:color w:val="1155CC"/>
            <w:sz w:val="20"/>
            <w:szCs w:val="20"/>
            <w:u w:val="single"/>
          </w:rPr>
          <w:t>evoting@nsdl.com</w:t>
        </w:r>
      </w:hyperlink>
      <w:r w:rsidRPr="0010708D">
        <w:rPr>
          <w:rFonts w:asciiTheme="majorHAnsi" w:eastAsia="Calibri" w:hAnsiTheme="majorHAnsi" w:cstheme="majorHAnsi"/>
          <w:color w:val="0563C1"/>
          <w:sz w:val="20"/>
          <w:szCs w:val="20"/>
          <w:u w:val="single"/>
        </w:rPr>
        <w:t xml:space="preserve"> </w:t>
      </w:r>
      <w:r w:rsidRPr="0010708D">
        <w:rPr>
          <w:rFonts w:asciiTheme="majorHAnsi" w:eastAsia="Calibri" w:hAnsiTheme="majorHAnsi" w:cstheme="majorHAnsi"/>
          <w:color w:val="242324"/>
          <w:sz w:val="20"/>
          <w:szCs w:val="20"/>
        </w:rPr>
        <w:t>or (iii) Call at Tel : 022 - 4886 7000.</w:t>
      </w:r>
      <w:r w:rsidRPr="0010708D">
        <w:rPr>
          <w:rFonts w:asciiTheme="majorHAnsi" w:eastAsia="Calibri" w:hAnsiTheme="majorHAnsi" w:cstheme="majorHAnsi"/>
          <w:b/>
          <w:sz w:val="20"/>
          <w:szCs w:val="20"/>
        </w:rPr>
        <w:tab/>
      </w:r>
      <w:r w:rsidRPr="0010708D">
        <w:rPr>
          <w:rFonts w:asciiTheme="majorHAnsi" w:eastAsia="Calibri" w:hAnsiTheme="majorHAnsi" w:cstheme="majorHAnsi"/>
          <w:b/>
          <w:sz w:val="20"/>
          <w:szCs w:val="20"/>
        </w:rPr>
        <w:tab/>
        <w:t xml:space="preserve"> </w:t>
      </w:r>
      <w:r w:rsidRPr="0010708D">
        <w:rPr>
          <w:rFonts w:asciiTheme="majorHAnsi" w:eastAsia="Calibri" w:hAnsiTheme="majorHAnsi" w:cstheme="majorHAnsi"/>
          <w:b/>
          <w:sz w:val="20"/>
          <w:szCs w:val="20"/>
        </w:rPr>
        <w:tab/>
      </w:r>
    </w:p>
    <w:tbl>
      <w:tblPr>
        <w:tblStyle w:val="a0"/>
        <w:tblW w:w="9477" w:type="dxa"/>
        <w:tblInd w:w="108" w:type="dxa"/>
        <w:tblLayout w:type="fixed"/>
        <w:tblLook w:val="0000" w:firstRow="0" w:lastRow="0" w:firstColumn="0" w:lastColumn="0" w:noHBand="0" w:noVBand="0"/>
      </w:tblPr>
      <w:tblGrid>
        <w:gridCol w:w="3400"/>
        <w:gridCol w:w="6077"/>
      </w:tblGrid>
      <w:tr w:rsidR="00F610C9" w:rsidRPr="0010708D" w14:paraId="75300D44" w14:textId="77777777" w:rsidTr="0010708D">
        <w:trPr>
          <w:trHeight w:val="1"/>
        </w:trPr>
        <w:tc>
          <w:tcPr>
            <w:tcW w:w="3400" w:type="dxa"/>
            <w:shd w:val="clear" w:color="auto" w:fill="FFFFFF"/>
            <w:tcMar>
              <w:left w:w="108" w:type="dxa"/>
              <w:right w:w="108" w:type="dxa"/>
            </w:tcMar>
          </w:tcPr>
          <w:p w14:paraId="5867F32B" w14:textId="77777777" w:rsidR="00F610C9" w:rsidRPr="0010708D" w:rsidRDefault="00F610C9">
            <w:pPr>
              <w:spacing w:line="240" w:lineRule="auto"/>
              <w:jc w:val="both"/>
              <w:rPr>
                <w:rFonts w:asciiTheme="majorHAnsi" w:eastAsia="Calibri" w:hAnsiTheme="majorHAnsi" w:cstheme="majorHAnsi"/>
                <w:b/>
                <w:sz w:val="20"/>
                <w:szCs w:val="20"/>
              </w:rPr>
            </w:pPr>
          </w:p>
          <w:p w14:paraId="26E89396" w14:textId="77777777" w:rsidR="00F610C9" w:rsidRPr="0010708D" w:rsidRDefault="00F610C9">
            <w:pPr>
              <w:spacing w:line="240" w:lineRule="auto"/>
              <w:jc w:val="both"/>
              <w:rPr>
                <w:rFonts w:asciiTheme="majorHAnsi" w:eastAsia="Calibri" w:hAnsiTheme="majorHAnsi" w:cstheme="majorHAnsi"/>
                <w:b/>
                <w:sz w:val="20"/>
                <w:szCs w:val="20"/>
              </w:rPr>
            </w:pPr>
          </w:p>
          <w:p w14:paraId="4372A899" w14:textId="77777777" w:rsidR="00F610C9" w:rsidRPr="0010708D" w:rsidRDefault="00F610C9">
            <w:pPr>
              <w:spacing w:line="240" w:lineRule="auto"/>
              <w:jc w:val="both"/>
              <w:rPr>
                <w:rFonts w:asciiTheme="majorHAnsi" w:eastAsia="Calibri" w:hAnsiTheme="majorHAnsi" w:cstheme="majorHAnsi"/>
                <w:b/>
                <w:sz w:val="20"/>
                <w:szCs w:val="20"/>
              </w:rPr>
            </w:pPr>
          </w:p>
          <w:p w14:paraId="20BADDE2" w14:textId="77777777" w:rsidR="00F610C9" w:rsidRPr="0010708D" w:rsidRDefault="00F610C9">
            <w:pPr>
              <w:spacing w:line="240" w:lineRule="auto"/>
              <w:jc w:val="both"/>
              <w:rPr>
                <w:rFonts w:asciiTheme="majorHAnsi" w:eastAsia="Calibri" w:hAnsiTheme="majorHAnsi" w:cstheme="majorHAnsi"/>
                <w:b/>
                <w:sz w:val="20"/>
                <w:szCs w:val="20"/>
              </w:rPr>
            </w:pPr>
          </w:p>
          <w:p w14:paraId="3BDEFAF2" w14:textId="77777777" w:rsidR="00F610C9" w:rsidRPr="0010708D" w:rsidRDefault="00000000">
            <w:pPr>
              <w:spacing w:line="240" w:lineRule="auto"/>
              <w:jc w:val="both"/>
              <w:rPr>
                <w:rFonts w:asciiTheme="majorHAnsi" w:eastAsia="Calibri" w:hAnsiTheme="majorHAnsi" w:cstheme="majorHAnsi"/>
                <w:sz w:val="20"/>
                <w:szCs w:val="20"/>
              </w:rPr>
            </w:pPr>
            <w:r w:rsidRPr="0010708D">
              <w:rPr>
                <w:rFonts w:asciiTheme="majorHAnsi" w:eastAsia="Calibri" w:hAnsiTheme="majorHAnsi" w:cstheme="majorHAnsi"/>
                <w:b/>
                <w:sz w:val="20"/>
                <w:szCs w:val="20"/>
              </w:rPr>
              <w:t>Place:</w:t>
            </w:r>
            <w:r w:rsidRPr="0010708D">
              <w:rPr>
                <w:rFonts w:asciiTheme="majorHAnsi" w:eastAsia="Calibri" w:hAnsiTheme="majorHAnsi" w:cstheme="majorHAnsi"/>
                <w:sz w:val="20"/>
                <w:szCs w:val="20"/>
              </w:rPr>
              <w:t xml:space="preserve"> Noida, Uttar Pradesh</w:t>
            </w:r>
          </w:p>
          <w:p w14:paraId="744DF991" w14:textId="77777777" w:rsidR="00F610C9" w:rsidRPr="0010708D" w:rsidRDefault="00000000">
            <w:pPr>
              <w:spacing w:line="240" w:lineRule="auto"/>
              <w:jc w:val="both"/>
              <w:rPr>
                <w:rFonts w:asciiTheme="majorHAnsi" w:eastAsia="Calibri" w:hAnsiTheme="majorHAnsi" w:cstheme="majorHAnsi"/>
                <w:sz w:val="20"/>
                <w:szCs w:val="20"/>
              </w:rPr>
            </w:pPr>
            <w:r w:rsidRPr="0010708D">
              <w:rPr>
                <w:rFonts w:asciiTheme="majorHAnsi" w:eastAsia="Calibri" w:hAnsiTheme="majorHAnsi" w:cstheme="majorHAnsi"/>
                <w:b/>
                <w:sz w:val="20"/>
                <w:szCs w:val="20"/>
              </w:rPr>
              <w:t>Date:</w:t>
            </w:r>
            <w:r w:rsidRPr="0010708D">
              <w:rPr>
                <w:rFonts w:asciiTheme="majorHAnsi" w:eastAsia="Calibri" w:hAnsiTheme="majorHAnsi" w:cstheme="majorHAnsi"/>
                <w:sz w:val="20"/>
                <w:szCs w:val="20"/>
              </w:rPr>
              <w:t xml:space="preserve"> August 05, 2025</w:t>
            </w:r>
          </w:p>
        </w:tc>
        <w:tc>
          <w:tcPr>
            <w:tcW w:w="6077" w:type="dxa"/>
            <w:shd w:val="clear" w:color="auto" w:fill="FFFFFF"/>
            <w:tcMar>
              <w:left w:w="108" w:type="dxa"/>
              <w:right w:w="108" w:type="dxa"/>
            </w:tcMar>
          </w:tcPr>
          <w:p w14:paraId="6E6C1FD7" w14:textId="77777777" w:rsidR="00F610C9" w:rsidRPr="0010708D" w:rsidRDefault="00F610C9">
            <w:pPr>
              <w:spacing w:line="259" w:lineRule="auto"/>
              <w:ind w:left="1440" w:firstLine="720"/>
              <w:jc w:val="right"/>
              <w:rPr>
                <w:rFonts w:asciiTheme="majorHAnsi" w:eastAsia="Calibri" w:hAnsiTheme="majorHAnsi" w:cstheme="majorHAnsi"/>
                <w:b/>
                <w:sz w:val="20"/>
                <w:szCs w:val="20"/>
              </w:rPr>
            </w:pPr>
          </w:p>
          <w:p w14:paraId="450E7829" w14:textId="77777777" w:rsidR="00F610C9" w:rsidRPr="0010708D" w:rsidRDefault="00000000">
            <w:pPr>
              <w:spacing w:line="259" w:lineRule="auto"/>
              <w:ind w:left="1440" w:firstLine="720"/>
              <w:jc w:val="right"/>
              <w:rPr>
                <w:rFonts w:asciiTheme="majorHAnsi" w:eastAsia="Calibri" w:hAnsiTheme="majorHAnsi" w:cstheme="majorHAnsi"/>
                <w:sz w:val="20"/>
                <w:szCs w:val="20"/>
              </w:rPr>
            </w:pPr>
            <w:r w:rsidRPr="0010708D">
              <w:rPr>
                <w:rFonts w:asciiTheme="majorHAnsi" w:eastAsia="Calibri" w:hAnsiTheme="majorHAnsi" w:cstheme="majorHAnsi"/>
                <w:sz w:val="20"/>
                <w:szCs w:val="20"/>
              </w:rPr>
              <w:t>By order of the Board of Directors</w:t>
            </w:r>
          </w:p>
          <w:p w14:paraId="57249CE0" w14:textId="77777777" w:rsidR="00F610C9" w:rsidRPr="0010708D" w:rsidRDefault="00000000">
            <w:pPr>
              <w:spacing w:line="240" w:lineRule="auto"/>
              <w:jc w:val="right"/>
              <w:rPr>
                <w:rFonts w:asciiTheme="majorHAnsi" w:eastAsia="Calibri" w:hAnsiTheme="majorHAnsi" w:cstheme="majorHAnsi"/>
                <w:b/>
                <w:sz w:val="20"/>
                <w:szCs w:val="20"/>
              </w:rPr>
            </w:pPr>
            <w:r w:rsidRPr="0010708D">
              <w:rPr>
                <w:rFonts w:asciiTheme="majorHAnsi" w:eastAsia="Calibri" w:hAnsiTheme="majorHAnsi" w:cstheme="majorHAnsi"/>
                <w:sz w:val="20"/>
                <w:szCs w:val="20"/>
              </w:rPr>
              <w:t>For</w:t>
            </w:r>
            <w:r w:rsidRPr="0010708D">
              <w:rPr>
                <w:rFonts w:asciiTheme="majorHAnsi" w:eastAsia="Calibri" w:hAnsiTheme="majorHAnsi" w:cstheme="majorHAnsi"/>
                <w:b/>
                <w:sz w:val="20"/>
                <w:szCs w:val="20"/>
              </w:rPr>
              <w:t xml:space="preserve"> One 97 Communications Limited</w:t>
            </w:r>
          </w:p>
          <w:p w14:paraId="32A3315D" w14:textId="77777777" w:rsidR="00F610C9" w:rsidRPr="0010708D" w:rsidRDefault="00F610C9">
            <w:pPr>
              <w:spacing w:line="240" w:lineRule="auto"/>
              <w:rPr>
                <w:rFonts w:asciiTheme="majorHAnsi" w:eastAsia="Calibri" w:hAnsiTheme="majorHAnsi" w:cstheme="majorHAnsi"/>
                <w:b/>
                <w:sz w:val="20"/>
                <w:szCs w:val="20"/>
              </w:rPr>
            </w:pPr>
          </w:p>
          <w:p w14:paraId="39A99D85" w14:textId="77777777" w:rsidR="00F610C9" w:rsidRPr="0010708D" w:rsidRDefault="00000000">
            <w:pPr>
              <w:spacing w:line="240" w:lineRule="auto"/>
              <w:jc w:val="right"/>
              <w:rPr>
                <w:rFonts w:asciiTheme="majorHAnsi" w:eastAsia="Calibri" w:hAnsiTheme="majorHAnsi" w:cstheme="majorHAnsi"/>
                <w:b/>
                <w:sz w:val="20"/>
                <w:szCs w:val="20"/>
              </w:rPr>
            </w:pPr>
            <w:r w:rsidRPr="0010708D">
              <w:rPr>
                <w:rFonts w:asciiTheme="majorHAnsi" w:eastAsia="Calibri" w:hAnsiTheme="majorHAnsi" w:cstheme="majorHAnsi"/>
                <w:b/>
                <w:sz w:val="20"/>
                <w:szCs w:val="20"/>
              </w:rPr>
              <w:t>Sd/-</w:t>
            </w:r>
          </w:p>
          <w:p w14:paraId="3B0CBDE6" w14:textId="77777777" w:rsidR="00F610C9" w:rsidRPr="0010708D" w:rsidRDefault="00000000">
            <w:pPr>
              <w:spacing w:line="240" w:lineRule="auto"/>
              <w:jc w:val="right"/>
              <w:rPr>
                <w:rFonts w:asciiTheme="majorHAnsi" w:eastAsia="Calibri" w:hAnsiTheme="majorHAnsi" w:cstheme="majorHAnsi"/>
                <w:b/>
                <w:sz w:val="20"/>
                <w:szCs w:val="20"/>
              </w:rPr>
            </w:pPr>
            <w:r w:rsidRPr="0010708D">
              <w:rPr>
                <w:rFonts w:asciiTheme="majorHAnsi" w:eastAsia="Calibri" w:hAnsiTheme="majorHAnsi" w:cstheme="majorHAnsi"/>
                <w:b/>
                <w:sz w:val="20"/>
                <w:szCs w:val="20"/>
              </w:rPr>
              <w:t>Sunil Kumar Bansal</w:t>
            </w:r>
          </w:p>
          <w:p w14:paraId="72DDFE70" w14:textId="77777777" w:rsidR="00F610C9" w:rsidRPr="0010708D" w:rsidRDefault="00000000">
            <w:pPr>
              <w:spacing w:line="240" w:lineRule="auto"/>
              <w:jc w:val="right"/>
              <w:rPr>
                <w:rFonts w:asciiTheme="majorHAnsi" w:eastAsia="Calibri" w:hAnsiTheme="majorHAnsi" w:cstheme="majorHAnsi"/>
                <w:b/>
                <w:sz w:val="20"/>
                <w:szCs w:val="20"/>
              </w:rPr>
            </w:pPr>
            <w:r w:rsidRPr="0010708D">
              <w:rPr>
                <w:rFonts w:asciiTheme="majorHAnsi" w:eastAsia="Calibri" w:hAnsiTheme="majorHAnsi" w:cstheme="majorHAnsi"/>
                <w:b/>
                <w:sz w:val="20"/>
                <w:szCs w:val="20"/>
              </w:rPr>
              <w:t>Company Secretary &amp; Compliance Officer</w:t>
            </w:r>
          </w:p>
          <w:p w14:paraId="4976FF61" w14:textId="77777777" w:rsidR="00F610C9" w:rsidRPr="0010708D" w:rsidRDefault="00000000">
            <w:pPr>
              <w:spacing w:line="240" w:lineRule="auto"/>
              <w:jc w:val="right"/>
              <w:rPr>
                <w:rFonts w:asciiTheme="majorHAnsi" w:eastAsia="Calibri" w:hAnsiTheme="majorHAnsi" w:cstheme="majorHAnsi"/>
                <w:sz w:val="20"/>
                <w:szCs w:val="20"/>
              </w:rPr>
            </w:pPr>
            <w:r w:rsidRPr="0010708D">
              <w:rPr>
                <w:rFonts w:asciiTheme="majorHAnsi" w:eastAsia="Calibri" w:hAnsiTheme="majorHAnsi" w:cstheme="majorHAnsi"/>
                <w:b/>
                <w:sz w:val="20"/>
                <w:szCs w:val="20"/>
              </w:rPr>
              <w:t>M. No.: F 4810</w:t>
            </w:r>
          </w:p>
        </w:tc>
      </w:tr>
    </w:tbl>
    <w:p w14:paraId="4F79F286" w14:textId="77777777" w:rsidR="00F610C9" w:rsidRPr="0010708D" w:rsidRDefault="00F610C9">
      <w:pPr>
        <w:spacing w:before="240" w:after="160" w:line="240" w:lineRule="auto"/>
        <w:jc w:val="both"/>
        <w:rPr>
          <w:rFonts w:asciiTheme="majorHAnsi" w:eastAsia="Calibri" w:hAnsiTheme="majorHAnsi" w:cstheme="majorHAnsi"/>
          <w:sz w:val="20"/>
          <w:szCs w:val="20"/>
        </w:rPr>
      </w:pPr>
    </w:p>
    <w:p w14:paraId="1459CC3C" w14:textId="77777777" w:rsidR="00F610C9" w:rsidRPr="0010708D" w:rsidRDefault="00F610C9">
      <w:pPr>
        <w:rPr>
          <w:rFonts w:asciiTheme="majorHAnsi" w:hAnsiTheme="majorHAnsi" w:cstheme="majorHAnsi"/>
          <w:sz w:val="20"/>
          <w:szCs w:val="20"/>
        </w:rPr>
      </w:pPr>
    </w:p>
    <w:sectPr w:rsidR="00F610C9" w:rsidRPr="001070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C4EC8"/>
    <w:multiLevelType w:val="multilevel"/>
    <w:tmpl w:val="19F41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5235D"/>
    <w:multiLevelType w:val="multilevel"/>
    <w:tmpl w:val="CEA40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F28C4"/>
    <w:multiLevelType w:val="multilevel"/>
    <w:tmpl w:val="5CACD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0F40FE"/>
    <w:multiLevelType w:val="multilevel"/>
    <w:tmpl w:val="FE246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7871AE"/>
    <w:multiLevelType w:val="multilevel"/>
    <w:tmpl w:val="C9CC1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3E57A3"/>
    <w:multiLevelType w:val="multilevel"/>
    <w:tmpl w:val="938E2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13E2D"/>
    <w:multiLevelType w:val="multilevel"/>
    <w:tmpl w:val="EF786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8574A"/>
    <w:multiLevelType w:val="multilevel"/>
    <w:tmpl w:val="01C41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6C235D"/>
    <w:multiLevelType w:val="multilevel"/>
    <w:tmpl w:val="BC104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0956762">
    <w:abstractNumId w:val="8"/>
  </w:num>
  <w:num w:numId="2" w16cid:durableId="449786630">
    <w:abstractNumId w:val="4"/>
  </w:num>
  <w:num w:numId="3" w16cid:durableId="1670791076">
    <w:abstractNumId w:val="7"/>
  </w:num>
  <w:num w:numId="4" w16cid:durableId="143205574">
    <w:abstractNumId w:val="1"/>
  </w:num>
  <w:num w:numId="5" w16cid:durableId="1794639070">
    <w:abstractNumId w:val="6"/>
  </w:num>
  <w:num w:numId="6" w16cid:durableId="1786460009">
    <w:abstractNumId w:val="2"/>
  </w:num>
  <w:num w:numId="7" w16cid:durableId="1179152679">
    <w:abstractNumId w:val="5"/>
  </w:num>
  <w:num w:numId="8" w16cid:durableId="735276484">
    <w:abstractNumId w:val="3"/>
  </w:num>
  <w:num w:numId="9" w16cid:durableId="102848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C9"/>
    <w:rsid w:val="0010708D"/>
    <w:rsid w:val="003D1DBF"/>
    <w:rsid w:val="00CA6D0F"/>
    <w:rsid w:val="00E3091F"/>
    <w:rsid w:val="00EC03F7"/>
    <w:rsid w:val="00F61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9DC3"/>
  <w15:docId w15:val="{B07066C6-1D6D-488F-9A57-F2D10BF3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r.paytm.com/agm" TargetMode="External"/><Relationship Id="rId13" Type="http://schemas.openxmlformats.org/officeDocument/2006/relationships/hyperlink" Target="http://www.nseindia.com/" TargetMode="External"/><Relationship Id="rId18" Type="http://schemas.openxmlformats.org/officeDocument/2006/relationships/hyperlink" Target="http://www.evoting.nsd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r.paytm.com/agm" TargetMode="External"/><Relationship Id="rId12" Type="http://schemas.openxmlformats.org/officeDocument/2006/relationships/hyperlink" Target="http://www.bseindia.com/" TargetMode="External"/><Relationship Id="rId17" Type="http://schemas.openxmlformats.org/officeDocument/2006/relationships/hyperlink" Target="http://www.evoting.nsdl.com/" TargetMode="External"/><Relationship Id="rId2" Type="http://schemas.openxmlformats.org/officeDocument/2006/relationships/styles" Target="styles.xml"/><Relationship Id="rId16" Type="http://schemas.openxmlformats.org/officeDocument/2006/relationships/hyperlink" Target="https://web.in.mpms.mufg.com/client-downloa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aytm.com/" TargetMode="External"/><Relationship Id="rId11" Type="http://schemas.openxmlformats.org/officeDocument/2006/relationships/hyperlink" Target="http://www.bseindia.com/" TargetMode="External"/><Relationship Id="rId5" Type="http://schemas.openxmlformats.org/officeDocument/2006/relationships/hyperlink" Target="mailto:compliance.officer@paytm.com" TargetMode="External"/><Relationship Id="rId15" Type="http://schemas.openxmlformats.org/officeDocument/2006/relationships/hyperlink" Target="http://www.linkintime.co.in/" TargetMode="External"/><Relationship Id="rId10" Type="http://schemas.openxmlformats.org/officeDocument/2006/relationships/hyperlink" Target="http://www.evoting.nsdl.com/" TargetMode="External"/><Relationship Id="rId19" Type="http://schemas.openxmlformats.org/officeDocument/2006/relationships/hyperlink" Target="mailto:evoting@nsdl.com" TargetMode="External"/><Relationship Id="rId4" Type="http://schemas.openxmlformats.org/officeDocument/2006/relationships/webSettings" Target="webSettings.xml"/><Relationship Id="rId9" Type="http://schemas.openxmlformats.org/officeDocument/2006/relationships/hyperlink" Target="http://www.evoting.nsdl.com/" TargetMode="External"/><Relationship Id="rId14" Type="http://schemas.openxmlformats.org/officeDocument/2006/relationships/hyperlink" Target="http://www.nse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Kartik1 Jain</cp:lastModifiedBy>
  <cp:revision>4</cp:revision>
  <dcterms:created xsi:type="dcterms:W3CDTF">2025-08-03T19:19:00Z</dcterms:created>
  <dcterms:modified xsi:type="dcterms:W3CDTF">2025-08-05T08:26:00Z</dcterms:modified>
</cp:coreProperties>
</file>