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  <w:jc w:val="center"/>
      </w:pPr>
      <w:r>
        <w:rPr/>
        <w:t>协同测距与组合导航近期实验分析报告（精简版）</w:t>
      </w:r>
    </w:p>
    <w:p>
      <w:pPr>
        <w:pStyle w:val="Heading1"/>
      </w:pPr>
      <w:r>
        <w:rPr/>
        <w:t>摘要</w:t>
      </w:r>
    </w:p>
    <w:p>
      <w:pPr/>
      <w:r>
        <w:rPr/>
        <w:t>本文对近期L3高精度IMU、L3 MEMS、156-3贴片IMU、GNSS及UWB实验进行归纳，重点评价组合导航相对精度、纯惯性漂移和UWB异常观测。结果表明：在共用GNSS位置更新条件下，L3 MEMS解算与高精度IMU解算较为一致；关闭外部观测后，两类IMU的位置误差均随时间快速累积；156-3 UWB主体误差较小，但存在长时间缺测、旧值重复和百米级粗差，直接加入EKF会导致发散。</w:t>
      </w:r>
    </w:p>
    <w:p>
      <w:pPr>
        <w:pStyle w:val="Heading1"/>
      </w:pPr>
      <w:r>
        <w:rPr/>
        <w:t>1 方法</w:t>
      </w:r>
    </w:p>
    <w:p>
      <w:pPr/>
      <w:r>
        <w:rPr/>
        <w:t>导航程序采用15状态误差状态EKF，状态由位置、速度、姿态误差以及陀螺和加速度计零偏构成：</w:t>
      </w:r>
    </w:p>
    <w:p>
      <w:pPr>
        <w:jc w:val="center"/>
      </w:pPr>
      <w:r>
        <w:rPr/>
        <w:t>δx = [δp</w:t>
      </w:r>
      <w:r>
        <w:rPr>
          <w:vertAlign w:val="superscript"/>
        </w:rPr>
        <w:t>T</w:t>
      </w:r>
      <w:r>
        <w:rPr/>
        <w:t>, δv</w:t>
      </w:r>
      <w:r>
        <w:rPr>
          <w:vertAlign w:val="superscript"/>
        </w:rPr>
        <w:t>T</w:t>
      </w:r>
      <w:r>
        <w:rPr/>
        <w:t>, δφ</w:t>
      </w:r>
      <w:r>
        <w:rPr>
          <w:vertAlign w:val="superscript"/>
        </w:rPr>
        <w:t>T</w:t>
      </w:r>
      <w:r>
        <w:rPr/>
        <w:t>, δb</w:t>
      </w:r>
      <w:r>
        <w:rPr>
          <w:vertAlign w:val="subscript"/>
        </w:rPr>
        <w:t>g</w:t>
      </w:r>
      <w:r>
        <w:rPr>
          <w:vertAlign w:val="superscript"/>
        </w:rPr>
        <w:t>T</w:t>
      </w:r>
      <w:r>
        <w:rPr/>
        <w:t>, δb</w:t>
      </w:r>
      <w:r>
        <w:rPr>
          <w:vertAlign w:val="subscript"/>
        </w:rPr>
        <w:t>a</w:t>
      </w:r>
      <w:r>
        <w:rPr>
          <w:vertAlign w:val="superscript"/>
        </w:rPr>
        <w:t>T</w:t>
      </w:r>
      <w:r>
        <w:rPr/>
        <w:t>]</w:t>
      </w:r>
      <w:r>
        <w:rPr>
          <w:vertAlign w:val="superscript"/>
        </w:rPr>
        <w:t>T</w:t>
      </w:r>
      <w:r>
        <w:rPr/>
        <w:t>。</w:t>
      </w:r>
    </w:p>
    <w:p>
      <w:pPr/>
      <w:r>
        <w:rPr/>
        <w:t>本批次GNSS无可靠速度，因此只进行位置更新。UWB测距模型为 z</w:t>
      </w:r>
      <w:r>
        <w:rPr>
          <w:vertAlign w:val="subscript"/>
        </w:rPr>
        <w:t>i</w:t>
      </w:r>
      <w:r>
        <w:rPr/>
        <w:t xml:space="preserve"> = ||p-p</w:t>
      </w:r>
      <w:r>
        <w:rPr>
          <w:vertAlign w:val="subscript"/>
        </w:rPr>
        <w:t>i</w:t>
      </w:r>
      <w:r>
        <w:rPr/>
        <w:t>|| + b</w:t>
      </w:r>
      <w:r>
        <w:rPr>
          <w:vertAlign w:val="subscript"/>
        </w:rPr>
        <w:t>r,i</w:t>
      </w:r>
      <w:r>
        <w:rPr/>
        <w:t xml:space="preserve"> + v</w:t>
      </w:r>
      <w:r>
        <w:rPr>
          <w:vertAlign w:val="subscript"/>
        </w:rPr>
        <w:t>i</w:t>
      </w:r>
      <w:r>
        <w:rPr/>
        <w:t>，残差为 r</w:t>
      </w:r>
      <w:r>
        <w:rPr>
          <w:vertAlign w:val="subscript"/>
        </w:rPr>
        <w:t>i</w:t>
      </w:r>
      <w:r>
        <w:rPr/>
        <w:t xml:space="preserve"> = z</w:t>
      </w:r>
      <w:r>
        <w:rPr>
          <w:vertAlign w:val="subscript"/>
        </w:rPr>
        <w:t>i</w:t>
      </w:r>
      <w:r>
        <w:rPr/>
        <w:t xml:space="preserve"> - ||p̂-p</w:t>
      </w:r>
      <w:r>
        <w:rPr>
          <w:vertAlign w:val="subscript"/>
        </w:rPr>
        <w:t>i</w:t>
      </w:r>
      <w:r>
        <w:rPr/>
        <w:t>||。其中b</w:t>
      </w:r>
      <w:r>
        <w:rPr>
          <w:vertAlign w:val="subscript"/>
        </w:rPr>
        <w:t>r,i</w:t>
      </w:r>
      <w:r>
        <w:rPr/>
        <w:t>为节点相关等效测距偏置。结果按公共时间轴对齐，以同程序使用L3高精度IMU的解算作为相对参考；该参考与MEMS组共用GNSS，不能替代独立RTK真值。</w:t>
      </w:r>
    </w:p>
    <w:p>
      <w:pPr>
        <w:pStyle w:val="Heading1"/>
      </w:pPr>
      <w:r>
        <w:rPr/>
        <w:t>2 主要结果</w:t>
      </w:r>
    </w:p>
    <w:tbl>
      <w:tblPr>
        <w:tblStyle w:val="TableGrid"/>
        <w:tblW w:w="0" w:type="auto"/>
      </w:tblPr>
      <w:tr>
        <w:tc>
          <w:tcPr>
            <w:tcW w:w="0" w:type="auto"/>
          </w:tcPr>
          <w:p>
            <w:pPr>
              <w:jc w:val="center"/>
            </w:pPr>
            <w:r>
              <w:rPr>
                <w:b/>
              </w:rPr>
              <w:t>实验组</w:t>
            </w:r>
          </w:p>
        </w:tc>
        <w:tc>
          <w:tcPr>
            <w:tcW w:w="0" w:type="auto"/>
          </w:tcPr>
          <w:p>
            <w:pPr>
              <w:jc w:val="center"/>
            </w:pPr>
            <w:r>
              <w:rPr>
                <w:b/>
              </w:rPr>
              <w:t>Roll/Pitch/Yaw RMS</w:t>
            </w:r>
          </w:p>
        </w:tc>
        <w:tc>
          <w:tcPr>
            <w:tcW w:w="0" w:type="auto"/>
          </w:tcPr>
          <w:p>
            <w:pPr>
              <w:jc w:val="center"/>
            </w:pPr>
            <w:r>
              <w:rPr>
                <w:b/>
              </w:rPr>
              <w:t>水平位置结果</w:t>
            </w:r>
          </w:p>
        </w:tc>
      </w:tr>
      <w:tr>
        <w:tc>
          <w:tcPr>
            <w:tcW w:w="0" w:type="auto"/>
          </w:tcPr>
          <w:p>
            <w:pPr>
              <w:jc w:val="center"/>
            </w:pPr>
            <w:r>
              <w:rPr/>
              <w:t>L3 MEMS+GNSS</w:t>
            </w:r>
          </w:p>
        </w:tc>
        <w:tc>
          <w:tcPr>
            <w:tcW w:w="0" w:type="auto"/>
          </w:tcPr>
          <w:p>
            <w:pPr>
              <w:jc w:val="center"/>
            </w:pPr>
            <w:r>
              <w:rPr/>
              <w:t>0.175° / 0.443° / 0.545°</w:t>
            </w:r>
          </w:p>
        </w:tc>
        <w:tc>
          <w:tcPr>
            <w:tcW w:w="0" w:type="auto"/>
          </w:tcPr>
          <w:p>
            <w:pPr>
              <w:jc w:val="center"/>
            </w:pPr>
            <w:r>
              <w:rPr/>
              <w:t>相对差RMS 0.129 m</w:t>
            </w:r>
          </w:p>
        </w:tc>
      </w:tr>
      <w:tr>
        <w:tc>
          <w:tcPr>
            <w:tcW w:w="0" w:type="auto"/>
          </w:tcPr>
          <w:p>
            <w:pPr>
              <w:jc w:val="center"/>
            </w:pPr>
            <w:r>
              <w:rPr/>
              <w:t>L3 MEMS纯惯性</w:t>
            </w:r>
          </w:p>
        </w:tc>
        <w:tc>
          <w:tcPr>
            <w:tcW w:w="0" w:type="auto"/>
          </w:tcPr>
          <w:p>
            <w:pPr>
              <w:jc w:val="center"/>
            </w:pPr>
            <w:r>
              <w:rPr/>
              <w:t>0.107° / 0.464° / 1.152°</w:t>
            </w:r>
          </w:p>
        </w:tc>
        <w:tc>
          <w:tcPr>
            <w:tcW w:w="0" w:type="auto"/>
          </w:tcPr>
          <w:p>
            <w:pPr>
              <w:jc w:val="center"/>
            </w:pPr>
            <w:r>
              <w:rPr/>
              <w:t>末端误差2590.4 m</w:t>
            </w:r>
          </w:p>
        </w:tc>
      </w:tr>
      <w:tr>
        <w:tc>
          <w:tcPr>
            <w:tcW w:w="0" w:type="auto"/>
          </w:tcPr>
          <w:p>
            <w:pPr>
              <w:jc w:val="center"/>
            </w:pPr>
            <w:r>
              <w:rPr/>
              <w:t>L3高精度IMU纯惯性</w:t>
            </w:r>
          </w:p>
        </w:tc>
        <w:tc>
          <w:tcPr>
            <w:tcW w:w="0" w:type="auto"/>
          </w:tcPr>
          <w:p>
            <w:pPr>
              <w:jc w:val="center"/>
            </w:pPr>
            <w:r>
              <w:rPr/>
              <w:t>0.065° / 0.052° / 0.397°</w:t>
            </w:r>
          </w:p>
        </w:tc>
        <w:tc>
          <w:tcPr>
            <w:tcW w:w="0" w:type="auto"/>
          </w:tcPr>
          <w:p>
            <w:pPr>
              <w:jc w:val="center"/>
            </w:pPr>
            <w:r>
              <w:rPr/>
              <w:t>末端误差1352.9 m</w:t>
            </w:r>
          </w:p>
        </w:tc>
      </w:tr>
      <w:tr>
        <w:tc>
          <w:tcPr>
            <w:tcW w:w="0" w:type="auto"/>
          </w:tcPr>
          <w:p>
            <w:pPr>
              <w:jc w:val="center"/>
            </w:pPr>
            <w:r>
              <w:rPr/>
              <w:t>156-3贴片IMU+GNSS</w:t>
            </w:r>
          </w:p>
        </w:tc>
        <w:tc>
          <w:tcPr>
            <w:tcW w:w="0" w:type="auto"/>
          </w:tcPr>
          <w:p>
            <w:pPr>
              <w:jc w:val="center"/>
            </w:pPr>
            <w:r>
              <w:rPr/>
              <w:t>1.190° / 1.937° / 32.810°</w:t>
            </w:r>
          </w:p>
        </w:tc>
        <w:tc>
          <w:tcPr>
            <w:tcW w:w="0" w:type="auto"/>
          </w:tcPr>
          <w:p>
            <w:pPr>
              <w:jc w:val="center"/>
            </w:pPr>
            <w:r>
              <w:rPr/>
              <w:t>相对差RMS 3.560 m</w:t>
            </w:r>
          </w:p>
        </w:tc>
      </w:tr>
    </w:tbl>
    <w:p>
      <w:pPr/>
      <w:r>
        <w:rPr/>
        <w:t>L3 MEMS在GNSS约束下能够稳定工作；纯惯性条件下，高精度IMU将末端水平误差降低约47.8%，但约16分钟后仍达到千米量级，说明微小姿态误差、加速度计零偏和积分误差会持续进入速度与位置。贴片IMU在陀螺尺度乘0.5后航向误差仍大，问题不能仅靠尺度修正解决，还需统一轴向、初始航向、零偏模型和时间基准。</w:t>
      </w:r>
    </w:p>
    <w:p>
      <w:pPr>
        <w:pStyle w:val="Heading1"/>
      </w:pPr>
      <w:r>
        <w:rPr/>
        <w:t>3 UWB分析</w:t>
      </w:r>
    </w:p>
    <w:p>
      <w:pPr/>
      <w:r>
        <w:rPr/>
        <w:t>156-3中ID2至ID0、ID1、ID3的P95绝对误差分别为4.117 m、2.546 m和3.223 m，但最大绝对误差达到44.770 m、42.685 m和140.453 m，呈明显重尾分布。ID3链路的20.753 m仅记录8次，却跨越237.3 s，最大相邻间隔106.4 s。原始串口距离字段已经重复，转换脚本未制造该异常；折线图连接稀疏同值点后，又造成“长时间恒值”的视觉效果。</w:t>
      </w:r>
    </w:p>
    <w:p>
      <w:pPr/>
      <w:r>
        <w:rPr/>
        <w:t>启用range更新的失败实验出现严重位置发散。仅设置固定米制阈值可以剔除部分大粗差，但无法处理旧值、节点偏置、锚点坐标错误以及状态漂移后的有效观测误拒。建议先检查观测新鲜度和节点映射，再估计b</w:t>
      </w:r>
      <w:r>
        <w:rPr>
          <w:vertAlign w:val="subscript"/>
        </w:rPr>
        <w:t>r,i</w:t>
      </w:r>
      <w:r>
        <w:rPr/>
        <w:t>，并采用归一化新息平方进行自适应门限判断：</w:t>
      </w:r>
    </w:p>
    <w:p>
      <w:pPr>
        <w:jc w:val="center"/>
      </w:pPr>
      <w:r>
        <w:rPr/>
        <w:t>NIS</w:t>
      </w:r>
      <w:r>
        <w:rPr>
          <w:vertAlign w:val="subscript"/>
        </w:rPr>
        <w:t>i</w:t>
      </w:r>
      <w:r>
        <w:rPr/>
        <w:t xml:space="preserve"> = r</w:t>
      </w:r>
      <w:r>
        <w:rPr>
          <w:vertAlign w:val="subscript"/>
        </w:rPr>
        <w:t>i</w:t>
      </w:r>
      <w:r>
        <w:rPr>
          <w:vertAlign w:val="superscript"/>
        </w:rPr>
        <w:t>T</w:t>
      </w:r>
      <w:r>
        <w:rPr/>
        <w:t>S</w:t>
      </w:r>
      <w:r>
        <w:rPr>
          <w:vertAlign w:val="subscript"/>
        </w:rPr>
        <w:t>i</w:t>
      </w:r>
      <w:r>
        <w:rPr>
          <w:vertAlign w:val="superscript"/>
        </w:rPr>
        <w:t>-1</w:t>
      </w:r>
      <w:r>
        <w:rPr/>
        <w:t>r</w:t>
      </w:r>
      <w:r>
        <w:rPr>
          <w:vertAlign w:val="subscript"/>
        </w:rPr>
        <w:t>i</w:t>
      </w:r>
      <w:r>
        <w:rPr/>
        <w:t>。</w:t>
      </w:r>
    </w:p>
    <w:p>
      <w:pPr/>
      <w:r>
        <w:rPr/>
        <w:t>滤波运行时还应记录各节点的接收率、拒绝率和残差。</w:t>
      </w:r>
    </w:p>
    <w:p>
      <w:pPr>
        <w:pStyle w:val="Heading1"/>
      </w:pPr>
      <w:r>
        <w:rPr/>
        <w:t>4 结论</w:t>
      </w:r>
    </w:p>
    <w:p>
      <w:pPr/>
      <w:r>
        <w:rPr/>
        <w:t>现阶段最可靠结果是L3 MEMS+GNSS相对高精度解算的一致性验证。纯惯性实验说明提高IMU等级只能减缓而不能消除长期漂移。UWB数据可用于协同定位，但必须先完成旧值检测、粗差抑制、节点偏置建模、锚点坐标核验和批量更新验证。最终论文中的绝对定位精度应使用独立RTK或其他外部真值重新评估。</w:t>
      </w:r>
    </w:p>
    <w:p>
      <w:pPr/>
      <w:r>
        <w:rPr/>
        <w:t>说明：本报告为约1000字的阶段性摘要，详细实验条件、图件及文件索引见17页长版报告。</w:t>
      </w:r>
    </w:p>
    <w:sectPr>
      <w:pgSz w:w="11906" w:h="16838"/>
      <w:pgMar w:top="1247" w:right="1304" w:bottom="1247" w:left="1304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pPr>
      <w:spacing w:line="360" w:lineRule="auto" w:after="100"/>
    </w:pPr>
    <w:rPr>
      <w:rFonts w:ascii="Liberation Serif" w:hAnsi="Liberation Serif" w:eastAsia="Noto Serif CJK SC"/>
      <w:sz w:val="22"/>
      <w:szCs w:val="22"/>
    </w:rPr>
  </w:style>
  <w:style w:type="paragraph" w:styleId="Title">
    <w:name w:val="Title"/>
    <w:basedOn w:val="Normal"/>
    <w:pPr>
      <w:spacing w:before="180" w:after="100"/>
    </w:pPr>
    <w:rPr>
      <w:b/>
      <w:sz w:val="36"/>
      <w:szCs w:val="36"/>
    </w:rPr>
  </w:style>
  <w:style w:type="paragraph" w:styleId="Heading1">
    <w:name w:val="heading 1"/>
    <w:basedOn w:val="Normal"/>
    <w:pPr>
      <w:spacing w:before="180" w:after="100"/>
    </w:pPr>
    <w:rPr>
      <w:b/>
      <w:sz w:val="28"/>
      <w:szCs w:val="28"/>
    </w:rPr>
  </w:style>
  <w:style w:type="table" w:styleId="TableGrid">
    <w:name w:val="Table Grid"/>
    <w:tblPr>
      <w:tblBorders>
        <w:top w:val="single" w:sz="4" w:color="666666"/>
        <w:left w:val="single" w:sz="4" w:color="666666"/>
        <w:bottom w:val="single" w:sz="4" w:color="666666"/>
        <w:right w:val="single" w:sz="4" w:color="666666"/>
        <w:insideH w:val="single" w:sz="4" w:color="666666"/>
        <w:insideV w:val="single" w:sz="4" w:color="666666"/>
      </w:tblBorders>
    </w:tblPr>
  </w:style>
</w:styles>
</file>

<file path=word/_rels/document.xml.rels><?xml version="1.0" encoding="UTF-8" standalone="yes"?>
<Relationships xmlns="http://schemas.openxmlformats.org/package/2006/relationships"/>

</file>